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9DEFE">
      <w:pPr>
        <w:shd w:val="clear"/>
        <w:autoSpaceDE/>
        <w:autoSpaceDN/>
        <w:jc w:val="center"/>
        <w:rPr>
          <w:rFonts w:hint="default" w:ascii="Times New Roman" w:hAnsi="Times New Roman" w:eastAsia="宋体" w:cs="Times New Roman"/>
          <w:b/>
          <w:color w:val="auto"/>
          <w:kern w:val="2"/>
          <w:sz w:val="44"/>
          <w:szCs w:val="44"/>
          <w:highlight w:val="none"/>
        </w:rPr>
      </w:pPr>
      <w:r>
        <w:rPr>
          <w:rFonts w:hint="default" w:ascii="Times New Roman" w:hAnsi="Times New Roman" w:eastAsia="宋体" w:cs="Times New Roman"/>
          <w:b/>
          <w:color w:val="auto"/>
          <w:kern w:val="2"/>
          <w:sz w:val="44"/>
          <w:szCs w:val="44"/>
          <w:highlight w:val="none"/>
        </w:rPr>
        <w:t>核技术利用建设项目</w:t>
      </w:r>
    </w:p>
    <w:p w14:paraId="61F09147">
      <w:pPr>
        <w:keepNext/>
        <w:keepLines/>
        <w:widowControl w:val="0"/>
        <w:shd w:val="clear"/>
        <w:autoSpaceDE/>
        <w:autoSpaceDN/>
        <w:spacing w:before="280" w:after="290" w:line="376" w:lineRule="auto"/>
        <w:jc w:val="both"/>
        <w:outlineLvl w:val="3"/>
        <w:rPr>
          <w:rFonts w:hint="default" w:ascii="Times New Roman" w:hAnsi="Times New Roman" w:eastAsia="宋体" w:cs="Times New Roman"/>
          <w:b/>
          <w:bCs/>
          <w:color w:val="auto"/>
          <w:kern w:val="2"/>
          <w:sz w:val="28"/>
          <w:szCs w:val="28"/>
          <w:highlight w:val="none"/>
          <w:lang w:val="en-US" w:eastAsia="zh-CN" w:bidi="ar-SA"/>
        </w:rPr>
      </w:pPr>
    </w:p>
    <w:p w14:paraId="042E311C">
      <w:pPr>
        <w:shd w:val="clear"/>
        <w:autoSpaceDE/>
        <w:autoSpaceDN/>
        <w:jc w:val="center"/>
        <w:rPr>
          <w:rFonts w:hint="default" w:ascii="Times New Roman" w:hAnsi="Times New Roman" w:eastAsia="宋体" w:cs="Times New Roman"/>
          <w:b/>
          <w:color w:val="auto"/>
          <w:sz w:val="52"/>
          <w:szCs w:val="52"/>
          <w:highlight w:val="none"/>
          <w:lang w:val="en-US" w:eastAsia="zh-CN"/>
        </w:rPr>
      </w:pPr>
      <w:r>
        <w:rPr>
          <w:rFonts w:hint="eastAsia" w:cs="Times New Roman"/>
          <w:b/>
          <w:color w:val="auto"/>
          <w:sz w:val="52"/>
          <w:szCs w:val="52"/>
          <w:highlight w:val="none"/>
          <w:lang w:val="en-US" w:eastAsia="zh-CN"/>
        </w:rPr>
        <w:t>新疆医科大学附属肿瘤医院非密封放射性物质工作场所扩增项目</w:t>
      </w:r>
    </w:p>
    <w:p w14:paraId="62204703">
      <w:pPr>
        <w:shd w:val="clear"/>
        <w:autoSpaceDE/>
        <w:autoSpaceDN/>
        <w:jc w:val="center"/>
        <w:rPr>
          <w:rFonts w:hint="default" w:ascii="Times New Roman" w:hAnsi="Times New Roman" w:eastAsia="宋体" w:cs="Times New Roman"/>
          <w:b/>
          <w:color w:val="auto"/>
          <w:kern w:val="2"/>
          <w:sz w:val="52"/>
          <w:szCs w:val="52"/>
          <w:highlight w:val="none"/>
        </w:rPr>
      </w:pPr>
      <w:r>
        <w:rPr>
          <w:rFonts w:hint="default" w:ascii="Times New Roman" w:hAnsi="Times New Roman" w:cs="Times New Roman"/>
          <w:b/>
          <w:color w:val="auto"/>
          <w:sz w:val="52"/>
          <w:szCs w:val="52"/>
          <w:highlight w:val="none"/>
          <w:lang w:val="en-US" w:eastAsia="zh-CN"/>
        </w:rPr>
        <w:t>生态</w:t>
      </w:r>
      <w:r>
        <w:rPr>
          <w:rFonts w:hint="default" w:ascii="Times New Roman" w:hAnsi="Times New Roman" w:eastAsia="宋体" w:cs="Times New Roman"/>
          <w:b/>
          <w:color w:val="auto"/>
          <w:sz w:val="52"/>
          <w:szCs w:val="52"/>
          <w:highlight w:val="none"/>
          <w:lang w:val="en-US" w:eastAsia="zh-CN"/>
        </w:rPr>
        <w:t>环境影响报告表</w:t>
      </w:r>
    </w:p>
    <w:p w14:paraId="101F95EF">
      <w:pPr>
        <w:shd w:val="clear"/>
        <w:autoSpaceDE/>
        <w:autoSpaceDN/>
        <w:jc w:val="both"/>
        <w:rPr>
          <w:rFonts w:hint="default" w:ascii="Times New Roman" w:hAnsi="Times New Roman" w:eastAsia="宋体" w:cs="Times New Roman"/>
          <w:b/>
          <w:color w:val="auto"/>
          <w:kern w:val="2"/>
          <w:sz w:val="24"/>
          <w:szCs w:val="24"/>
          <w:highlight w:val="none"/>
        </w:rPr>
      </w:pPr>
    </w:p>
    <w:p w14:paraId="0EC6F7A8">
      <w:pPr>
        <w:shd w:val="clear"/>
        <w:autoSpaceDE/>
        <w:autoSpaceDN/>
        <w:jc w:val="both"/>
        <w:rPr>
          <w:rFonts w:hint="default" w:ascii="Times New Roman" w:hAnsi="Times New Roman" w:eastAsia="宋体" w:cs="Times New Roman"/>
          <w:b/>
          <w:color w:val="auto"/>
          <w:kern w:val="2"/>
          <w:sz w:val="24"/>
          <w:szCs w:val="24"/>
          <w:highlight w:val="none"/>
        </w:rPr>
      </w:pPr>
    </w:p>
    <w:p w14:paraId="332A8CF6">
      <w:pPr>
        <w:shd w:val="clear"/>
        <w:autoSpaceDE/>
        <w:autoSpaceDN/>
        <w:jc w:val="both"/>
        <w:rPr>
          <w:rFonts w:hint="default" w:ascii="Times New Roman" w:hAnsi="Times New Roman" w:eastAsia="宋体" w:cs="Times New Roman"/>
          <w:b/>
          <w:color w:val="auto"/>
          <w:kern w:val="2"/>
          <w:sz w:val="24"/>
          <w:szCs w:val="24"/>
          <w:highlight w:val="none"/>
        </w:rPr>
      </w:pPr>
    </w:p>
    <w:p w14:paraId="341FFFF4">
      <w:pPr>
        <w:shd w:val="clear"/>
        <w:autoSpaceDE/>
        <w:autoSpaceDN/>
        <w:jc w:val="both"/>
        <w:rPr>
          <w:rFonts w:hint="default" w:ascii="Times New Roman" w:hAnsi="Times New Roman" w:eastAsia="宋体" w:cs="Times New Roman"/>
          <w:b/>
          <w:color w:val="auto"/>
          <w:kern w:val="2"/>
          <w:sz w:val="24"/>
          <w:szCs w:val="24"/>
          <w:highlight w:val="none"/>
        </w:rPr>
      </w:pPr>
    </w:p>
    <w:p w14:paraId="5D95D197">
      <w:pPr>
        <w:shd w:val="clear"/>
        <w:autoSpaceDE/>
        <w:autoSpaceDN/>
        <w:jc w:val="both"/>
        <w:rPr>
          <w:rFonts w:hint="default" w:ascii="Times New Roman" w:hAnsi="Times New Roman" w:eastAsia="宋体" w:cs="Times New Roman"/>
          <w:b/>
          <w:color w:val="auto"/>
          <w:kern w:val="2"/>
          <w:sz w:val="24"/>
          <w:szCs w:val="24"/>
          <w:highlight w:val="none"/>
        </w:rPr>
      </w:pPr>
    </w:p>
    <w:p w14:paraId="34B46A8D">
      <w:pPr>
        <w:shd w:val="clear"/>
        <w:autoSpaceDE/>
        <w:autoSpaceDN/>
        <w:jc w:val="both"/>
        <w:rPr>
          <w:rFonts w:hint="default" w:ascii="Times New Roman" w:hAnsi="Times New Roman" w:eastAsia="宋体" w:cs="Times New Roman"/>
          <w:b/>
          <w:color w:val="auto"/>
          <w:kern w:val="2"/>
          <w:sz w:val="24"/>
          <w:szCs w:val="24"/>
          <w:highlight w:val="none"/>
        </w:rPr>
      </w:pPr>
    </w:p>
    <w:p w14:paraId="716262F2">
      <w:pPr>
        <w:shd w:val="clear"/>
        <w:autoSpaceDE/>
        <w:autoSpaceDN/>
        <w:spacing w:line="360" w:lineRule="auto"/>
        <w:jc w:val="both"/>
        <w:rPr>
          <w:rFonts w:hint="default" w:ascii="Times New Roman" w:hAnsi="Times New Roman" w:eastAsia="宋体" w:cs="Times New Roman"/>
          <w:b/>
          <w:color w:val="auto"/>
          <w:kern w:val="2"/>
          <w:sz w:val="32"/>
          <w:szCs w:val="32"/>
          <w:highlight w:val="none"/>
          <w:lang w:val="en-US" w:eastAsia="zh-CN"/>
        </w:rPr>
      </w:pPr>
    </w:p>
    <w:p w14:paraId="58A7A890">
      <w:pPr>
        <w:keepNext/>
        <w:keepLines/>
        <w:widowControl w:val="0"/>
        <w:shd w:val="clear"/>
        <w:spacing w:before="280" w:beforeLines="0" w:beforeAutospacing="0" w:after="290" w:afterLines="0" w:afterAutospacing="0" w:line="372" w:lineRule="auto"/>
        <w:jc w:val="both"/>
        <w:outlineLvl w:val="3"/>
        <w:rPr>
          <w:rFonts w:hint="default" w:ascii="Times New Roman" w:hAnsi="Times New Roman" w:eastAsia="宋体" w:cs="Times New Roman"/>
          <w:b/>
          <w:color w:val="auto"/>
          <w:kern w:val="2"/>
          <w:sz w:val="32"/>
          <w:szCs w:val="32"/>
          <w:highlight w:val="none"/>
          <w:lang w:val="en-US" w:eastAsia="zh-CN" w:bidi="ar-SA"/>
        </w:rPr>
      </w:pPr>
    </w:p>
    <w:p w14:paraId="59B0B1DF">
      <w:pPr>
        <w:shd w:val="clear"/>
        <w:autoSpaceDE/>
        <w:autoSpaceDN/>
        <w:jc w:val="both"/>
        <w:rPr>
          <w:rFonts w:hint="default" w:ascii="Times New Roman" w:hAnsi="Times New Roman" w:eastAsia="宋体" w:cs="Times New Roman"/>
          <w:b/>
          <w:color w:val="auto"/>
          <w:kern w:val="2"/>
          <w:sz w:val="32"/>
          <w:szCs w:val="32"/>
          <w:highlight w:val="none"/>
          <w:lang w:val="en-US" w:eastAsia="zh-CN"/>
        </w:rPr>
      </w:pPr>
    </w:p>
    <w:p w14:paraId="36006DF0">
      <w:pPr>
        <w:keepNext/>
        <w:keepLines/>
        <w:widowControl w:val="0"/>
        <w:shd w:val="clear"/>
        <w:autoSpaceDE/>
        <w:autoSpaceDN/>
        <w:spacing w:before="280" w:after="290" w:line="376" w:lineRule="auto"/>
        <w:jc w:val="both"/>
        <w:outlineLvl w:val="3"/>
        <w:rPr>
          <w:rFonts w:hint="default" w:ascii="Times New Roman" w:hAnsi="Times New Roman" w:eastAsia="宋体" w:cs="Times New Roman"/>
          <w:b/>
          <w:bCs/>
          <w:color w:val="auto"/>
          <w:kern w:val="2"/>
          <w:sz w:val="28"/>
          <w:szCs w:val="28"/>
          <w:highlight w:val="none"/>
          <w:lang w:val="en-US" w:eastAsia="zh-CN" w:bidi="ar-SA"/>
        </w:rPr>
      </w:pPr>
    </w:p>
    <w:p w14:paraId="21A57597">
      <w:pPr>
        <w:shd w:val="clear"/>
        <w:autoSpaceDE/>
        <w:autoSpaceDN/>
        <w:spacing w:line="360" w:lineRule="auto"/>
        <w:jc w:val="center"/>
        <w:rPr>
          <w:rFonts w:hint="default" w:ascii="Times New Roman" w:hAnsi="Times New Roman" w:eastAsia="宋体" w:cs="Times New Roman"/>
          <w:b/>
          <w:color w:val="auto"/>
          <w:kern w:val="2"/>
          <w:sz w:val="32"/>
          <w:szCs w:val="32"/>
          <w:highlight w:val="none"/>
          <w:lang w:val="en-US" w:eastAsia="zh-CN"/>
        </w:rPr>
      </w:pPr>
      <w:r>
        <w:rPr>
          <w:rFonts w:hint="default" w:ascii="Times New Roman" w:hAnsi="Times New Roman" w:cs="Times New Roman"/>
          <w:b/>
          <w:color w:val="auto"/>
          <w:kern w:val="2"/>
          <w:sz w:val="32"/>
          <w:szCs w:val="32"/>
          <w:highlight w:val="none"/>
          <w:lang w:val="en-US" w:eastAsia="zh-CN"/>
        </w:rPr>
        <w:t>新疆医科大学附属肿瘤医院</w:t>
      </w:r>
    </w:p>
    <w:p w14:paraId="0F4EAC23">
      <w:pPr>
        <w:shd w:val="clear"/>
        <w:autoSpaceDE/>
        <w:autoSpaceDN/>
        <w:spacing w:line="360" w:lineRule="auto"/>
        <w:jc w:val="center"/>
        <w:rPr>
          <w:rFonts w:hint="default" w:ascii="Times New Roman" w:hAnsi="Times New Roman" w:eastAsia="宋体" w:cs="Times New Roman"/>
          <w:b/>
          <w:color w:val="auto"/>
          <w:kern w:val="2"/>
          <w:sz w:val="32"/>
          <w:szCs w:val="32"/>
          <w:highlight w:val="none"/>
        </w:rPr>
      </w:pPr>
      <w:r>
        <w:rPr>
          <w:rFonts w:hint="default" w:ascii="Times New Roman" w:hAnsi="Times New Roman" w:cs="Times New Roman"/>
          <w:b/>
          <w:color w:val="auto"/>
          <w:kern w:val="2"/>
          <w:sz w:val="32"/>
          <w:szCs w:val="32"/>
          <w:highlight w:val="none"/>
          <w:lang w:val="en-US" w:eastAsia="zh-CN"/>
        </w:rPr>
        <w:t>2026</w:t>
      </w:r>
      <w:r>
        <w:rPr>
          <w:rFonts w:hint="default" w:ascii="Times New Roman" w:hAnsi="Times New Roman" w:eastAsia="宋体" w:cs="Times New Roman"/>
          <w:b/>
          <w:color w:val="auto"/>
          <w:kern w:val="2"/>
          <w:sz w:val="32"/>
          <w:szCs w:val="32"/>
          <w:highlight w:val="none"/>
        </w:rPr>
        <w:t>年</w:t>
      </w:r>
      <w:r>
        <w:rPr>
          <w:rFonts w:hint="default" w:ascii="Times New Roman" w:hAnsi="Times New Roman" w:cs="Times New Roman"/>
          <w:b/>
          <w:color w:val="auto"/>
          <w:kern w:val="2"/>
          <w:sz w:val="32"/>
          <w:szCs w:val="32"/>
          <w:highlight w:val="none"/>
          <w:lang w:val="en-US" w:eastAsia="zh-CN"/>
        </w:rPr>
        <w:t>10</w:t>
      </w:r>
      <w:r>
        <w:rPr>
          <w:rFonts w:hint="default" w:ascii="Times New Roman" w:hAnsi="Times New Roman" w:eastAsia="宋体" w:cs="Times New Roman"/>
          <w:b/>
          <w:color w:val="auto"/>
          <w:kern w:val="2"/>
          <w:sz w:val="32"/>
          <w:szCs w:val="32"/>
          <w:highlight w:val="none"/>
        </w:rPr>
        <w:t>月</w:t>
      </w:r>
    </w:p>
    <w:p w14:paraId="5AA514E8">
      <w:pPr>
        <w:shd w:val="clear"/>
        <w:spacing w:line="360" w:lineRule="auto"/>
        <w:jc w:val="center"/>
        <w:rPr>
          <w:rFonts w:hint="default" w:ascii="Times New Roman" w:hAnsi="Times New Roman" w:eastAsia="宋体" w:cs="Times New Roman"/>
          <w:b/>
          <w:color w:val="auto"/>
          <w:sz w:val="24"/>
          <w:highlight w:val="none"/>
        </w:rPr>
        <w:sectPr>
          <w:type w:val="continuous"/>
          <w:pgSz w:w="11906" w:h="16838"/>
          <w:pgMar w:top="1985" w:right="1134" w:bottom="1418" w:left="1418"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default" w:ascii="Times New Roman" w:hAnsi="Times New Roman" w:eastAsia="宋体" w:cs="Times New Roman"/>
          <w:b/>
          <w:color w:val="auto"/>
          <w:kern w:val="2"/>
          <w:sz w:val="32"/>
          <w:szCs w:val="32"/>
          <w:highlight w:val="none"/>
          <w:lang w:eastAsia="zh-CN"/>
        </w:rPr>
        <w:t>生态环境部</w:t>
      </w:r>
      <w:r>
        <w:rPr>
          <w:rFonts w:hint="default" w:ascii="Times New Roman" w:hAnsi="Times New Roman" w:eastAsia="宋体" w:cs="Times New Roman"/>
          <w:b/>
          <w:color w:val="auto"/>
          <w:kern w:val="2"/>
          <w:sz w:val="32"/>
          <w:szCs w:val="32"/>
          <w:highlight w:val="none"/>
        </w:rPr>
        <w:t>监制</w:t>
      </w:r>
    </w:p>
    <w:p w14:paraId="5272E647">
      <w:pPr>
        <w:keepNext/>
        <w:keepLines/>
        <w:widowControl w:val="0"/>
        <w:shd w:val="clear"/>
        <w:autoSpaceDE/>
        <w:autoSpaceDN/>
        <w:spacing w:before="280" w:after="290" w:line="376" w:lineRule="auto"/>
        <w:jc w:val="both"/>
        <w:outlineLvl w:val="3"/>
        <w:rPr>
          <w:rFonts w:hint="default" w:ascii="Times New Roman" w:hAnsi="Times New Roman" w:eastAsia="宋体" w:cs="Times New Roman"/>
          <w:b/>
          <w:bCs/>
          <w:color w:val="auto"/>
          <w:kern w:val="2"/>
          <w:sz w:val="28"/>
          <w:szCs w:val="28"/>
          <w:highlight w:val="none"/>
          <w:lang w:val="en-US" w:eastAsia="zh-CN" w:bidi="ar-SA"/>
        </w:rPr>
      </w:pPr>
    </w:p>
    <w:p w14:paraId="1D116F43">
      <w:pPr>
        <w:shd w:val="clear"/>
        <w:autoSpaceDE/>
        <w:autoSpaceDN/>
        <w:jc w:val="center"/>
        <w:rPr>
          <w:rFonts w:hint="default" w:ascii="Times New Roman" w:hAnsi="Times New Roman" w:eastAsia="宋体" w:cs="Times New Roman"/>
          <w:b/>
          <w:color w:val="auto"/>
          <w:kern w:val="2"/>
          <w:sz w:val="44"/>
          <w:szCs w:val="44"/>
          <w:highlight w:val="none"/>
        </w:rPr>
      </w:pPr>
      <w:r>
        <w:rPr>
          <w:rFonts w:hint="default" w:ascii="Times New Roman" w:hAnsi="Times New Roman" w:eastAsia="宋体" w:cs="Times New Roman"/>
          <w:b/>
          <w:color w:val="auto"/>
          <w:kern w:val="2"/>
          <w:sz w:val="44"/>
          <w:szCs w:val="44"/>
          <w:highlight w:val="none"/>
        </w:rPr>
        <w:t>核技术利用建设项目</w:t>
      </w:r>
    </w:p>
    <w:p w14:paraId="5544A0B8">
      <w:pPr>
        <w:shd w:val="clear"/>
        <w:autoSpaceDE/>
        <w:autoSpaceDN/>
        <w:jc w:val="both"/>
        <w:rPr>
          <w:rFonts w:hint="default" w:ascii="Times New Roman" w:hAnsi="Times New Roman" w:eastAsia="宋体" w:cs="Times New Roman"/>
          <w:color w:val="auto"/>
          <w:kern w:val="2"/>
          <w:sz w:val="21"/>
          <w:szCs w:val="24"/>
          <w:highlight w:val="none"/>
        </w:rPr>
      </w:pPr>
    </w:p>
    <w:p w14:paraId="001F59AE">
      <w:pPr>
        <w:shd w:val="clear"/>
        <w:autoSpaceDE/>
        <w:autoSpaceDN/>
        <w:jc w:val="both"/>
        <w:rPr>
          <w:rFonts w:hint="default" w:ascii="Times New Roman" w:hAnsi="Times New Roman" w:eastAsia="宋体" w:cs="Times New Roman"/>
          <w:b/>
          <w:color w:val="auto"/>
          <w:kern w:val="2"/>
          <w:sz w:val="24"/>
          <w:szCs w:val="24"/>
          <w:highlight w:val="none"/>
        </w:rPr>
      </w:pPr>
      <w:r>
        <w:rPr>
          <w:rFonts w:hint="default" w:ascii="Times New Roman" w:hAnsi="Times New Roman" w:eastAsia="宋体" w:cs="Times New Roman"/>
          <w:b/>
          <w:color w:val="auto"/>
          <w:kern w:val="2"/>
          <w:sz w:val="24"/>
          <w:szCs w:val="24"/>
          <w:highlight w:val="none"/>
        </w:rPr>
        <w:t xml:space="preserve">               </w:t>
      </w:r>
    </w:p>
    <w:p w14:paraId="2C8ACBC0">
      <w:pPr>
        <w:keepNext/>
        <w:keepLines/>
        <w:widowControl w:val="0"/>
        <w:shd w:val="clear"/>
        <w:autoSpaceDE/>
        <w:autoSpaceDN/>
        <w:spacing w:before="280" w:after="290" w:line="376" w:lineRule="auto"/>
        <w:jc w:val="center"/>
        <w:outlineLvl w:val="3"/>
        <w:rPr>
          <w:rFonts w:hint="default" w:ascii="Times New Roman" w:hAnsi="Times New Roman" w:eastAsia="宋体" w:cs="Times New Roman"/>
          <w:b/>
          <w:color w:val="auto"/>
          <w:sz w:val="52"/>
          <w:szCs w:val="52"/>
          <w:highlight w:val="none"/>
          <w:lang w:val="en-US" w:eastAsia="zh-CN"/>
        </w:rPr>
      </w:pPr>
      <w:r>
        <w:rPr>
          <w:rFonts w:hint="eastAsia" w:cs="Times New Roman"/>
          <w:b/>
          <w:color w:val="auto"/>
          <w:sz w:val="52"/>
          <w:szCs w:val="52"/>
          <w:highlight w:val="none"/>
          <w:lang w:val="en-US" w:eastAsia="zh-CN"/>
        </w:rPr>
        <w:t>新疆医科大学附属肿瘤医院非密封放射性物质工作场所扩增项目</w:t>
      </w:r>
    </w:p>
    <w:p w14:paraId="1C7EA473">
      <w:pPr>
        <w:keepNext/>
        <w:keepLines/>
        <w:widowControl w:val="0"/>
        <w:shd w:val="clear"/>
        <w:autoSpaceDE/>
        <w:autoSpaceDN/>
        <w:spacing w:before="280" w:after="290" w:line="376" w:lineRule="auto"/>
        <w:jc w:val="center"/>
        <w:outlineLvl w:val="3"/>
        <w:rPr>
          <w:rFonts w:hint="default" w:ascii="Times New Roman" w:hAnsi="Times New Roman" w:eastAsia="宋体" w:cs="Times New Roman"/>
          <w:b/>
          <w:color w:val="auto"/>
          <w:kern w:val="2"/>
          <w:sz w:val="52"/>
          <w:szCs w:val="52"/>
          <w:highlight w:val="none"/>
          <w:lang w:val="zh-CN" w:eastAsia="zh-CN"/>
        </w:rPr>
      </w:pPr>
      <w:r>
        <w:rPr>
          <w:rFonts w:hint="default" w:ascii="Times New Roman" w:hAnsi="Times New Roman" w:cs="Times New Roman"/>
          <w:b/>
          <w:color w:val="auto"/>
          <w:kern w:val="2"/>
          <w:sz w:val="52"/>
          <w:szCs w:val="52"/>
          <w:highlight w:val="none"/>
          <w:lang w:val="en-US" w:eastAsia="zh-CN"/>
        </w:rPr>
        <w:t>生态</w:t>
      </w:r>
      <w:r>
        <w:rPr>
          <w:rFonts w:hint="default" w:ascii="Times New Roman" w:hAnsi="Times New Roman" w:eastAsia="宋体" w:cs="Times New Roman"/>
          <w:b/>
          <w:color w:val="auto"/>
          <w:kern w:val="2"/>
          <w:sz w:val="52"/>
          <w:szCs w:val="52"/>
          <w:highlight w:val="none"/>
          <w:lang w:val="zh-CN" w:eastAsia="zh-CN"/>
        </w:rPr>
        <w:t>环境影响报告表</w:t>
      </w:r>
    </w:p>
    <w:p w14:paraId="3D9A811C">
      <w:pPr>
        <w:keepNext/>
        <w:keepLines/>
        <w:widowControl w:val="0"/>
        <w:shd w:val="clear"/>
        <w:autoSpaceDE/>
        <w:autoSpaceDN/>
        <w:spacing w:before="280" w:after="290" w:line="376" w:lineRule="auto"/>
        <w:jc w:val="both"/>
        <w:outlineLvl w:val="3"/>
        <w:rPr>
          <w:rFonts w:hint="default" w:ascii="Times New Roman" w:hAnsi="Times New Roman" w:eastAsia="宋体" w:cs="Times New Roman"/>
          <w:b/>
          <w:bCs/>
          <w:color w:val="auto"/>
          <w:kern w:val="2"/>
          <w:sz w:val="28"/>
          <w:szCs w:val="28"/>
          <w:highlight w:val="none"/>
          <w:lang w:val="en-US" w:eastAsia="zh-CN" w:bidi="ar-SA"/>
        </w:rPr>
      </w:pPr>
    </w:p>
    <w:p w14:paraId="37484C04">
      <w:pPr>
        <w:keepNext/>
        <w:keepLines/>
        <w:widowControl w:val="0"/>
        <w:shd w:val="clear"/>
        <w:autoSpaceDE/>
        <w:autoSpaceDN/>
        <w:spacing w:before="280" w:after="290" w:line="376" w:lineRule="auto"/>
        <w:jc w:val="both"/>
        <w:outlineLvl w:val="3"/>
        <w:rPr>
          <w:rFonts w:hint="default" w:ascii="Times New Roman" w:hAnsi="Times New Roman" w:eastAsia="宋体" w:cs="Times New Roman"/>
          <w:b/>
          <w:bCs/>
          <w:color w:val="auto"/>
          <w:kern w:val="2"/>
          <w:sz w:val="28"/>
          <w:szCs w:val="28"/>
          <w:highlight w:val="none"/>
          <w:lang w:val="en-US" w:eastAsia="zh-CN" w:bidi="ar-SA"/>
        </w:rPr>
      </w:pPr>
    </w:p>
    <w:p w14:paraId="4FC9F452">
      <w:pPr>
        <w:shd w:val="clear"/>
        <w:autoSpaceDE/>
        <w:autoSpaceDN/>
        <w:jc w:val="both"/>
        <w:rPr>
          <w:rFonts w:hint="default" w:ascii="Times New Roman" w:hAnsi="Times New Roman" w:eastAsia="宋体" w:cs="Times New Roman"/>
          <w:b/>
          <w:color w:val="auto"/>
          <w:kern w:val="2"/>
          <w:sz w:val="24"/>
          <w:szCs w:val="24"/>
          <w:highlight w:val="none"/>
        </w:rPr>
      </w:pPr>
    </w:p>
    <w:p w14:paraId="6ACB9B7D">
      <w:pPr>
        <w:pStyle w:val="14"/>
        <w:rPr>
          <w:rFonts w:hint="default" w:ascii="Times New Roman" w:hAnsi="Times New Roman" w:eastAsia="宋体" w:cs="Times New Roman"/>
          <w:b/>
          <w:color w:val="auto"/>
          <w:kern w:val="2"/>
          <w:sz w:val="24"/>
          <w:szCs w:val="24"/>
          <w:highlight w:val="none"/>
        </w:rPr>
      </w:pPr>
    </w:p>
    <w:p w14:paraId="6190E89F">
      <w:pPr>
        <w:pStyle w:val="14"/>
        <w:rPr>
          <w:rFonts w:hint="default" w:ascii="Times New Roman" w:hAnsi="Times New Roman" w:eastAsia="宋体" w:cs="Times New Roman"/>
          <w:b/>
          <w:color w:val="auto"/>
          <w:kern w:val="2"/>
          <w:sz w:val="24"/>
          <w:szCs w:val="24"/>
          <w:highlight w:val="none"/>
        </w:rPr>
      </w:pPr>
    </w:p>
    <w:p w14:paraId="779189E3">
      <w:pPr>
        <w:pStyle w:val="14"/>
        <w:rPr>
          <w:rFonts w:hint="default" w:ascii="Times New Roman" w:hAnsi="Times New Roman" w:eastAsia="宋体" w:cs="Times New Roman"/>
          <w:b/>
          <w:color w:val="auto"/>
          <w:kern w:val="2"/>
          <w:sz w:val="24"/>
          <w:szCs w:val="24"/>
          <w:highlight w:val="none"/>
        </w:rPr>
      </w:pPr>
    </w:p>
    <w:p w14:paraId="33FAFE8B">
      <w:pPr>
        <w:pStyle w:val="14"/>
        <w:rPr>
          <w:rFonts w:hint="default" w:ascii="Times New Roman" w:hAnsi="Times New Roman" w:eastAsia="宋体" w:cs="Times New Roman"/>
          <w:b/>
          <w:color w:val="auto"/>
          <w:kern w:val="2"/>
          <w:sz w:val="24"/>
          <w:szCs w:val="24"/>
          <w:highlight w:val="none"/>
        </w:rPr>
      </w:pPr>
    </w:p>
    <w:p w14:paraId="54F986DD">
      <w:pPr>
        <w:pStyle w:val="14"/>
        <w:rPr>
          <w:rFonts w:hint="default" w:ascii="Times New Roman" w:hAnsi="Times New Roman" w:eastAsia="宋体" w:cs="Times New Roman"/>
          <w:b/>
          <w:color w:val="auto"/>
          <w:kern w:val="2"/>
          <w:sz w:val="24"/>
          <w:szCs w:val="24"/>
          <w:highlight w:val="none"/>
        </w:rPr>
      </w:pPr>
    </w:p>
    <w:p w14:paraId="121BB0DC">
      <w:pPr>
        <w:pStyle w:val="14"/>
        <w:rPr>
          <w:rFonts w:hint="default" w:ascii="Times New Roman" w:hAnsi="Times New Roman" w:eastAsia="宋体" w:cs="Times New Roman"/>
          <w:b/>
          <w:color w:val="auto"/>
          <w:kern w:val="2"/>
          <w:sz w:val="24"/>
          <w:szCs w:val="24"/>
          <w:highlight w:val="none"/>
        </w:rPr>
      </w:pPr>
    </w:p>
    <w:p w14:paraId="7D8C2A95">
      <w:pPr>
        <w:pStyle w:val="14"/>
        <w:rPr>
          <w:rFonts w:hint="default" w:ascii="Times New Roman" w:hAnsi="Times New Roman" w:eastAsia="宋体" w:cs="Times New Roman"/>
          <w:b/>
          <w:color w:val="auto"/>
          <w:kern w:val="2"/>
          <w:sz w:val="24"/>
          <w:szCs w:val="24"/>
          <w:highlight w:val="none"/>
        </w:rPr>
      </w:pPr>
    </w:p>
    <w:p w14:paraId="3638AAFC">
      <w:pPr>
        <w:shd w:val="clear"/>
        <w:autoSpaceDE/>
        <w:autoSpaceDN/>
        <w:jc w:val="both"/>
        <w:rPr>
          <w:rFonts w:hint="default" w:ascii="Times New Roman" w:hAnsi="Times New Roman" w:eastAsia="宋体" w:cs="Times New Roman"/>
          <w:b/>
          <w:color w:val="auto"/>
          <w:kern w:val="2"/>
          <w:sz w:val="24"/>
          <w:szCs w:val="24"/>
          <w:highlight w:val="none"/>
        </w:rPr>
      </w:pPr>
    </w:p>
    <w:p w14:paraId="608CA09F">
      <w:pPr>
        <w:shd w:val="clear"/>
        <w:autoSpaceDE/>
        <w:autoSpaceDN/>
        <w:spacing w:line="360" w:lineRule="auto"/>
        <w:ind w:firstLine="843" w:firstLineChars="300"/>
        <w:jc w:val="left"/>
        <w:rPr>
          <w:rFonts w:hint="default" w:ascii="Times New Roman" w:hAnsi="Times New Roman" w:eastAsia="宋体" w:cs="Times New Roman"/>
          <w:b/>
          <w:color w:val="auto"/>
          <w:kern w:val="2"/>
          <w:sz w:val="28"/>
          <w:szCs w:val="28"/>
          <w:highlight w:val="none"/>
          <w:lang w:val="en-US" w:eastAsia="zh-CN"/>
        </w:rPr>
      </w:pPr>
      <w:r>
        <w:rPr>
          <w:rFonts w:hint="default" w:ascii="Times New Roman" w:hAnsi="Times New Roman" w:eastAsia="宋体" w:cs="Times New Roman"/>
          <w:b/>
          <w:color w:val="auto"/>
          <w:kern w:val="2"/>
          <w:sz w:val="28"/>
          <w:szCs w:val="28"/>
          <w:highlight w:val="none"/>
        </w:rPr>
        <w:t>建设单位名称：</w:t>
      </w:r>
      <w:r>
        <w:rPr>
          <w:rFonts w:hint="default" w:ascii="Times New Roman" w:hAnsi="Times New Roman" w:eastAsia="宋体" w:cs="Times New Roman"/>
          <w:b/>
          <w:color w:val="auto"/>
          <w:kern w:val="2"/>
          <w:sz w:val="28"/>
          <w:szCs w:val="28"/>
          <w:highlight w:val="none"/>
          <w:lang w:val="en-US" w:eastAsia="zh-CN"/>
        </w:rPr>
        <w:t>新疆医科大学附属肿瘤医院</w:t>
      </w:r>
    </w:p>
    <w:p w14:paraId="60BDF3CC">
      <w:pPr>
        <w:shd w:val="clear"/>
        <w:autoSpaceDE/>
        <w:autoSpaceDN/>
        <w:spacing w:line="360" w:lineRule="auto"/>
        <w:ind w:firstLine="843" w:firstLineChars="300"/>
        <w:jc w:val="left"/>
        <w:rPr>
          <w:rFonts w:hint="default" w:ascii="Times New Roman" w:hAnsi="Times New Roman" w:eastAsia="宋体" w:cs="Times New Roman"/>
          <w:b/>
          <w:color w:val="auto"/>
          <w:kern w:val="2"/>
          <w:sz w:val="28"/>
          <w:szCs w:val="28"/>
          <w:highlight w:val="none"/>
        </w:rPr>
      </w:pPr>
      <w:r>
        <w:rPr>
          <w:rFonts w:hint="default" w:ascii="Times New Roman" w:hAnsi="Times New Roman" w:eastAsia="宋体" w:cs="Times New Roman"/>
          <w:b/>
          <w:color w:val="auto"/>
          <w:kern w:val="2"/>
          <w:sz w:val="28"/>
          <w:szCs w:val="28"/>
          <w:highlight w:val="none"/>
        </w:rPr>
        <w:t>建设单位法人代表（签名或签章）：</w:t>
      </w:r>
      <w:r>
        <w:rPr>
          <w:rFonts w:hint="default" w:ascii="Times New Roman" w:hAnsi="Times New Roman" w:eastAsia="宋体" w:cs="Times New Roman"/>
          <w:b/>
          <w:color w:val="auto"/>
          <w:kern w:val="2"/>
          <w:sz w:val="28"/>
          <w:szCs w:val="28"/>
          <w:highlight w:val="none"/>
          <w:lang w:val="en-US" w:eastAsia="zh-CN"/>
        </w:rPr>
        <w:t>张永刚</w:t>
      </w:r>
    </w:p>
    <w:p w14:paraId="102D7ED7">
      <w:pPr>
        <w:shd w:val="clear"/>
        <w:autoSpaceDE/>
        <w:autoSpaceDN/>
        <w:spacing w:line="360" w:lineRule="auto"/>
        <w:ind w:firstLine="843" w:firstLineChars="300"/>
        <w:jc w:val="left"/>
        <w:rPr>
          <w:rFonts w:hint="default" w:ascii="Times New Roman" w:hAnsi="Times New Roman" w:eastAsia="宋体" w:cs="Times New Roman"/>
          <w:b/>
          <w:color w:val="auto"/>
          <w:kern w:val="2"/>
          <w:sz w:val="28"/>
          <w:szCs w:val="28"/>
          <w:highlight w:val="none"/>
          <w:lang w:val="en-US" w:eastAsia="zh-CN"/>
        </w:rPr>
      </w:pPr>
      <w:r>
        <w:rPr>
          <w:rFonts w:hint="default" w:ascii="Times New Roman" w:hAnsi="Times New Roman" w:eastAsia="宋体" w:cs="Times New Roman"/>
          <w:b/>
          <w:color w:val="auto"/>
          <w:kern w:val="2"/>
          <w:sz w:val="28"/>
          <w:szCs w:val="28"/>
          <w:highlight w:val="none"/>
        </w:rPr>
        <w:t>通讯地址：</w:t>
      </w:r>
      <w:r>
        <w:rPr>
          <w:rFonts w:hint="default" w:ascii="Times New Roman" w:hAnsi="Times New Roman" w:eastAsia="宋体" w:cs="Times New Roman"/>
          <w:b/>
          <w:color w:val="auto"/>
          <w:kern w:val="2"/>
          <w:sz w:val="28"/>
          <w:szCs w:val="28"/>
          <w:highlight w:val="none"/>
          <w:lang w:val="en-US" w:eastAsia="zh-CN"/>
        </w:rPr>
        <w:t>新疆乌鲁木齐市新市区苏州东街 789 号</w:t>
      </w:r>
    </w:p>
    <w:p w14:paraId="00A011FC">
      <w:pPr>
        <w:shd w:val="clear"/>
        <w:autoSpaceDE/>
        <w:autoSpaceDN/>
        <w:spacing w:line="360" w:lineRule="auto"/>
        <w:ind w:firstLine="843" w:firstLineChars="300"/>
        <w:jc w:val="left"/>
        <w:rPr>
          <w:rFonts w:hint="default" w:ascii="Times New Roman" w:hAnsi="Times New Roman" w:eastAsia="宋体" w:cs="Times New Roman"/>
          <w:b/>
          <w:color w:val="auto"/>
          <w:kern w:val="2"/>
          <w:sz w:val="28"/>
          <w:szCs w:val="28"/>
          <w:highlight w:val="none"/>
          <w:lang w:val="en-US" w:eastAsia="zh-CN"/>
        </w:rPr>
      </w:pPr>
      <w:r>
        <w:rPr>
          <w:rFonts w:hint="default" w:ascii="Times New Roman" w:hAnsi="Times New Roman" w:eastAsia="宋体" w:cs="Times New Roman"/>
          <w:b/>
          <w:color w:val="auto"/>
          <w:kern w:val="2"/>
          <w:sz w:val="28"/>
          <w:szCs w:val="28"/>
          <w:highlight w:val="none"/>
        </w:rPr>
        <w:t>邮政编码：</w:t>
      </w:r>
      <w:r>
        <w:rPr>
          <w:rFonts w:hint="default" w:ascii="Times New Roman" w:hAnsi="Times New Roman" w:eastAsia="宋体" w:cs="Times New Roman"/>
          <w:b/>
          <w:color w:val="auto"/>
          <w:kern w:val="2"/>
          <w:sz w:val="28"/>
          <w:szCs w:val="28"/>
          <w:highlight w:val="none"/>
          <w:lang w:val="en-US" w:eastAsia="zh-CN"/>
        </w:rPr>
        <w:t xml:space="preserve">830011 </w:t>
      </w:r>
      <w:r>
        <w:rPr>
          <w:rFonts w:hint="default" w:ascii="Times New Roman" w:hAnsi="Times New Roman" w:eastAsia="宋体" w:cs="Times New Roman"/>
          <w:b/>
          <w:color w:val="auto"/>
          <w:kern w:val="2"/>
          <w:sz w:val="28"/>
          <w:szCs w:val="28"/>
          <w:highlight w:val="none"/>
        </w:rPr>
        <w:t xml:space="preserve">     </w:t>
      </w:r>
      <w:r>
        <w:rPr>
          <w:rFonts w:hint="default" w:ascii="Times New Roman" w:hAnsi="Times New Roman" w:eastAsia="宋体" w:cs="Times New Roman"/>
          <w:b/>
          <w:color w:val="auto"/>
          <w:kern w:val="2"/>
          <w:sz w:val="28"/>
          <w:szCs w:val="28"/>
          <w:highlight w:val="none"/>
          <w:lang w:val="en-US" w:eastAsia="zh-CN"/>
        </w:rPr>
        <w:t xml:space="preserve">   </w:t>
      </w:r>
      <w:r>
        <w:rPr>
          <w:rFonts w:hint="default" w:ascii="Times New Roman" w:hAnsi="Times New Roman" w:eastAsia="宋体" w:cs="Times New Roman"/>
          <w:b/>
          <w:color w:val="auto"/>
          <w:kern w:val="2"/>
          <w:sz w:val="28"/>
          <w:szCs w:val="28"/>
          <w:highlight w:val="none"/>
        </w:rPr>
        <w:t xml:space="preserve"> </w:t>
      </w:r>
      <w:r>
        <w:rPr>
          <w:rFonts w:hint="default" w:ascii="Times New Roman" w:hAnsi="Times New Roman" w:eastAsia="宋体" w:cs="Times New Roman"/>
          <w:b/>
          <w:color w:val="auto"/>
          <w:kern w:val="2"/>
          <w:sz w:val="28"/>
          <w:szCs w:val="28"/>
          <w:highlight w:val="none"/>
          <w:lang w:val="en-US" w:eastAsia="zh-CN"/>
        </w:rPr>
        <w:t xml:space="preserve">   </w:t>
      </w:r>
      <w:r>
        <w:rPr>
          <w:rFonts w:hint="default" w:ascii="Times New Roman" w:hAnsi="Times New Roman" w:eastAsia="宋体" w:cs="Times New Roman"/>
          <w:b/>
          <w:color w:val="auto"/>
          <w:kern w:val="2"/>
          <w:sz w:val="28"/>
          <w:szCs w:val="28"/>
          <w:highlight w:val="none"/>
        </w:rPr>
        <w:t>联系人：</w:t>
      </w:r>
      <w:r>
        <w:rPr>
          <w:rFonts w:hint="default" w:ascii="Times New Roman" w:hAnsi="Times New Roman" w:cs="Times New Roman"/>
          <w:b/>
          <w:color w:val="auto"/>
          <w:kern w:val="2"/>
          <w:sz w:val="28"/>
          <w:szCs w:val="28"/>
          <w:highlight w:val="none"/>
          <w:lang w:val="en-US" w:eastAsia="zh-CN"/>
        </w:rPr>
        <w:t>戴姗姗</w:t>
      </w:r>
    </w:p>
    <w:p w14:paraId="7C0C45D7">
      <w:pPr>
        <w:shd w:val="clear"/>
        <w:autoSpaceDE/>
        <w:autoSpaceDN/>
        <w:spacing w:line="360" w:lineRule="auto"/>
        <w:ind w:firstLine="843" w:firstLineChars="300"/>
        <w:jc w:val="left"/>
        <w:rPr>
          <w:rFonts w:hint="default" w:ascii="Times New Roman" w:hAnsi="Times New Roman" w:eastAsia="宋体" w:cs="Times New Roman"/>
          <w:b/>
          <w:color w:val="auto"/>
          <w:kern w:val="2"/>
          <w:sz w:val="28"/>
          <w:szCs w:val="28"/>
          <w:highlight w:val="none"/>
          <w:lang w:val="en-US" w:eastAsia="zh-CN"/>
        </w:rPr>
      </w:pPr>
      <w:r>
        <w:rPr>
          <w:rFonts w:hint="default" w:ascii="Times New Roman" w:hAnsi="Times New Roman" w:eastAsia="宋体" w:cs="Times New Roman"/>
          <w:b/>
          <w:color w:val="auto"/>
          <w:kern w:val="2"/>
          <w:sz w:val="28"/>
          <w:szCs w:val="28"/>
          <w:highlight w:val="none"/>
          <w:lang w:eastAsia="zh-CN"/>
        </w:rPr>
        <w:t>电子邮箱</w:t>
      </w:r>
      <w:r>
        <w:rPr>
          <w:rFonts w:hint="default" w:ascii="Times New Roman" w:hAnsi="Times New Roman" w:eastAsia="宋体" w:cs="Times New Roman"/>
          <w:b/>
          <w:color w:val="auto"/>
          <w:kern w:val="2"/>
          <w:sz w:val="28"/>
          <w:szCs w:val="28"/>
          <w:highlight w:val="none"/>
        </w:rPr>
        <w:t>：</w:t>
      </w:r>
      <w:r>
        <w:rPr>
          <w:rFonts w:hint="default" w:ascii="Times New Roman" w:hAnsi="Times New Roman" w:eastAsia="宋体" w:cs="Times New Roman"/>
          <w:b/>
          <w:color w:val="auto"/>
          <w:kern w:val="2"/>
          <w:sz w:val="28"/>
          <w:szCs w:val="28"/>
          <w:highlight w:val="none"/>
          <w:lang w:val="en-US" w:eastAsia="zh-CN"/>
        </w:rPr>
        <w:t xml:space="preserve">1090466411@qq.com </w:t>
      </w:r>
      <w:r>
        <w:rPr>
          <w:rFonts w:hint="default" w:ascii="Times New Roman" w:hAnsi="Times New Roman" w:eastAsia="宋体" w:cs="Times New Roman"/>
          <w:b/>
          <w:color w:val="auto"/>
          <w:kern w:val="2"/>
          <w:sz w:val="28"/>
          <w:szCs w:val="28"/>
          <w:highlight w:val="none"/>
        </w:rPr>
        <w:t>联系电话：</w:t>
      </w:r>
      <w:r>
        <w:rPr>
          <w:rFonts w:hint="default" w:ascii="Times New Roman" w:hAnsi="Times New Roman" w:eastAsia="宋体" w:cs="Times New Roman"/>
          <w:b/>
          <w:color w:val="auto"/>
          <w:kern w:val="2"/>
          <w:sz w:val="28"/>
          <w:szCs w:val="28"/>
          <w:highlight w:val="none"/>
          <w:lang w:eastAsia="zh-CN"/>
        </w:rPr>
        <w:t>15699199639</w:t>
      </w:r>
    </w:p>
    <w:p w14:paraId="0FC42595">
      <w:pPr>
        <w:shd w:val="clear"/>
        <w:autoSpaceDE/>
        <w:autoSpaceDN/>
        <w:ind w:firstLine="630" w:firstLineChars="300"/>
        <w:jc w:val="left"/>
        <w:rPr>
          <w:rFonts w:hint="default" w:ascii="Times New Roman" w:hAnsi="Times New Roman" w:eastAsia="宋体" w:cs="Times New Roman"/>
          <w:color w:val="auto"/>
          <w:kern w:val="2"/>
          <w:sz w:val="21"/>
          <w:szCs w:val="24"/>
          <w:highlight w:val="none"/>
          <w:lang w:val="en-US" w:eastAsia="zh-CN"/>
        </w:rPr>
      </w:pPr>
    </w:p>
    <w:p w14:paraId="2D063C0B">
      <w:pPr>
        <w:shd w:val="clear"/>
        <w:spacing w:before="257"/>
        <w:ind w:left="1520" w:right="1657"/>
        <w:jc w:val="center"/>
        <w:rPr>
          <w:rFonts w:hint="default" w:ascii="Times New Roman" w:hAnsi="Times New Roman" w:eastAsia="宋体" w:cs="Times New Roman"/>
          <w:b/>
          <w:color w:val="auto"/>
          <w:sz w:val="36"/>
          <w:highlight w:val="none"/>
        </w:rPr>
      </w:pPr>
    </w:p>
    <w:p w14:paraId="52B5E928">
      <w:pPr>
        <w:pStyle w:val="8"/>
        <w:shd w:val="clear"/>
        <w:spacing w:before="44"/>
        <w:ind w:left="1524" w:right="985" w:firstLine="0"/>
        <w:jc w:val="center"/>
        <w:rPr>
          <w:rFonts w:hint="default" w:ascii="Times New Roman" w:hAnsi="Times New Roman" w:eastAsia="宋体" w:cs="Times New Roman"/>
          <w:color w:val="auto"/>
          <w:sz w:val="32"/>
          <w:szCs w:val="32"/>
          <w:highlight w:val="none"/>
        </w:rPr>
      </w:pPr>
      <w:r>
        <w:rPr>
          <w:rFonts w:hint="default" w:ascii="Times New Roman" w:hAnsi="Times New Roman" w:eastAsia="宋体" w:cs="Times New Roman"/>
          <w:color w:val="auto"/>
          <w:sz w:val="32"/>
          <w:szCs w:val="32"/>
          <w:highlight w:val="none"/>
        </w:rPr>
        <w:t>目录</w:t>
      </w:r>
    </w:p>
    <w:p w14:paraId="3203AA8C">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TOC \o "1-1" \h \u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_Toc18376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cs="Times New Roman"/>
          <w:color w:val="auto"/>
          <w:sz w:val="22"/>
          <w:szCs w:val="22"/>
          <w:highlight w:val="none"/>
          <w:lang w:eastAsia="zh-CN"/>
        </w:rPr>
        <w:t>表</w:t>
      </w:r>
      <w:r>
        <w:rPr>
          <w:rFonts w:hint="default" w:ascii="Times New Roman" w:hAnsi="Times New Roman" w:eastAsia="宋体" w:cs="Times New Roman"/>
          <w:color w:val="auto"/>
          <w:sz w:val="22"/>
          <w:szCs w:val="22"/>
          <w:highlight w:val="none"/>
        </w:rPr>
        <w:t>1 项目基本情况</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_Toc18376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1</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73F7D860">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_Toc16109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cs="Times New Roman"/>
          <w:color w:val="auto"/>
          <w:sz w:val="22"/>
          <w:szCs w:val="22"/>
          <w:highlight w:val="none"/>
          <w:lang w:eastAsia="zh-CN"/>
        </w:rPr>
        <w:t>表</w:t>
      </w:r>
      <w:r>
        <w:rPr>
          <w:rFonts w:hint="default" w:ascii="Times New Roman" w:hAnsi="Times New Roman" w:eastAsia="宋体" w:cs="Times New Roman"/>
          <w:color w:val="auto"/>
          <w:sz w:val="22"/>
          <w:szCs w:val="22"/>
          <w:highlight w:val="none"/>
        </w:rPr>
        <w:t>2 放射源</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_Toc16109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3</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07DEC986">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_Toc14752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cs="Times New Roman"/>
          <w:color w:val="auto"/>
          <w:sz w:val="22"/>
          <w:szCs w:val="22"/>
          <w:highlight w:val="none"/>
          <w:lang w:eastAsia="zh-CN"/>
        </w:rPr>
        <w:t>表</w:t>
      </w:r>
      <w:r>
        <w:rPr>
          <w:rFonts w:hint="default" w:ascii="Times New Roman" w:hAnsi="Times New Roman" w:eastAsia="宋体" w:cs="Times New Roman"/>
          <w:color w:val="auto"/>
          <w:sz w:val="22"/>
          <w:szCs w:val="22"/>
          <w:highlight w:val="none"/>
        </w:rPr>
        <w:t>3 非密封放射性物质</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_Toc14752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4</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7114F9A1">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_Toc27283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cs="Times New Roman"/>
          <w:color w:val="auto"/>
          <w:sz w:val="22"/>
          <w:szCs w:val="22"/>
          <w:highlight w:val="none"/>
          <w:lang w:eastAsia="zh-CN"/>
        </w:rPr>
        <w:t>表</w:t>
      </w:r>
      <w:r>
        <w:rPr>
          <w:rFonts w:hint="default" w:ascii="Times New Roman" w:hAnsi="Times New Roman" w:eastAsia="宋体" w:cs="Times New Roman"/>
          <w:color w:val="auto"/>
          <w:sz w:val="22"/>
          <w:szCs w:val="22"/>
          <w:highlight w:val="none"/>
        </w:rPr>
        <w:t>4 射线装置</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_Toc27283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5</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0D79BFCA">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_Toc28743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cs="Times New Roman"/>
          <w:color w:val="auto"/>
          <w:sz w:val="22"/>
          <w:szCs w:val="22"/>
          <w:highlight w:val="none"/>
          <w:lang w:eastAsia="zh-CN"/>
        </w:rPr>
        <w:t>表</w:t>
      </w:r>
      <w:r>
        <w:rPr>
          <w:rFonts w:hint="default" w:ascii="Times New Roman" w:hAnsi="Times New Roman" w:eastAsia="宋体" w:cs="Times New Roman"/>
          <w:color w:val="auto"/>
          <w:sz w:val="22"/>
          <w:szCs w:val="22"/>
          <w:highlight w:val="none"/>
        </w:rPr>
        <w:t>5 废弃物（重点是放射性废弃物）</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_Toc28743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6</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2FCCA7CF">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_Toc25200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表</w:t>
      </w:r>
      <w:r>
        <w:rPr>
          <w:rFonts w:hint="default" w:ascii="Times New Roman" w:hAnsi="Times New Roman" w:eastAsia="宋体" w:cs="Times New Roman"/>
          <w:color w:val="auto"/>
          <w:sz w:val="22"/>
          <w:szCs w:val="22"/>
          <w:highlight w:val="none"/>
          <w:lang w:eastAsia="zh-CN"/>
        </w:rPr>
        <w:t>6</w:t>
      </w:r>
      <w:r>
        <w:rPr>
          <w:rFonts w:hint="default" w:ascii="Times New Roman" w:hAnsi="Times New Roman" w:eastAsia="宋体" w:cs="Times New Roman"/>
          <w:color w:val="auto"/>
          <w:sz w:val="22"/>
          <w:szCs w:val="22"/>
          <w:highlight w:val="none"/>
        </w:rPr>
        <w:t xml:space="preserve"> 评价依据</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_Toc25200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7</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7D7A242B">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_Toc23385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cs="Times New Roman"/>
          <w:color w:val="auto"/>
          <w:sz w:val="22"/>
          <w:szCs w:val="22"/>
          <w:highlight w:val="none"/>
          <w:lang w:eastAsia="zh-CN"/>
        </w:rPr>
        <w:t>表</w:t>
      </w:r>
      <w:r>
        <w:rPr>
          <w:rFonts w:hint="default" w:ascii="Times New Roman" w:hAnsi="Times New Roman" w:eastAsia="宋体" w:cs="Times New Roman"/>
          <w:color w:val="auto"/>
          <w:sz w:val="22"/>
          <w:szCs w:val="22"/>
          <w:highlight w:val="none"/>
        </w:rPr>
        <w:t>7 保护目标与评价标准</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_Toc23385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10</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588DBA2C">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_Toc14054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表</w:t>
      </w:r>
      <w:r>
        <w:rPr>
          <w:rFonts w:hint="default" w:ascii="Times New Roman" w:hAnsi="Times New Roman" w:eastAsia="宋体" w:cs="Times New Roman"/>
          <w:color w:val="auto"/>
          <w:sz w:val="22"/>
          <w:szCs w:val="22"/>
          <w:highlight w:val="none"/>
          <w:lang w:eastAsia="zh-CN"/>
        </w:rPr>
        <w:t>8</w:t>
      </w:r>
      <w:r>
        <w:rPr>
          <w:rFonts w:hint="default" w:ascii="Times New Roman" w:hAnsi="Times New Roman" w:eastAsia="宋体" w:cs="Times New Roman"/>
          <w:color w:val="auto"/>
          <w:sz w:val="22"/>
          <w:szCs w:val="22"/>
          <w:highlight w:val="none"/>
        </w:rPr>
        <w:t xml:space="preserve"> 环境质量和辐射现状</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_Toc14054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29</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4FA93DF8">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_Toc29716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表</w:t>
      </w:r>
      <w:r>
        <w:rPr>
          <w:rFonts w:hint="default" w:ascii="Times New Roman" w:hAnsi="Times New Roman" w:eastAsia="宋体" w:cs="Times New Roman"/>
          <w:color w:val="auto"/>
          <w:sz w:val="22"/>
          <w:szCs w:val="22"/>
          <w:highlight w:val="none"/>
          <w:lang w:eastAsia="zh-CN"/>
        </w:rPr>
        <w:t>9</w:t>
      </w:r>
      <w:r>
        <w:rPr>
          <w:rFonts w:hint="default" w:ascii="Times New Roman" w:hAnsi="Times New Roman" w:eastAsia="宋体" w:cs="Times New Roman"/>
          <w:color w:val="auto"/>
          <w:sz w:val="22"/>
          <w:szCs w:val="22"/>
          <w:highlight w:val="none"/>
        </w:rPr>
        <w:t xml:space="preserve"> 工程分析与源项</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_Toc29716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38</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35B0D122">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_Toc9466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表</w:t>
      </w:r>
      <w:r>
        <w:rPr>
          <w:rFonts w:hint="default" w:ascii="Times New Roman" w:hAnsi="Times New Roman" w:eastAsia="宋体" w:cs="Times New Roman"/>
          <w:color w:val="auto"/>
          <w:sz w:val="22"/>
          <w:szCs w:val="22"/>
          <w:highlight w:val="none"/>
          <w:lang w:eastAsia="zh-CN"/>
        </w:rPr>
        <w:t>10</w:t>
      </w:r>
      <w:r>
        <w:rPr>
          <w:rFonts w:hint="default" w:ascii="Times New Roman" w:hAnsi="Times New Roman" w:eastAsia="宋体" w:cs="Times New Roman"/>
          <w:color w:val="auto"/>
          <w:sz w:val="22"/>
          <w:szCs w:val="22"/>
          <w:highlight w:val="none"/>
        </w:rPr>
        <w:t xml:space="preserve"> 辐射安全与防护</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_Toc9466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75</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6F5FB5C2">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_Toc4390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cs="Times New Roman"/>
          <w:color w:val="auto"/>
          <w:sz w:val="22"/>
          <w:szCs w:val="22"/>
          <w:highlight w:val="none"/>
          <w:lang w:eastAsia="zh-CN"/>
        </w:rPr>
        <w:t>表</w:t>
      </w:r>
      <w:r>
        <w:rPr>
          <w:rFonts w:hint="default" w:ascii="Times New Roman" w:hAnsi="Times New Roman" w:eastAsia="宋体" w:cs="Times New Roman"/>
          <w:color w:val="auto"/>
          <w:sz w:val="22"/>
          <w:szCs w:val="22"/>
          <w:highlight w:val="none"/>
        </w:rPr>
        <w:t>11 环境影响分析</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_Toc4390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98</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0510F09C">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_Toc26486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cs="Times New Roman"/>
          <w:color w:val="auto"/>
          <w:sz w:val="22"/>
          <w:szCs w:val="22"/>
          <w:highlight w:val="none"/>
          <w:lang w:eastAsia="zh-CN"/>
        </w:rPr>
        <w:t>表</w:t>
      </w:r>
      <w:r>
        <w:rPr>
          <w:rFonts w:hint="default" w:ascii="Times New Roman" w:hAnsi="Times New Roman" w:eastAsia="宋体" w:cs="Times New Roman"/>
          <w:color w:val="auto"/>
          <w:sz w:val="22"/>
          <w:szCs w:val="22"/>
          <w:highlight w:val="none"/>
        </w:rPr>
        <w:t>12 辐射安全管理</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_Toc26486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129</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24BD4DDB">
      <w:pPr>
        <w:pStyle w:val="18"/>
        <w:tabs>
          <w:tab w:val="right" w:leader="dot" w:pos="9359"/>
        </w:tabs>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_Toc3517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cs="Times New Roman"/>
          <w:color w:val="auto"/>
          <w:sz w:val="22"/>
          <w:szCs w:val="22"/>
          <w:highlight w:val="none"/>
          <w:lang w:eastAsia="zh-CN"/>
        </w:rPr>
        <w:t>表</w:t>
      </w:r>
      <w:r>
        <w:rPr>
          <w:rFonts w:hint="default" w:ascii="Times New Roman" w:hAnsi="Times New Roman" w:eastAsia="宋体" w:cs="Times New Roman"/>
          <w:color w:val="auto"/>
          <w:sz w:val="22"/>
          <w:szCs w:val="22"/>
          <w:highlight w:val="none"/>
        </w:rPr>
        <w:t>13 结论与建议</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_Toc3517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133</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69C49371">
      <w:pPr>
        <w:pStyle w:val="18"/>
        <w:tabs>
          <w:tab w:val="right" w:leader="dot" w:pos="9359"/>
        </w:tabs>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HYPERLINK \l _Toc29234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cs="Times New Roman"/>
          <w:color w:val="auto"/>
          <w:sz w:val="22"/>
          <w:szCs w:val="22"/>
          <w:highlight w:val="none"/>
          <w:lang w:eastAsia="zh-CN"/>
        </w:rPr>
        <w:t>表</w:t>
      </w:r>
      <w:r>
        <w:rPr>
          <w:rFonts w:hint="default" w:ascii="Times New Roman" w:hAnsi="Times New Roman" w:eastAsia="宋体" w:cs="Times New Roman"/>
          <w:color w:val="auto"/>
          <w:sz w:val="22"/>
          <w:szCs w:val="22"/>
          <w:highlight w:val="none"/>
        </w:rPr>
        <w:t>14 审批</w:t>
      </w:r>
      <w:r>
        <w:rPr>
          <w:rFonts w:hint="default" w:ascii="Times New Roman" w:hAnsi="Times New Roman" w:eastAsia="宋体" w:cs="Times New Roman"/>
          <w:color w:val="auto"/>
          <w:sz w:val="22"/>
          <w:szCs w:val="22"/>
          <w:highlight w:val="none"/>
        </w:rPr>
        <w:tab/>
      </w:r>
      <w:r>
        <w:rPr>
          <w:rFonts w:hint="default" w:ascii="Times New Roman" w:hAnsi="Times New Roman" w:eastAsia="宋体" w:cs="Times New Roman"/>
          <w:color w:val="auto"/>
          <w:sz w:val="22"/>
          <w:szCs w:val="22"/>
          <w:highlight w:val="none"/>
        </w:rPr>
        <w:fldChar w:fldCharType="begin"/>
      </w:r>
      <w:r>
        <w:rPr>
          <w:rFonts w:hint="default" w:ascii="Times New Roman" w:hAnsi="Times New Roman" w:eastAsia="宋体" w:cs="Times New Roman"/>
          <w:color w:val="auto"/>
          <w:sz w:val="22"/>
          <w:szCs w:val="22"/>
          <w:highlight w:val="none"/>
        </w:rPr>
        <w:instrText xml:space="preserve"> PAGEREF _Toc29234 \h </w:instrText>
      </w:r>
      <w:r>
        <w:rPr>
          <w:rFonts w:hint="default" w:ascii="Times New Roman" w:hAnsi="Times New Roman" w:eastAsia="宋体" w:cs="Times New Roman"/>
          <w:color w:val="auto"/>
          <w:sz w:val="22"/>
          <w:szCs w:val="22"/>
          <w:highlight w:val="none"/>
        </w:rPr>
        <w:fldChar w:fldCharType="separate"/>
      </w:r>
      <w:r>
        <w:rPr>
          <w:rFonts w:hint="default" w:ascii="Times New Roman" w:hAnsi="Times New Roman" w:eastAsia="宋体" w:cs="Times New Roman"/>
          <w:color w:val="auto"/>
          <w:sz w:val="22"/>
          <w:szCs w:val="22"/>
          <w:highlight w:val="none"/>
        </w:rPr>
        <w:t>137</w:t>
      </w:r>
      <w:r>
        <w:rPr>
          <w:rFonts w:hint="default" w:ascii="Times New Roman" w:hAnsi="Times New Roman" w:eastAsia="宋体" w:cs="Times New Roman"/>
          <w:color w:val="auto"/>
          <w:sz w:val="22"/>
          <w:szCs w:val="22"/>
          <w:highlight w:val="none"/>
        </w:rPr>
        <w:fldChar w:fldCharType="end"/>
      </w:r>
      <w:r>
        <w:rPr>
          <w:rFonts w:hint="default" w:ascii="Times New Roman" w:hAnsi="Times New Roman" w:eastAsia="宋体" w:cs="Times New Roman"/>
          <w:color w:val="auto"/>
          <w:sz w:val="22"/>
          <w:szCs w:val="22"/>
          <w:highlight w:val="none"/>
        </w:rPr>
        <w:fldChar w:fldCharType="end"/>
      </w:r>
    </w:p>
    <w:p w14:paraId="5C813D0A">
      <w:pPr>
        <w:pStyle w:val="12"/>
        <w:shd w:val="clear"/>
        <w:ind w:left="317"/>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end"/>
      </w:r>
    </w:p>
    <w:p w14:paraId="1F965760">
      <w:pPr>
        <w:pStyle w:val="12"/>
        <w:shd w:val="clear"/>
        <w:spacing w:line="24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附件：</w:t>
      </w:r>
    </w:p>
    <w:p w14:paraId="34A7A845">
      <w:pPr>
        <w:pStyle w:val="9"/>
        <w:rPr>
          <w:rFonts w:hint="default" w:ascii="Times New Roman" w:hAnsi="Times New Roman" w:eastAsia="宋体" w:cs="Times New Roman"/>
          <w:color w:val="auto"/>
          <w:sz w:val="21"/>
          <w:highlight w:val="none"/>
        </w:rPr>
      </w:pPr>
    </w:p>
    <w:p w14:paraId="5BC9971F">
      <w:pPr>
        <w:rPr>
          <w:rFonts w:hint="default"/>
          <w:color w:val="auto"/>
          <w:highlight w:val="none"/>
          <w:lang w:val="en-US" w:eastAsia="zh-CN"/>
        </w:rPr>
      </w:pPr>
      <w:r>
        <w:rPr>
          <w:rFonts w:hint="eastAsia"/>
          <w:color w:val="auto"/>
          <w:highlight w:val="none"/>
          <w:lang w:val="en-US" w:eastAsia="zh-CN"/>
        </w:rPr>
        <w:t>附件1委托书</w:t>
      </w:r>
    </w:p>
    <w:p w14:paraId="21CDF01A">
      <w:pPr>
        <w:rPr>
          <w:rFonts w:hint="default"/>
          <w:color w:val="auto"/>
          <w:highlight w:val="none"/>
          <w:lang w:val="en-US" w:eastAsia="zh-CN"/>
        </w:rPr>
      </w:pPr>
      <w:r>
        <w:rPr>
          <w:rFonts w:hint="default"/>
          <w:color w:val="auto"/>
          <w:highlight w:val="none"/>
          <w:lang w:val="en-US" w:eastAsia="zh-CN"/>
        </w:rPr>
        <w:t>附件2现有核技术利用项目环保手续</w:t>
      </w:r>
    </w:p>
    <w:p w14:paraId="1E153068">
      <w:pPr>
        <w:rPr>
          <w:rFonts w:hint="default"/>
          <w:color w:val="auto"/>
          <w:highlight w:val="none"/>
          <w:lang w:val="en-US" w:eastAsia="zh-CN"/>
        </w:rPr>
      </w:pPr>
      <w:r>
        <w:rPr>
          <w:rFonts w:hint="default"/>
          <w:color w:val="auto"/>
          <w:highlight w:val="none"/>
          <w:lang w:val="en-US" w:eastAsia="zh-CN"/>
        </w:rPr>
        <w:t>附件3关于调整放射防护及辐射安全管理委员会委员的通知</w:t>
      </w:r>
    </w:p>
    <w:p w14:paraId="026401AC">
      <w:pPr>
        <w:rPr>
          <w:rFonts w:hint="default"/>
          <w:color w:val="auto"/>
          <w:highlight w:val="none"/>
          <w:lang w:val="en-US" w:eastAsia="zh-CN"/>
        </w:rPr>
      </w:pPr>
      <w:r>
        <w:rPr>
          <w:rFonts w:hint="default"/>
          <w:color w:val="auto"/>
          <w:highlight w:val="none"/>
          <w:lang w:val="en-US" w:eastAsia="zh-CN"/>
        </w:rPr>
        <w:t>附件4防护考核培训证书</w:t>
      </w:r>
    </w:p>
    <w:p w14:paraId="0F4379E2">
      <w:pPr>
        <w:rPr>
          <w:rFonts w:hint="default"/>
          <w:color w:val="auto"/>
          <w:highlight w:val="none"/>
          <w:lang w:val="en-US" w:eastAsia="zh-CN"/>
        </w:rPr>
      </w:pPr>
      <w:r>
        <w:rPr>
          <w:rFonts w:hint="default"/>
          <w:color w:val="auto"/>
          <w:highlight w:val="none"/>
          <w:lang w:val="en-US" w:eastAsia="zh-CN"/>
        </w:rPr>
        <w:t>附件5个人剂量监测报告</w:t>
      </w:r>
    </w:p>
    <w:p w14:paraId="2D5805F9">
      <w:pPr>
        <w:rPr>
          <w:rFonts w:hint="default"/>
          <w:color w:val="auto"/>
          <w:highlight w:val="none"/>
          <w:lang w:val="en-US" w:eastAsia="zh-CN"/>
        </w:rPr>
      </w:pPr>
      <w:r>
        <w:rPr>
          <w:rFonts w:hint="default"/>
          <w:color w:val="auto"/>
          <w:highlight w:val="none"/>
          <w:lang w:val="en-US" w:eastAsia="zh-CN"/>
        </w:rPr>
        <w:t>附件6关于印发辐射事故应急处理预案(修订)的通知</w:t>
      </w:r>
    </w:p>
    <w:p w14:paraId="1CA89AC6">
      <w:pPr>
        <w:rPr>
          <w:rFonts w:hint="default"/>
          <w:color w:val="auto"/>
          <w:highlight w:val="none"/>
          <w:lang w:val="en-US" w:eastAsia="zh-CN"/>
        </w:rPr>
      </w:pPr>
      <w:r>
        <w:rPr>
          <w:rFonts w:hint="default"/>
          <w:color w:val="auto"/>
          <w:highlight w:val="none"/>
          <w:lang w:val="en-US" w:eastAsia="zh-CN"/>
        </w:rPr>
        <w:t>附件7现状监测报告</w:t>
      </w:r>
    </w:p>
    <w:p w14:paraId="0A9E2B80">
      <w:pPr>
        <w:rPr>
          <w:rFonts w:hint="default"/>
          <w:color w:val="auto"/>
          <w:highlight w:val="none"/>
          <w:lang w:val="en-US" w:eastAsia="zh-CN"/>
        </w:rPr>
      </w:pPr>
      <w:r>
        <w:rPr>
          <w:rFonts w:hint="default"/>
          <w:color w:val="auto"/>
          <w:highlight w:val="none"/>
          <w:lang w:val="en-US" w:eastAsia="zh-CN"/>
        </w:rPr>
        <w:t>附件8引用现有项目验收监测报告</w:t>
      </w:r>
    </w:p>
    <w:p w14:paraId="2CA74D47">
      <w:pPr>
        <w:rPr>
          <w:rFonts w:hint="default"/>
          <w:color w:val="auto"/>
          <w:highlight w:val="none"/>
          <w:lang w:val="en-US" w:eastAsia="zh-CN"/>
        </w:rPr>
      </w:pPr>
      <w:r>
        <w:rPr>
          <w:rFonts w:hint="default"/>
          <w:color w:val="auto"/>
          <w:highlight w:val="none"/>
          <w:lang w:val="en-US" w:eastAsia="zh-CN"/>
        </w:rPr>
        <w:t>附图1项目平面图、剖面图</w:t>
      </w:r>
    </w:p>
    <w:p w14:paraId="09328D50">
      <w:pPr>
        <w:rPr>
          <w:rFonts w:hint="default"/>
          <w:color w:val="auto"/>
          <w:highlight w:val="none"/>
          <w:lang w:val="en-US" w:eastAsia="zh-CN"/>
        </w:rPr>
      </w:pPr>
      <w:r>
        <w:rPr>
          <w:rFonts w:hint="default"/>
          <w:color w:val="auto"/>
          <w:highlight w:val="none"/>
          <w:lang w:val="en-US" w:eastAsia="zh-CN"/>
        </w:rPr>
        <w:t>附图2项目控制区监督区划分示意图</w:t>
      </w:r>
    </w:p>
    <w:p w14:paraId="63875FE0">
      <w:pPr>
        <w:rPr>
          <w:rFonts w:hint="default"/>
          <w:color w:val="auto"/>
          <w:highlight w:val="none"/>
          <w:lang w:val="en-US" w:eastAsia="zh-CN"/>
        </w:rPr>
      </w:pPr>
      <w:r>
        <w:rPr>
          <w:rFonts w:hint="default"/>
          <w:color w:val="auto"/>
          <w:highlight w:val="none"/>
          <w:lang w:val="en-US" w:eastAsia="zh-CN"/>
        </w:rPr>
        <w:t>附图3项目人流物流路径图</w:t>
      </w:r>
    </w:p>
    <w:p w14:paraId="2E89FBC2">
      <w:pPr>
        <w:rPr>
          <w:rFonts w:hint="default"/>
          <w:color w:val="auto"/>
          <w:highlight w:val="none"/>
          <w:lang w:val="en-US" w:eastAsia="zh-CN"/>
        </w:rPr>
      </w:pPr>
      <w:r>
        <w:rPr>
          <w:rFonts w:hint="default"/>
          <w:color w:val="auto"/>
          <w:highlight w:val="none"/>
          <w:lang w:val="en-US" w:eastAsia="zh-CN"/>
        </w:rPr>
        <w:t>附图4项目放射性废气走向图</w:t>
      </w:r>
    </w:p>
    <w:p w14:paraId="22E26B2B">
      <w:pPr>
        <w:rPr>
          <w:rFonts w:hint="default"/>
          <w:color w:val="auto"/>
          <w:highlight w:val="none"/>
        </w:rPr>
      </w:pPr>
      <w:r>
        <w:rPr>
          <w:rFonts w:hint="default"/>
          <w:color w:val="auto"/>
          <w:highlight w:val="none"/>
          <w:lang w:val="en-US" w:eastAsia="zh-CN"/>
        </w:rPr>
        <w:t>附图5项目放射性废液走向图</w:t>
      </w:r>
    </w:p>
    <w:p w14:paraId="3C8CF39F">
      <w:pPr>
        <w:rPr>
          <w:rFonts w:hint="default"/>
          <w:color w:val="auto"/>
          <w:highlight w:val="none"/>
        </w:rPr>
      </w:pPr>
    </w:p>
    <w:p w14:paraId="5DA4A3C8">
      <w:pPr>
        <w:shd w:val="clear"/>
        <w:rPr>
          <w:rFonts w:hint="default" w:ascii="Times New Roman" w:hAnsi="Times New Roman" w:eastAsia="宋体" w:cs="Times New Roman"/>
          <w:color w:val="auto"/>
          <w:sz w:val="21"/>
          <w:highlight w:val="none"/>
        </w:rPr>
      </w:pPr>
    </w:p>
    <w:p w14:paraId="6026CAEC">
      <w:pPr>
        <w:shd w:val="clear"/>
        <w:rPr>
          <w:rFonts w:hint="default" w:ascii="Times New Roman" w:hAnsi="Times New Roman" w:eastAsia="宋体" w:cs="Times New Roman"/>
          <w:color w:val="auto"/>
          <w:sz w:val="21"/>
          <w:highlight w:val="none"/>
        </w:rPr>
        <w:sectPr>
          <w:pgSz w:w="11910" w:h="16840"/>
          <w:pgMar w:top="1417" w:right="1134" w:bottom="1417" w:left="1417" w:header="720" w:footer="720" w:gutter="0"/>
          <w:pgBorders>
            <w:top w:val="none" w:sz="0" w:space="0"/>
            <w:left w:val="none" w:sz="0" w:space="0"/>
            <w:bottom w:val="none" w:sz="0" w:space="0"/>
            <w:right w:val="none" w:sz="0" w:space="0"/>
          </w:pgBorders>
          <w:cols w:equalWidth="0" w:num="1">
            <w:col w:w="8970"/>
          </w:cols>
        </w:sectPr>
      </w:pPr>
    </w:p>
    <w:p w14:paraId="78B1B8BA">
      <w:pPr>
        <w:pStyle w:val="6"/>
        <w:shd w:val="clear"/>
        <w:rPr>
          <w:rFonts w:hint="default" w:ascii="Times New Roman" w:hAnsi="Times New Roman" w:eastAsia="宋体" w:cs="Times New Roman"/>
          <w:color w:val="auto"/>
          <w:highlight w:val="none"/>
        </w:rPr>
      </w:pPr>
      <w:bookmarkStart w:id="0" w:name="表1_项目基本情况"/>
      <w:bookmarkEnd w:id="0"/>
      <w:bookmarkStart w:id="1" w:name="_Toc18376"/>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1 项目基本情况</w:t>
      </w:r>
      <w:bookmarkEnd w:id="1"/>
    </w:p>
    <w:tbl>
      <w:tblPr>
        <w:tblStyle w:val="22"/>
        <w:tblW w:w="934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519"/>
        <w:gridCol w:w="1098"/>
        <w:gridCol w:w="1612"/>
        <w:gridCol w:w="1425"/>
        <w:gridCol w:w="1545"/>
        <w:gridCol w:w="1605"/>
        <w:gridCol w:w="1542"/>
      </w:tblGrid>
      <w:tr w14:paraId="67D78C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17" w:type="dxa"/>
            <w:gridSpan w:val="2"/>
            <w:tcBorders>
              <w:tl2br w:val="nil"/>
              <w:tr2bl w:val="nil"/>
            </w:tcBorders>
            <w:vAlign w:val="center"/>
          </w:tcPr>
          <w:p w14:paraId="4EE15FC1">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建设项目名称</w:t>
            </w:r>
          </w:p>
        </w:tc>
        <w:tc>
          <w:tcPr>
            <w:tcW w:w="7729" w:type="dxa"/>
            <w:gridSpan w:val="5"/>
            <w:tcBorders>
              <w:tl2br w:val="nil"/>
              <w:tr2bl w:val="nil"/>
            </w:tcBorders>
            <w:vAlign w:val="center"/>
          </w:tcPr>
          <w:p w14:paraId="1FCA736F">
            <w:pPr>
              <w:keepNext w:val="0"/>
              <w:keepLines w:val="0"/>
              <w:suppressLineNumbers w:val="0"/>
              <w:shd w:val="clear"/>
              <w:autoSpaceDE/>
              <w:autoSpaceDN/>
              <w:spacing w:before="0" w:beforeAutospacing="0" w:after="0" w:afterAutospacing="0" w:line="240" w:lineRule="auto"/>
              <w:ind w:left="0" w:right="0"/>
              <w:jc w:val="center"/>
              <w:rPr>
                <w:rFonts w:hint="default" w:ascii="Times New Roman" w:hAnsi="Times New Roman" w:eastAsia="宋体" w:cs="Times New Roman"/>
                <w:color w:val="auto"/>
                <w:sz w:val="24"/>
                <w:szCs w:val="24"/>
                <w:highlight w:val="none"/>
              </w:rPr>
            </w:pPr>
            <w:r>
              <w:rPr>
                <w:rFonts w:hint="eastAsia" w:cs="Times New Roman"/>
                <w:color w:val="auto"/>
                <w:sz w:val="24"/>
                <w:szCs w:val="22"/>
                <w:highlight w:val="none"/>
                <w:lang w:val="en-US" w:eastAsia="zh-CN" w:bidi="ar-SA"/>
              </w:rPr>
              <w:t>新疆医科大学附属肿瘤医院非密封放射性物质工作场所扩增项目</w:t>
            </w:r>
          </w:p>
        </w:tc>
      </w:tr>
      <w:tr w14:paraId="5C286B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17" w:type="dxa"/>
            <w:gridSpan w:val="2"/>
            <w:tcBorders>
              <w:tl2br w:val="nil"/>
              <w:tr2bl w:val="nil"/>
            </w:tcBorders>
            <w:vAlign w:val="center"/>
          </w:tcPr>
          <w:p w14:paraId="4C67046A">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建设单位</w:t>
            </w:r>
          </w:p>
        </w:tc>
        <w:tc>
          <w:tcPr>
            <w:tcW w:w="7729" w:type="dxa"/>
            <w:gridSpan w:val="5"/>
            <w:tcBorders>
              <w:tl2br w:val="nil"/>
              <w:tr2bl w:val="nil"/>
            </w:tcBorders>
            <w:vAlign w:val="center"/>
          </w:tcPr>
          <w:p w14:paraId="76D03F45">
            <w:pPr>
              <w:pStyle w:val="32"/>
              <w:keepNext w:val="0"/>
              <w:keepLines w:val="0"/>
              <w:suppressLineNumbers w:val="0"/>
              <w:shd w:val="clear"/>
              <w:spacing w:before="0" w:beforeAutospacing="0" w:after="0" w:afterAutospacing="0"/>
              <w:ind w:left="0" w:right="1009"/>
              <w:jc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新疆医科大学附属肿瘤医院</w:t>
            </w:r>
          </w:p>
        </w:tc>
      </w:tr>
      <w:tr w14:paraId="6B099B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17" w:type="dxa"/>
            <w:gridSpan w:val="2"/>
            <w:tcBorders>
              <w:tl2br w:val="nil"/>
              <w:tr2bl w:val="nil"/>
            </w:tcBorders>
            <w:vAlign w:val="center"/>
          </w:tcPr>
          <w:p w14:paraId="42CB78CF">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法人代表</w:t>
            </w:r>
          </w:p>
        </w:tc>
        <w:tc>
          <w:tcPr>
            <w:tcW w:w="1612" w:type="dxa"/>
            <w:tcBorders>
              <w:tl2br w:val="nil"/>
              <w:tr2bl w:val="nil"/>
            </w:tcBorders>
            <w:vAlign w:val="center"/>
          </w:tcPr>
          <w:p w14:paraId="3108E327">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fldChar w:fldCharType="begin"/>
            </w:r>
            <w:r>
              <w:rPr>
                <w:rFonts w:hint="default" w:ascii="Times New Roman" w:hAnsi="Times New Roman" w:eastAsia="宋体" w:cs="Times New Roman"/>
                <w:color w:val="auto"/>
                <w:sz w:val="24"/>
                <w:szCs w:val="24"/>
                <w:highlight w:val="none"/>
                <w:lang w:val="en-US" w:eastAsia="zh-CN"/>
              </w:rPr>
              <w:instrText xml:space="preserve"> HYPERLINK "https://www.tianyancha.com/human/2190696957-c3123153649" \o "赵南飞" \t "https://www.tianyancha.com/company/_blank" </w:instrText>
            </w:r>
            <w:r>
              <w:rPr>
                <w:rFonts w:hint="default" w:ascii="Times New Roman" w:hAnsi="Times New Roman" w:eastAsia="宋体" w:cs="Times New Roman"/>
                <w:color w:val="auto"/>
                <w:sz w:val="24"/>
                <w:szCs w:val="24"/>
                <w:highlight w:val="none"/>
                <w:lang w:val="en-US" w:eastAsia="zh-CN"/>
              </w:rPr>
              <w:fldChar w:fldCharType="separate"/>
            </w:r>
            <w:r>
              <w:rPr>
                <w:rFonts w:hint="default" w:ascii="Times New Roman" w:hAnsi="Times New Roman" w:eastAsia="宋体" w:cs="Times New Roman"/>
                <w:color w:val="auto"/>
                <w:sz w:val="24"/>
                <w:szCs w:val="24"/>
                <w:highlight w:val="none"/>
                <w:lang w:val="en-US" w:eastAsia="zh-CN"/>
              </w:rPr>
              <w:t>张永刚</w:t>
            </w:r>
            <w:r>
              <w:rPr>
                <w:rFonts w:hint="default" w:ascii="Times New Roman" w:hAnsi="Times New Roman" w:eastAsia="宋体" w:cs="Times New Roman"/>
                <w:color w:val="auto"/>
                <w:sz w:val="24"/>
                <w:szCs w:val="24"/>
                <w:highlight w:val="none"/>
                <w:lang w:val="en-US" w:eastAsia="zh-CN"/>
              </w:rPr>
              <w:fldChar w:fldCharType="end"/>
            </w:r>
          </w:p>
        </w:tc>
        <w:tc>
          <w:tcPr>
            <w:tcW w:w="1425" w:type="dxa"/>
            <w:tcBorders>
              <w:tl2br w:val="nil"/>
              <w:tr2bl w:val="nil"/>
            </w:tcBorders>
            <w:vAlign w:val="center"/>
          </w:tcPr>
          <w:p w14:paraId="1AC0A451">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联系人</w:t>
            </w:r>
          </w:p>
        </w:tc>
        <w:tc>
          <w:tcPr>
            <w:tcW w:w="1545" w:type="dxa"/>
            <w:tcBorders>
              <w:tl2br w:val="nil"/>
              <w:tr2bl w:val="nil"/>
            </w:tcBorders>
            <w:vAlign w:val="center"/>
          </w:tcPr>
          <w:p w14:paraId="3D71313B">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戴姗姗</w:t>
            </w:r>
          </w:p>
        </w:tc>
        <w:tc>
          <w:tcPr>
            <w:tcW w:w="1605" w:type="dxa"/>
            <w:tcBorders>
              <w:tl2br w:val="nil"/>
              <w:tr2bl w:val="nil"/>
            </w:tcBorders>
            <w:vAlign w:val="center"/>
          </w:tcPr>
          <w:p w14:paraId="3E8ED6E3">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联系电话</w:t>
            </w:r>
          </w:p>
        </w:tc>
        <w:tc>
          <w:tcPr>
            <w:tcW w:w="1542" w:type="dxa"/>
            <w:tcBorders>
              <w:tl2br w:val="nil"/>
              <w:tr2bl w:val="nil"/>
            </w:tcBorders>
            <w:vAlign w:val="center"/>
          </w:tcPr>
          <w:p w14:paraId="30C49EEA">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15699199639</w:t>
            </w:r>
          </w:p>
        </w:tc>
      </w:tr>
      <w:tr w14:paraId="31F2D7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17" w:type="dxa"/>
            <w:gridSpan w:val="2"/>
            <w:tcBorders>
              <w:tl2br w:val="nil"/>
              <w:tr2bl w:val="nil"/>
            </w:tcBorders>
            <w:vAlign w:val="center"/>
          </w:tcPr>
          <w:p w14:paraId="3E5A0894">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注册地址</w:t>
            </w:r>
          </w:p>
        </w:tc>
        <w:tc>
          <w:tcPr>
            <w:tcW w:w="7729" w:type="dxa"/>
            <w:gridSpan w:val="5"/>
            <w:tcBorders>
              <w:tl2br w:val="nil"/>
              <w:tr2bl w:val="nil"/>
            </w:tcBorders>
            <w:vAlign w:val="center"/>
          </w:tcPr>
          <w:p w14:paraId="301C4E89">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新疆乌鲁木齐市新市区苏州东街 789 号</w:t>
            </w:r>
          </w:p>
        </w:tc>
      </w:tr>
      <w:tr w14:paraId="3D1320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17" w:type="dxa"/>
            <w:gridSpan w:val="2"/>
            <w:tcBorders>
              <w:tl2br w:val="nil"/>
              <w:tr2bl w:val="nil"/>
            </w:tcBorders>
            <w:vAlign w:val="center"/>
          </w:tcPr>
          <w:p w14:paraId="257D58CB">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项目建设地点</w:t>
            </w:r>
          </w:p>
        </w:tc>
        <w:tc>
          <w:tcPr>
            <w:tcW w:w="7729" w:type="dxa"/>
            <w:gridSpan w:val="5"/>
            <w:tcBorders>
              <w:tl2br w:val="nil"/>
              <w:tr2bl w:val="nil"/>
            </w:tcBorders>
            <w:vAlign w:val="center"/>
          </w:tcPr>
          <w:p w14:paraId="1A148F41">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新疆维吾尔自治区乌鲁木齐市新市区肿瘤医院北院区核医学楼</w:t>
            </w:r>
            <w:r>
              <w:rPr>
                <w:rFonts w:hint="eastAsia" w:cs="Times New Roman"/>
                <w:color w:val="auto"/>
                <w:sz w:val="24"/>
                <w:szCs w:val="24"/>
                <w:highlight w:val="none"/>
                <w:lang w:val="en-US" w:eastAsia="zh-CN"/>
              </w:rPr>
              <w:t>、老院区综合楼</w:t>
            </w:r>
          </w:p>
        </w:tc>
      </w:tr>
      <w:tr w14:paraId="08F2CC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17" w:type="dxa"/>
            <w:gridSpan w:val="2"/>
            <w:tcBorders>
              <w:tl2br w:val="nil"/>
              <w:tr2bl w:val="nil"/>
            </w:tcBorders>
            <w:vAlign w:val="center"/>
          </w:tcPr>
          <w:p w14:paraId="77F374F7">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立项审批部门</w:t>
            </w:r>
          </w:p>
        </w:tc>
        <w:tc>
          <w:tcPr>
            <w:tcW w:w="3037" w:type="dxa"/>
            <w:gridSpan w:val="2"/>
            <w:tcBorders>
              <w:tl2br w:val="nil"/>
              <w:tr2bl w:val="nil"/>
            </w:tcBorders>
            <w:vAlign w:val="center"/>
          </w:tcPr>
          <w:p w14:paraId="68A53843">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c>
          <w:tcPr>
            <w:tcW w:w="1545" w:type="dxa"/>
            <w:tcBorders>
              <w:tl2br w:val="nil"/>
              <w:tr2bl w:val="nil"/>
            </w:tcBorders>
            <w:vAlign w:val="center"/>
          </w:tcPr>
          <w:p w14:paraId="236FBCAC">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批准文号</w:t>
            </w:r>
          </w:p>
        </w:tc>
        <w:tc>
          <w:tcPr>
            <w:tcW w:w="3147" w:type="dxa"/>
            <w:gridSpan w:val="2"/>
            <w:tcBorders>
              <w:tl2br w:val="nil"/>
              <w:tr2bl w:val="nil"/>
            </w:tcBorders>
            <w:vAlign w:val="center"/>
          </w:tcPr>
          <w:p w14:paraId="6B3A4F1A">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t>
            </w:r>
          </w:p>
        </w:tc>
      </w:tr>
      <w:tr w14:paraId="2A628D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1617" w:type="dxa"/>
            <w:gridSpan w:val="2"/>
            <w:tcBorders>
              <w:tl2br w:val="nil"/>
              <w:tr2bl w:val="nil"/>
            </w:tcBorders>
            <w:vAlign w:val="center"/>
          </w:tcPr>
          <w:p w14:paraId="49B5DAA2">
            <w:pPr>
              <w:pStyle w:val="32"/>
              <w:keepNext w:val="0"/>
              <w:keepLines w:val="0"/>
              <w:suppressLineNumbers w:val="0"/>
              <w:shd w:val="clear"/>
              <w:spacing w:before="0" w:beforeAutospacing="0" w:after="0" w:afterAutospacing="0"/>
              <w:ind w:left="119" w:right="0" w:hanging="119"/>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建设项目总投资（万元）</w:t>
            </w:r>
          </w:p>
        </w:tc>
        <w:tc>
          <w:tcPr>
            <w:tcW w:w="1612" w:type="dxa"/>
            <w:tcBorders>
              <w:tl2br w:val="nil"/>
              <w:tr2bl w:val="nil"/>
            </w:tcBorders>
            <w:vAlign w:val="center"/>
          </w:tcPr>
          <w:p w14:paraId="779A8601">
            <w:pPr>
              <w:pStyle w:val="32"/>
              <w:keepNext w:val="0"/>
              <w:keepLines w:val="0"/>
              <w:suppressLineNumbers w:val="0"/>
              <w:shd w:val="clear"/>
              <w:spacing w:before="0" w:beforeAutospacing="0" w:after="0" w:afterAutospacing="0"/>
              <w:ind w:left="119" w:right="0" w:hanging="119"/>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20</w:t>
            </w:r>
          </w:p>
        </w:tc>
        <w:tc>
          <w:tcPr>
            <w:tcW w:w="1425" w:type="dxa"/>
            <w:tcBorders>
              <w:tl2br w:val="nil"/>
              <w:tr2bl w:val="nil"/>
            </w:tcBorders>
            <w:vAlign w:val="center"/>
          </w:tcPr>
          <w:p w14:paraId="77CD8FCA">
            <w:pPr>
              <w:pStyle w:val="32"/>
              <w:keepNext w:val="0"/>
              <w:keepLines w:val="0"/>
              <w:suppressLineNumbers w:val="0"/>
              <w:shd w:val="clear"/>
              <w:spacing w:before="0" w:beforeAutospacing="0" w:after="0" w:afterAutospacing="0"/>
              <w:ind w:left="119" w:right="0" w:hanging="119"/>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项目环保投资（万元）</w:t>
            </w:r>
          </w:p>
        </w:tc>
        <w:tc>
          <w:tcPr>
            <w:tcW w:w="1545" w:type="dxa"/>
            <w:tcBorders>
              <w:tl2br w:val="nil"/>
              <w:tr2bl w:val="nil"/>
            </w:tcBorders>
            <w:vAlign w:val="center"/>
          </w:tcPr>
          <w:p w14:paraId="04A42336">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20</w:t>
            </w:r>
          </w:p>
        </w:tc>
        <w:tc>
          <w:tcPr>
            <w:tcW w:w="1605" w:type="dxa"/>
            <w:tcBorders>
              <w:tl2br w:val="nil"/>
              <w:tr2bl w:val="nil"/>
            </w:tcBorders>
            <w:vAlign w:val="center"/>
          </w:tcPr>
          <w:p w14:paraId="35D7E709">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投资比例</w:t>
            </w:r>
          </w:p>
          <w:p w14:paraId="7B8738ED">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（环保投资/总</w:t>
            </w:r>
          </w:p>
          <w:p w14:paraId="0A256DC4">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投资）</w:t>
            </w:r>
          </w:p>
        </w:tc>
        <w:tc>
          <w:tcPr>
            <w:tcW w:w="1542" w:type="dxa"/>
            <w:tcBorders>
              <w:tl2br w:val="nil"/>
              <w:tr2bl w:val="nil"/>
            </w:tcBorders>
            <w:vAlign w:val="center"/>
          </w:tcPr>
          <w:p w14:paraId="45F9BFF4">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100</w:t>
            </w:r>
            <w:r>
              <w:rPr>
                <w:rFonts w:hint="default" w:ascii="Times New Roman" w:hAnsi="Times New Roman" w:eastAsia="宋体" w:cs="Times New Roman"/>
                <w:color w:val="auto"/>
                <w:sz w:val="24"/>
                <w:szCs w:val="24"/>
                <w:highlight w:val="none"/>
                <w:lang w:val="en-US" w:eastAsia="zh-CN"/>
              </w:rPr>
              <w:t>%</w:t>
            </w:r>
          </w:p>
        </w:tc>
      </w:tr>
      <w:tr w14:paraId="370372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617" w:type="dxa"/>
            <w:gridSpan w:val="2"/>
            <w:tcBorders>
              <w:tl2br w:val="nil"/>
              <w:tr2bl w:val="nil"/>
            </w:tcBorders>
            <w:vAlign w:val="center"/>
          </w:tcPr>
          <w:p w14:paraId="6F559C58">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项目性质</w:t>
            </w:r>
          </w:p>
        </w:tc>
        <w:tc>
          <w:tcPr>
            <w:tcW w:w="4582" w:type="dxa"/>
            <w:gridSpan w:val="3"/>
            <w:tcBorders>
              <w:tl2br w:val="nil"/>
              <w:tr2bl w:val="nil"/>
            </w:tcBorders>
            <w:vAlign w:val="center"/>
          </w:tcPr>
          <w:p w14:paraId="067EAEA5">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新建</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改建</w:t>
            </w:r>
            <w:r>
              <w:rPr>
                <w:rFonts w:hint="default" w:ascii="Times New Roman" w:hAnsi="Times New Roman" w:eastAsia="宋体" w:cs="Times New Roman"/>
                <w:color w:val="auto"/>
                <w:sz w:val="24"/>
                <w:szCs w:val="24"/>
                <w:highlight w:val="none"/>
              </w:rPr>
              <w:sym w:font="Wingdings" w:char="00FE"/>
            </w:r>
            <w:r>
              <w:rPr>
                <w:rFonts w:hint="default" w:ascii="Times New Roman" w:hAnsi="Times New Roman" w:eastAsia="宋体" w:cs="Times New Roman"/>
                <w:color w:val="auto"/>
                <w:sz w:val="24"/>
                <w:szCs w:val="24"/>
                <w:highlight w:val="none"/>
              </w:rPr>
              <w:t>扩建</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其他</w:t>
            </w:r>
          </w:p>
        </w:tc>
        <w:tc>
          <w:tcPr>
            <w:tcW w:w="1605" w:type="dxa"/>
            <w:tcBorders>
              <w:tl2br w:val="nil"/>
              <w:tr2bl w:val="nil"/>
            </w:tcBorders>
            <w:vAlign w:val="center"/>
          </w:tcPr>
          <w:p w14:paraId="6BB02A4D">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占地面积</w:t>
            </w:r>
            <w:r>
              <w:rPr>
                <w:rFonts w:hint="default" w:ascii="Times New Roman" w:hAnsi="Times New Roman" w:eastAsia="宋体" w:cs="Times New Roman"/>
                <w:color w:val="auto"/>
                <w:spacing w:val="-5"/>
                <w:sz w:val="24"/>
                <w:szCs w:val="24"/>
                <w:highlight w:val="none"/>
              </w:rPr>
              <w:t>（m</w:t>
            </w:r>
            <w:r>
              <w:rPr>
                <w:rFonts w:hint="default" w:ascii="Times New Roman" w:hAnsi="Times New Roman" w:eastAsia="宋体" w:cs="Times New Roman"/>
                <w:color w:val="auto"/>
                <w:spacing w:val="-5"/>
                <w:sz w:val="24"/>
                <w:szCs w:val="24"/>
                <w:highlight w:val="none"/>
                <w:vertAlign w:val="superscript"/>
              </w:rPr>
              <w:t>2</w:t>
            </w:r>
            <w:r>
              <w:rPr>
                <w:rFonts w:hint="default" w:ascii="Times New Roman" w:hAnsi="Times New Roman" w:eastAsia="宋体" w:cs="Times New Roman"/>
                <w:color w:val="auto"/>
                <w:spacing w:val="-5"/>
                <w:sz w:val="24"/>
                <w:szCs w:val="24"/>
                <w:highlight w:val="none"/>
              </w:rPr>
              <w:t>）</w:t>
            </w:r>
          </w:p>
        </w:tc>
        <w:tc>
          <w:tcPr>
            <w:tcW w:w="1542" w:type="dxa"/>
            <w:tcBorders>
              <w:tl2br w:val="nil"/>
              <w:tr2bl w:val="nil"/>
            </w:tcBorders>
            <w:vAlign w:val="center"/>
          </w:tcPr>
          <w:p w14:paraId="72497AB4">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4202</w:t>
            </w:r>
          </w:p>
        </w:tc>
      </w:tr>
      <w:tr w14:paraId="2CE8F7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9" w:type="dxa"/>
            <w:vMerge w:val="restart"/>
            <w:tcBorders>
              <w:tl2br w:val="nil"/>
              <w:tr2bl w:val="nil"/>
            </w:tcBorders>
            <w:vAlign w:val="center"/>
          </w:tcPr>
          <w:p w14:paraId="2E8F8271">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应用类型</w:t>
            </w:r>
          </w:p>
        </w:tc>
        <w:tc>
          <w:tcPr>
            <w:tcW w:w="1098" w:type="dxa"/>
            <w:vMerge w:val="restart"/>
            <w:tcBorders>
              <w:tl2br w:val="nil"/>
              <w:tr2bl w:val="nil"/>
            </w:tcBorders>
            <w:vAlign w:val="center"/>
          </w:tcPr>
          <w:p w14:paraId="2B1759DF">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放射源</w:t>
            </w:r>
          </w:p>
        </w:tc>
        <w:tc>
          <w:tcPr>
            <w:tcW w:w="1612" w:type="dxa"/>
            <w:tcBorders>
              <w:tl2br w:val="nil"/>
              <w:tr2bl w:val="nil"/>
            </w:tcBorders>
            <w:vAlign w:val="center"/>
          </w:tcPr>
          <w:p w14:paraId="32CB9C4A">
            <w:pPr>
              <w:pStyle w:val="32"/>
              <w:keepNext w:val="0"/>
              <w:keepLines w:val="0"/>
              <w:suppressLineNumbers w:val="0"/>
              <w:shd w:val="clear"/>
              <w:tabs>
                <w:tab w:val="left" w:pos="435"/>
              </w:tabs>
              <w:spacing w:before="17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销售</w:t>
            </w:r>
          </w:p>
        </w:tc>
        <w:tc>
          <w:tcPr>
            <w:tcW w:w="6117" w:type="dxa"/>
            <w:gridSpan w:val="4"/>
            <w:tcBorders>
              <w:tl2br w:val="nil"/>
              <w:tr2bl w:val="nil"/>
            </w:tcBorders>
          </w:tcPr>
          <w:p w14:paraId="6611D717">
            <w:pPr>
              <w:pStyle w:val="32"/>
              <w:keepNext w:val="0"/>
              <w:keepLines w:val="0"/>
              <w:suppressLineNumbers w:val="0"/>
              <w:shd w:val="clear"/>
              <w:tabs>
                <w:tab w:val="left" w:pos="1389"/>
              </w:tabs>
              <w:spacing w:before="129"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I类</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pacing w:val="-3"/>
                <w:sz w:val="24"/>
                <w:szCs w:val="24"/>
                <w:highlight w:val="none"/>
              </w:rPr>
              <w:t>II</w:t>
            </w:r>
            <w:r>
              <w:rPr>
                <w:rFonts w:hint="default" w:ascii="Times New Roman" w:hAnsi="Times New Roman" w:eastAsia="宋体" w:cs="Times New Roman"/>
                <w:color w:val="auto"/>
                <w:sz w:val="24"/>
                <w:szCs w:val="24"/>
                <w:highlight w:val="none"/>
              </w:rPr>
              <w:t>类</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III类</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cs="Times New Roman"/>
                <w:color w:val="auto"/>
                <w:sz w:val="24"/>
                <w:szCs w:val="24"/>
                <w:highlight w:val="none"/>
                <w:lang w:eastAsia="zh-CN"/>
              </w:rPr>
              <w:t>Ⅳ类</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V类</w:t>
            </w:r>
          </w:p>
        </w:tc>
      </w:tr>
      <w:tr w14:paraId="664CD7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9" w:type="dxa"/>
            <w:vMerge w:val="continue"/>
            <w:tcBorders>
              <w:tl2br w:val="nil"/>
              <w:tr2bl w:val="nil"/>
            </w:tcBorders>
            <w:vAlign w:val="center"/>
          </w:tcPr>
          <w:p w14:paraId="33799078">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098" w:type="dxa"/>
            <w:vMerge w:val="continue"/>
            <w:tcBorders>
              <w:tl2br w:val="nil"/>
              <w:tr2bl w:val="nil"/>
            </w:tcBorders>
            <w:vAlign w:val="center"/>
          </w:tcPr>
          <w:p w14:paraId="7CA0067F">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612" w:type="dxa"/>
            <w:tcBorders>
              <w:tl2br w:val="nil"/>
              <w:tr2bl w:val="nil"/>
            </w:tcBorders>
            <w:vAlign w:val="center"/>
          </w:tcPr>
          <w:p w14:paraId="376B716E">
            <w:pPr>
              <w:pStyle w:val="32"/>
              <w:keepNext w:val="0"/>
              <w:keepLines w:val="0"/>
              <w:suppressLineNumbers w:val="0"/>
              <w:shd w:val="clear"/>
              <w:tabs>
                <w:tab w:val="left" w:pos="435"/>
              </w:tabs>
              <w:spacing w:before="17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使用</w:t>
            </w:r>
          </w:p>
        </w:tc>
        <w:tc>
          <w:tcPr>
            <w:tcW w:w="6117" w:type="dxa"/>
            <w:gridSpan w:val="4"/>
            <w:tcBorders>
              <w:tl2br w:val="nil"/>
              <w:tr2bl w:val="nil"/>
            </w:tcBorders>
          </w:tcPr>
          <w:p w14:paraId="24C7F177">
            <w:pPr>
              <w:pStyle w:val="32"/>
              <w:keepNext w:val="0"/>
              <w:keepLines w:val="0"/>
              <w:suppressLineNumbers w:val="0"/>
              <w:shd w:val="clear"/>
              <w:tabs>
                <w:tab w:val="left" w:pos="669"/>
              </w:tabs>
              <w:spacing w:before="129"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I类（医疗使用）</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II类</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III类</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cs="Times New Roman"/>
                <w:color w:val="auto"/>
                <w:sz w:val="24"/>
                <w:szCs w:val="24"/>
                <w:highlight w:val="none"/>
                <w:lang w:eastAsia="zh-CN"/>
              </w:rPr>
              <w:t>Ⅳ类</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V类</w:t>
            </w:r>
          </w:p>
        </w:tc>
      </w:tr>
      <w:tr w14:paraId="4F6880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9" w:type="dxa"/>
            <w:vMerge w:val="continue"/>
            <w:tcBorders>
              <w:tl2br w:val="nil"/>
              <w:tr2bl w:val="nil"/>
            </w:tcBorders>
            <w:vAlign w:val="center"/>
          </w:tcPr>
          <w:p w14:paraId="4CA5AE5F">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098" w:type="dxa"/>
            <w:vMerge w:val="restart"/>
            <w:tcBorders>
              <w:tl2br w:val="nil"/>
              <w:tr2bl w:val="nil"/>
            </w:tcBorders>
            <w:vAlign w:val="center"/>
          </w:tcPr>
          <w:p w14:paraId="551E1E02">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非密封放射性物质</w:t>
            </w:r>
          </w:p>
        </w:tc>
        <w:tc>
          <w:tcPr>
            <w:tcW w:w="1612" w:type="dxa"/>
            <w:tcBorders>
              <w:tl2br w:val="nil"/>
              <w:tr2bl w:val="nil"/>
            </w:tcBorders>
            <w:vAlign w:val="center"/>
          </w:tcPr>
          <w:p w14:paraId="0B49660B">
            <w:pPr>
              <w:pStyle w:val="32"/>
              <w:keepNext w:val="0"/>
              <w:keepLines w:val="0"/>
              <w:suppressLineNumbers w:val="0"/>
              <w:shd w:val="clear"/>
              <w:tabs>
                <w:tab w:val="left" w:pos="435"/>
              </w:tabs>
              <w:spacing w:before="176"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生产</w:t>
            </w:r>
          </w:p>
        </w:tc>
        <w:tc>
          <w:tcPr>
            <w:tcW w:w="6117" w:type="dxa"/>
            <w:gridSpan w:val="4"/>
            <w:tcBorders>
              <w:tl2br w:val="nil"/>
              <w:tr2bl w:val="nil"/>
            </w:tcBorders>
          </w:tcPr>
          <w:p w14:paraId="367C5666">
            <w:pPr>
              <w:pStyle w:val="32"/>
              <w:keepNext w:val="0"/>
              <w:keepLines w:val="0"/>
              <w:suppressLineNumbers w:val="0"/>
              <w:shd w:val="clear"/>
              <w:tabs>
                <w:tab w:val="left" w:pos="1783"/>
              </w:tabs>
              <w:spacing w:before="128" w:beforeAutospacing="0" w:after="0" w:afterAutospacing="0"/>
              <w:ind w:left="1566"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pacing w:val="-21"/>
                <w:sz w:val="24"/>
                <w:szCs w:val="24"/>
                <w:highlight w:val="none"/>
              </w:rPr>
              <w:t>制备</w:t>
            </w:r>
            <w:r>
              <w:rPr>
                <w:rFonts w:hint="default" w:ascii="Times New Roman" w:hAnsi="Times New Roman" w:eastAsia="宋体" w:cs="Times New Roman"/>
                <w:color w:val="auto"/>
                <w:sz w:val="24"/>
                <w:szCs w:val="24"/>
                <w:highlight w:val="none"/>
              </w:rPr>
              <w:t>PET用放射性药物</w:t>
            </w:r>
          </w:p>
        </w:tc>
      </w:tr>
      <w:tr w14:paraId="11F46A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9" w:type="dxa"/>
            <w:vMerge w:val="continue"/>
            <w:tcBorders>
              <w:tl2br w:val="nil"/>
              <w:tr2bl w:val="nil"/>
            </w:tcBorders>
            <w:vAlign w:val="center"/>
          </w:tcPr>
          <w:p w14:paraId="4ACBBE90">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098" w:type="dxa"/>
            <w:vMerge w:val="continue"/>
            <w:tcBorders>
              <w:tl2br w:val="nil"/>
              <w:tr2bl w:val="nil"/>
            </w:tcBorders>
            <w:vAlign w:val="center"/>
          </w:tcPr>
          <w:p w14:paraId="5A664E09">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612" w:type="dxa"/>
            <w:tcBorders>
              <w:tl2br w:val="nil"/>
              <w:tr2bl w:val="nil"/>
            </w:tcBorders>
            <w:vAlign w:val="center"/>
          </w:tcPr>
          <w:p w14:paraId="3E526F71">
            <w:pPr>
              <w:pStyle w:val="32"/>
              <w:keepNext w:val="0"/>
              <w:keepLines w:val="0"/>
              <w:suppressLineNumbers w:val="0"/>
              <w:shd w:val="clear"/>
              <w:tabs>
                <w:tab w:val="left" w:pos="435"/>
              </w:tabs>
              <w:spacing w:before="178"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销售</w:t>
            </w:r>
          </w:p>
        </w:tc>
        <w:tc>
          <w:tcPr>
            <w:tcW w:w="6117" w:type="dxa"/>
            <w:gridSpan w:val="4"/>
            <w:tcBorders>
              <w:tl2br w:val="nil"/>
              <w:tr2bl w:val="nil"/>
            </w:tcBorders>
            <w:vAlign w:val="center"/>
          </w:tcPr>
          <w:p w14:paraId="0751AE0E">
            <w:pPr>
              <w:pStyle w:val="32"/>
              <w:keepNext w:val="0"/>
              <w:keepLines w:val="0"/>
              <w:suppressLineNumbers w:val="0"/>
              <w:shd w:val="clear"/>
              <w:spacing w:before="143" w:beforeAutospacing="0" w:after="0" w:afterAutospacing="0"/>
              <w:ind w:left="1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14:paraId="1528E2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9" w:type="dxa"/>
            <w:vMerge w:val="continue"/>
            <w:tcBorders>
              <w:tl2br w:val="nil"/>
              <w:tr2bl w:val="nil"/>
            </w:tcBorders>
            <w:vAlign w:val="center"/>
          </w:tcPr>
          <w:p w14:paraId="60DB946C">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098" w:type="dxa"/>
            <w:vMerge w:val="continue"/>
            <w:tcBorders>
              <w:tl2br w:val="nil"/>
              <w:tr2bl w:val="nil"/>
            </w:tcBorders>
            <w:vAlign w:val="center"/>
          </w:tcPr>
          <w:p w14:paraId="6C54A721">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612" w:type="dxa"/>
            <w:tcBorders>
              <w:tl2br w:val="nil"/>
              <w:tr2bl w:val="nil"/>
            </w:tcBorders>
            <w:vAlign w:val="center"/>
          </w:tcPr>
          <w:p w14:paraId="024A6948">
            <w:pPr>
              <w:pStyle w:val="32"/>
              <w:keepNext w:val="0"/>
              <w:keepLines w:val="0"/>
              <w:suppressLineNumbers w:val="0"/>
              <w:shd w:val="clear"/>
              <w:tabs>
                <w:tab w:val="left" w:pos="435"/>
              </w:tabs>
              <w:spacing w:before="177"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使用</w:t>
            </w:r>
          </w:p>
        </w:tc>
        <w:tc>
          <w:tcPr>
            <w:tcW w:w="6117" w:type="dxa"/>
            <w:gridSpan w:val="4"/>
            <w:tcBorders>
              <w:tl2br w:val="nil"/>
              <w:tr2bl w:val="nil"/>
            </w:tcBorders>
            <w:vAlign w:val="center"/>
          </w:tcPr>
          <w:p w14:paraId="4D1CE24B">
            <w:pPr>
              <w:pStyle w:val="32"/>
              <w:keepNext w:val="0"/>
              <w:keepLines w:val="0"/>
              <w:suppressLineNumbers w:val="0"/>
              <w:shd w:val="clear"/>
              <w:tabs>
                <w:tab w:val="left" w:pos="2668"/>
              </w:tabs>
              <w:spacing w:before="129"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FE"/>
            </w:r>
            <w:r>
              <w:rPr>
                <w:rFonts w:hint="default" w:ascii="Times New Roman" w:hAnsi="Times New Roman" w:eastAsia="宋体" w:cs="Times New Roman"/>
                <w:color w:val="auto"/>
                <w:sz w:val="24"/>
                <w:szCs w:val="24"/>
                <w:highlight w:val="none"/>
              </w:rPr>
              <w:t>乙</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丙</w:t>
            </w:r>
          </w:p>
        </w:tc>
      </w:tr>
      <w:tr w14:paraId="28A89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9" w:type="dxa"/>
            <w:vMerge w:val="continue"/>
            <w:tcBorders>
              <w:tl2br w:val="nil"/>
              <w:tr2bl w:val="nil"/>
            </w:tcBorders>
            <w:vAlign w:val="center"/>
          </w:tcPr>
          <w:p w14:paraId="307BCE32">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098" w:type="dxa"/>
            <w:vMerge w:val="restart"/>
            <w:tcBorders>
              <w:tl2br w:val="nil"/>
              <w:tr2bl w:val="nil"/>
            </w:tcBorders>
            <w:vAlign w:val="center"/>
          </w:tcPr>
          <w:p w14:paraId="4FA85970">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射线装置</w:t>
            </w:r>
          </w:p>
        </w:tc>
        <w:tc>
          <w:tcPr>
            <w:tcW w:w="1612" w:type="dxa"/>
            <w:tcBorders>
              <w:tl2br w:val="nil"/>
              <w:tr2bl w:val="nil"/>
            </w:tcBorders>
            <w:vAlign w:val="center"/>
          </w:tcPr>
          <w:p w14:paraId="3BC52618">
            <w:pPr>
              <w:pStyle w:val="32"/>
              <w:keepNext w:val="0"/>
              <w:keepLines w:val="0"/>
              <w:suppressLineNumbers w:val="0"/>
              <w:shd w:val="clear"/>
              <w:tabs>
                <w:tab w:val="left" w:pos="435"/>
              </w:tabs>
              <w:spacing w:before="176"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生产</w:t>
            </w:r>
          </w:p>
        </w:tc>
        <w:tc>
          <w:tcPr>
            <w:tcW w:w="6117" w:type="dxa"/>
            <w:gridSpan w:val="4"/>
            <w:tcBorders>
              <w:tl2br w:val="nil"/>
              <w:tr2bl w:val="nil"/>
            </w:tcBorders>
            <w:vAlign w:val="center"/>
          </w:tcPr>
          <w:p w14:paraId="516304D4">
            <w:pPr>
              <w:pStyle w:val="32"/>
              <w:keepNext w:val="0"/>
              <w:keepLines w:val="0"/>
              <w:suppressLineNumbers w:val="0"/>
              <w:shd w:val="clear"/>
              <w:tabs>
                <w:tab w:val="left" w:pos="2409"/>
              </w:tabs>
              <w:spacing w:before="129"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cs="Times New Roman"/>
                <w:color w:val="auto"/>
                <w:sz w:val="24"/>
                <w:szCs w:val="24"/>
                <w:highlight w:val="none"/>
                <w:lang w:eastAsia="zh-CN"/>
              </w:rPr>
              <w:t>Ⅱ</w:t>
            </w:r>
            <w:r>
              <w:rPr>
                <w:rFonts w:hint="default" w:ascii="Times New Roman" w:hAnsi="Times New Roman" w:eastAsia="宋体" w:cs="Times New Roman"/>
                <w:color w:val="auto"/>
                <w:sz w:val="24"/>
                <w:szCs w:val="24"/>
                <w:highlight w:val="none"/>
              </w:rPr>
              <w:t xml:space="preserve"> 类</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III类</w:t>
            </w:r>
          </w:p>
        </w:tc>
      </w:tr>
      <w:tr w14:paraId="6CE92B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9" w:type="dxa"/>
            <w:vMerge w:val="continue"/>
            <w:tcBorders>
              <w:tl2br w:val="nil"/>
              <w:tr2bl w:val="nil"/>
            </w:tcBorders>
            <w:vAlign w:val="center"/>
          </w:tcPr>
          <w:p w14:paraId="0CEF2C39">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098" w:type="dxa"/>
            <w:vMerge w:val="continue"/>
            <w:tcBorders>
              <w:tl2br w:val="nil"/>
              <w:tr2bl w:val="nil"/>
            </w:tcBorders>
            <w:vAlign w:val="center"/>
          </w:tcPr>
          <w:p w14:paraId="51277036">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612" w:type="dxa"/>
            <w:tcBorders>
              <w:tl2br w:val="nil"/>
              <w:tr2bl w:val="nil"/>
            </w:tcBorders>
            <w:vAlign w:val="center"/>
          </w:tcPr>
          <w:p w14:paraId="6DF04F0C">
            <w:pPr>
              <w:pStyle w:val="32"/>
              <w:keepNext w:val="0"/>
              <w:keepLines w:val="0"/>
              <w:suppressLineNumbers w:val="0"/>
              <w:shd w:val="clear"/>
              <w:tabs>
                <w:tab w:val="left" w:pos="435"/>
              </w:tabs>
              <w:spacing w:before="176"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销售</w:t>
            </w:r>
          </w:p>
        </w:tc>
        <w:tc>
          <w:tcPr>
            <w:tcW w:w="6117" w:type="dxa"/>
            <w:gridSpan w:val="4"/>
            <w:tcBorders>
              <w:tl2br w:val="nil"/>
              <w:tr2bl w:val="nil"/>
            </w:tcBorders>
            <w:vAlign w:val="center"/>
          </w:tcPr>
          <w:p w14:paraId="30C63248">
            <w:pPr>
              <w:pStyle w:val="32"/>
              <w:keepNext w:val="0"/>
              <w:keepLines w:val="0"/>
              <w:suppressLineNumbers w:val="0"/>
              <w:shd w:val="clear"/>
              <w:tabs>
                <w:tab w:val="left" w:pos="2409"/>
              </w:tabs>
              <w:spacing w:before="128"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cs="Times New Roman"/>
                <w:color w:val="auto"/>
                <w:sz w:val="24"/>
                <w:szCs w:val="24"/>
                <w:highlight w:val="none"/>
                <w:lang w:eastAsia="zh-CN"/>
              </w:rPr>
              <w:t>Ⅱ</w:t>
            </w:r>
            <w:r>
              <w:rPr>
                <w:rFonts w:hint="default" w:ascii="Times New Roman" w:hAnsi="Times New Roman" w:eastAsia="宋体" w:cs="Times New Roman"/>
                <w:color w:val="auto"/>
                <w:sz w:val="24"/>
                <w:szCs w:val="24"/>
                <w:highlight w:val="none"/>
              </w:rPr>
              <w:t xml:space="preserve"> 类</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III类</w:t>
            </w:r>
          </w:p>
        </w:tc>
      </w:tr>
      <w:tr w14:paraId="3FED54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19" w:type="dxa"/>
            <w:vMerge w:val="continue"/>
            <w:tcBorders>
              <w:tl2br w:val="nil"/>
              <w:tr2bl w:val="nil"/>
            </w:tcBorders>
            <w:vAlign w:val="center"/>
          </w:tcPr>
          <w:p w14:paraId="11C6A446">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098" w:type="dxa"/>
            <w:vMerge w:val="continue"/>
            <w:tcBorders>
              <w:tl2br w:val="nil"/>
              <w:tr2bl w:val="nil"/>
            </w:tcBorders>
            <w:vAlign w:val="center"/>
          </w:tcPr>
          <w:p w14:paraId="4E17FD8B">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612" w:type="dxa"/>
            <w:tcBorders>
              <w:tl2br w:val="nil"/>
              <w:tr2bl w:val="nil"/>
            </w:tcBorders>
            <w:vAlign w:val="center"/>
          </w:tcPr>
          <w:p w14:paraId="0C8E87A6">
            <w:pPr>
              <w:pStyle w:val="32"/>
              <w:keepNext w:val="0"/>
              <w:keepLines w:val="0"/>
              <w:suppressLineNumbers w:val="0"/>
              <w:shd w:val="clear"/>
              <w:spacing w:before="178" w:beforeAutospacing="0" w:after="0" w:afterAutospacing="0"/>
              <w:ind w:left="124" w:right="118"/>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eastAsia="宋体" w:cs="Times New Roman"/>
                <w:color w:val="auto"/>
                <w:sz w:val="24"/>
                <w:szCs w:val="24"/>
                <w:highlight w:val="none"/>
              </w:rPr>
              <w:t>使用</w:t>
            </w:r>
          </w:p>
        </w:tc>
        <w:tc>
          <w:tcPr>
            <w:tcW w:w="6117" w:type="dxa"/>
            <w:gridSpan w:val="4"/>
            <w:tcBorders>
              <w:tl2br w:val="nil"/>
              <w:tr2bl w:val="nil"/>
            </w:tcBorders>
            <w:vAlign w:val="center"/>
          </w:tcPr>
          <w:p w14:paraId="71DAEF3F">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cs="Times New Roman"/>
                <w:color w:val="auto"/>
                <w:sz w:val="24"/>
                <w:szCs w:val="24"/>
                <w:highlight w:val="none"/>
                <w:lang w:eastAsia="zh-CN"/>
              </w:rPr>
              <w:t>Ⅱ</w:t>
            </w:r>
            <w:r>
              <w:rPr>
                <w:rFonts w:hint="default" w:ascii="Times New Roman" w:hAnsi="Times New Roman" w:eastAsia="宋体" w:cs="Times New Roman"/>
                <w:color w:val="auto"/>
                <w:sz w:val="24"/>
                <w:szCs w:val="24"/>
                <w:highlight w:val="none"/>
              </w:rPr>
              <w:t xml:space="preserve"> 类</w:t>
            </w:r>
            <w:r>
              <w:rPr>
                <w:rFonts w:hint="default" w:ascii="Times New Roman" w:hAnsi="Times New Roman" w:eastAsia="宋体" w:cs="Times New Roman"/>
                <w:color w:val="auto"/>
                <w:sz w:val="24"/>
                <w:szCs w:val="24"/>
                <w:highlight w:val="none"/>
              </w:rPr>
              <w:sym w:font="Wingdings" w:char="00A8"/>
            </w:r>
            <w:r>
              <w:rPr>
                <w:rFonts w:hint="default" w:ascii="Times New Roman" w:hAnsi="Times New Roman" w:cs="Times New Roman"/>
                <w:color w:val="auto"/>
                <w:sz w:val="24"/>
                <w:szCs w:val="24"/>
                <w:highlight w:val="none"/>
                <w:lang w:eastAsia="zh-CN"/>
              </w:rPr>
              <w:t>Ⅲ</w:t>
            </w:r>
            <w:r>
              <w:rPr>
                <w:rFonts w:hint="default" w:ascii="Times New Roman" w:hAnsi="Times New Roman" w:eastAsia="宋体" w:cs="Times New Roman"/>
                <w:color w:val="auto"/>
                <w:sz w:val="24"/>
                <w:szCs w:val="24"/>
                <w:highlight w:val="none"/>
              </w:rPr>
              <w:t xml:space="preserve"> 类</w:t>
            </w:r>
          </w:p>
        </w:tc>
      </w:tr>
      <w:tr w14:paraId="201F9A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519" w:type="dxa"/>
            <w:vMerge w:val="continue"/>
            <w:tcBorders>
              <w:tl2br w:val="nil"/>
              <w:tr2bl w:val="nil"/>
            </w:tcBorders>
            <w:vAlign w:val="center"/>
          </w:tcPr>
          <w:p w14:paraId="318AC943">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p>
        </w:tc>
        <w:tc>
          <w:tcPr>
            <w:tcW w:w="1098" w:type="dxa"/>
            <w:tcBorders>
              <w:tl2br w:val="nil"/>
              <w:tr2bl w:val="nil"/>
            </w:tcBorders>
            <w:vAlign w:val="center"/>
          </w:tcPr>
          <w:p w14:paraId="52ED7F3D">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其他</w:t>
            </w:r>
          </w:p>
        </w:tc>
        <w:tc>
          <w:tcPr>
            <w:tcW w:w="7729" w:type="dxa"/>
            <w:gridSpan w:val="5"/>
            <w:tcBorders>
              <w:tl2br w:val="nil"/>
              <w:tr2bl w:val="nil"/>
            </w:tcBorders>
          </w:tcPr>
          <w:p w14:paraId="28E7867F">
            <w:pPr>
              <w:pStyle w:val="32"/>
              <w:keepNext w:val="0"/>
              <w:keepLines w:val="0"/>
              <w:suppressLineNumbers w:val="0"/>
              <w:shd w:val="clear"/>
              <w:spacing w:before="143" w:beforeAutospacing="0" w:after="0" w:afterAutospacing="0"/>
              <w:ind w:left="11"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p>
        </w:tc>
      </w:tr>
      <w:tr w14:paraId="42BB33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46" w:type="dxa"/>
            <w:gridSpan w:val="7"/>
            <w:tcBorders>
              <w:tl2br w:val="nil"/>
              <w:tr2bl w:val="nil"/>
            </w:tcBorders>
          </w:tcPr>
          <w:p w14:paraId="6C791815">
            <w:pPr>
              <w:pStyle w:val="43"/>
              <w:keepNext w:val="0"/>
              <w:keepLines w:val="0"/>
              <w:suppressLineNumbers w:val="0"/>
              <w:spacing w:before="199" w:beforeLines="0" w:beforeAutospacing="0" w:after="0" w:afterLines="0" w:afterAutospacing="0" w:line="220" w:lineRule="auto"/>
              <w:ind w:left="123"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5"/>
                <w:sz w:val="24"/>
                <w:szCs w:val="24"/>
                <w:highlight w:val="none"/>
              </w:rPr>
              <w:t>1.1</w:t>
            </w:r>
            <w:r>
              <w:rPr>
                <w:rFonts w:hint="default" w:ascii="Times New Roman" w:hAnsi="Times New Roman" w:eastAsia="宋体" w:cs="Times New Roman"/>
                <w:b/>
                <w:color w:val="auto"/>
                <w:spacing w:val="13"/>
                <w:sz w:val="24"/>
                <w:szCs w:val="24"/>
                <w:highlight w:val="none"/>
              </w:rPr>
              <w:t xml:space="preserve"> </w:t>
            </w:r>
            <w:r>
              <w:rPr>
                <w:rFonts w:hint="default" w:ascii="Times New Roman" w:hAnsi="Times New Roman" w:eastAsia="宋体" w:cs="Times New Roman"/>
                <w:b/>
                <w:color w:val="auto"/>
                <w:spacing w:val="-5"/>
                <w:sz w:val="24"/>
                <w:szCs w:val="24"/>
                <w:highlight w:val="none"/>
              </w:rPr>
              <w:t>项目概述</w:t>
            </w:r>
          </w:p>
          <w:p w14:paraId="038EA43C">
            <w:pPr>
              <w:pStyle w:val="43"/>
              <w:keepNext w:val="0"/>
              <w:keepLines w:val="0"/>
              <w:suppressLineNumbers w:val="0"/>
              <w:spacing w:before="214" w:beforeLines="0" w:beforeAutospacing="0" w:after="0" w:afterLines="0" w:afterAutospacing="0" w:line="360" w:lineRule="auto"/>
              <w:ind w:left="123" w:right="0"/>
              <w:rPr>
                <w:rFonts w:hint="default" w:ascii="Times New Roman" w:hAnsi="Times New Roman" w:eastAsia="宋体" w:cs="Times New Roman"/>
                <w:b/>
                <w:color w:val="auto"/>
                <w:spacing w:val="-2"/>
                <w:sz w:val="24"/>
                <w:szCs w:val="24"/>
                <w:highlight w:val="none"/>
              </w:rPr>
            </w:pPr>
            <w:r>
              <w:rPr>
                <w:rFonts w:hint="default" w:ascii="Times New Roman" w:hAnsi="Times New Roman" w:eastAsia="宋体" w:cs="Times New Roman"/>
                <w:b/>
                <w:color w:val="auto"/>
                <w:spacing w:val="-2"/>
                <w:sz w:val="24"/>
                <w:szCs w:val="24"/>
                <w:highlight w:val="none"/>
              </w:rPr>
              <w:t>1.1.1 建设单位情况</w:t>
            </w:r>
          </w:p>
          <w:p w14:paraId="60228455">
            <w:pPr>
              <w:pStyle w:val="32"/>
              <w:keepNext w:val="0"/>
              <w:keepLines w:val="0"/>
              <w:numPr>
                <w:ilvl w:val="255"/>
                <w:numId w:val="0"/>
              </w:numPr>
              <w:suppressLineNumbers w:val="0"/>
              <w:shd w:val="clear"/>
              <w:tabs>
                <w:tab w:val="left" w:pos="1310"/>
              </w:tabs>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2"/>
                <w:highlight w:val="none"/>
                <w:lang w:val="en-US" w:eastAsia="zh-CN" w:bidi="ar-SA"/>
              </w:rPr>
            </w:pPr>
            <w:r>
              <w:rPr>
                <w:rFonts w:hint="default" w:ascii="Times New Roman" w:hAnsi="Times New Roman" w:cs="Times New Roman"/>
                <w:color w:val="auto"/>
                <w:sz w:val="24"/>
                <w:szCs w:val="22"/>
                <w:highlight w:val="none"/>
                <w:lang w:val="en-US" w:eastAsia="zh-CN" w:bidi="ar-SA"/>
              </w:rPr>
              <w:t>新疆医科大学附属肿瘤医院成立于1989年；1993年自治区批准新疆维吾尔自治区肿瘤防治研究所，院所合一。2004年医院被批准为新疆医科大学第三临床医学院及新疆维吾尔自治区肿瘤防治中心。历经30年的建设，现已成为集医疗、教学、科研和防治为一体的三级甲等肿瘤专科医院</w:t>
            </w:r>
            <w:r>
              <w:rPr>
                <w:rFonts w:hint="default" w:ascii="Times New Roman" w:hAnsi="Times New Roman" w:eastAsia="宋体" w:cs="Times New Roman"/>
                <w:color w:val="auto"/>
                <w:sz w:val="24"/>
                <w:szCs w:val="22"/>
                <w:highlight w:val="none"/>
                <w:lang w:val="en-US" w:eastAsia="zh-CN" w:bidi="ar-SA"/>
              </w:rPr>
              <w:t>。</w:t>
            </w:r>
            <w:r>
              <w:rPr>
                <w:rFonts w:hint="default" w:ascii="Times New Roman" w:hAnsi="Times New Roman" w:cs="Times New Roman"/>
                <w:color w:val="auto"/>
                <w:sz w:val="24"/>
                <w:szCs w:val="22"/>
                <w:highlight w:val="none"/>
                <w:lang w:val="en-US" w:eastAsia="zh-CN" w:bidi="ar-SA"/>
              </w:rPr>
              <w:t>医院现有4处非密封放射性物质工作场所，分别是位于老院区的放疗楼核医学科（乙级工作场所）和放疗楼一层4号机房（丙级工作场所）以及北院区的核医学楼（</w:t>
            </w:r>
            <w:r>
              <w:rPr>
                <w:rFonts w:hint="default" w:ascii="Times New Roman" w:hAnsi="Times New Roman" w:cs="Times New Roman"/>
                <w:color w:val="auto"/>
                <w:sz w:val="24"/>
                <w:szCs w:val="22"/>
                <w:highlight w:val="none"/>
                <w:u w:val="none"/>
                <w:lang w:val="en-US" w:eastAsia="zh-CN" w:bidi="ar-SA"/>
              </w:rPr>
              <w:t>乙级工作场所</w:t>
            </w:r>
            <w:r>
              <w:rPr>
                <w:rFonts w:hint="default" w:ascii="Times New Roman" w:hAnsi="Times New Roman" w:cs="Times New Roman"/>
                <w:color w:val="auto"/>
                <w:sz w:val="24"/>
                <w:szCs w:val="22"/>
                <w:highlight w:val="none"/>
                <w:lang w:val="en-US" w:eastAsia="zh-CN" w:bidi="ar-SA"/>
              </w:rPr>
              <w:t>）和放射性药物小动物实验室（丙级工作场所）。</w:t>
            </w:r>
          </w:p>
          <w:p w14:paraId="0AEEDA7D">
            <w:pPr>
              <w:pStyle w:val="32"/>
              <w:keepNext w:val="0"/>
              <w:keepLines w:val="0"/>
              <w:numPr>
                <w:ilvl w:val="255"/>
                <w:numId w:val="0"/>
              </w:numPr>
              <w:suppressLineNumbers w:val="0"/>
              <w:shd w:val="clear"/>
              <w:tabs>
                <w:tab w:val="left" w:pos="1310"/>
              </w:tabs>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2"/>
                <w:highlight w:val="none"/>
                <w:lang w:val="en-US" w:eastAsia="zh-CN" w:bidi="ar-SA"/>
              </w:rPr>
            </w:pPr>
            <w:r>
              <w:rPr>
                <w:rFonts w:hint="default" w:ascii="Times New Roman" w:hAnsi="Times New Roman" w:cs="Times New Roman"/>
                <w:color w:val="auto"/>
                <w:sz w:val="24"/>
                <w:szCs w:val="22"/>
                <w:highlight w:val="none"/>
                <w:lang w:val="en-US" w:eastAsia="zh-CN" w:bidi="ar-SA"/>
              </w:rPr>
              <w:t>已许可的4处非密封放射性物质工作场所见表1-1。</w:t>
            </w:r>
          </w:p>
          <w:p w14:paraId="39EAF237">
            <w:pPr>
              <w:pStyle w:val="32"/>
              <w:keepNext w:val="0"/>
              <w:keepLines w:val="0"/>
              <w:numPr>
                <w:ilvl w:val="255"/>
                <w:numId w:val="0"/>
              </w:numPr>
              <w:suppressLineNumbers w:val="0"/>
              <w:shd w:val="clear"/>
              <w:tabs>
                <w:tab w:val="left" w:pos="1310"/>
              </w:tabs>
              <w:spacing w:before="0" w:beforeAutospacing="0" w:after="0" w:afterAutospacing="0" w:line="360" w:lineRule="auto"/>
              <w:ind w:left="0" w:right="0" w:firstLine="482" w:firstLineChars="200"/>
              <w:jc w:val="center"/>
              <w:rPr>
                <w:rFonts w:hint="default" w:ascii="Times New Roman" w:hAnsi="Times New Roman" w:cs="Times New Roman"/>
                <w:b/>
                <w:bCs/>
                <w:color w:val="auto"/>
                <w:sz w:val="24"/>
                <w:szCs w:val="22"/>
                <w:highlight w:val="none"/>
                <w:lang w:val="en-US" w:eastAsia="zh-CN" w:bidi="ar-SA"/>
              </w:rPr>
            </w:pPr>
            <w:r>
              <w:rPr>
                <w:rFonts w:hint="default" w:ascii="Times New Roman" w:hAnsi="Times New Roman" w:cs="Times New Roman"/>
                <w:b/>
                <w:bCs/>
                <w:color w:val="auto"/>
                <w:sz w:val="24"/>
                <w:szCs w:val="22"/>
                <w:highlight w:val="none"/>
                <w:lang w:val="en-US" w:eastAsia="zh-CN" w:bidi="ar-SA"/>
              </w:rPr>
              <w:t>表1-1  已许可4处非密封放射性物质工作场所</w:t>
            </w:r>
          </w:p>
          <w:tbl>
            <w:tblPr>
              <w:tblStyle w:val="22"/>
              <w:tblW w:w="9098" w:type="dxa"/>
              <w:tblInd w:w="88"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37"/>
              <w:gridCol w:w="1730"/>
              <w:gridCol w:w="1730"/>
              <w:gridCol w:w="1614"/>
              <w:gridCol w:w="1367"/>
              <w:gridCol w:w="2020"/>
            </w:tblGrid>
            <w:tr w14:paraId="732E53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429" w:hRule="atLeast"/>
              </w:trPr>
              <w:tc>
                <w:tcPr>
                  <w:tcW w:w="637" w:type="dxa"/>
                  <w:tcBorders>
                    <w:tl2br w:val="nil"/>
                    <w:tr2bl w:val="nil"/>
                  </w:tcBorders>
                  <w:shd w:val="clear" w:color="auto" w:fill="auto"/>
                  <w:vAlign w:val="center"/>
                </w:tcPr>
                <w:p w14:paraId="1D8360D5">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序号</w:t>
                  </w:r>
                </w:p>
              </w:tc>
              <w:tc>
                <w:tcPr>
                  <w:tcW w:w="1730" w:type="dxa"/>
                  <w:tcBorders>
                    <w:tl2br w:val="nil"/>
                    <w:tr2bl w:val="nil"/>
                  </w:tcBorders>
                  <w:shd w:val="clear" w:color="auto" w:fill="auto"/>
                  <w:vAlign w:val="center"/>
                </w:tcPr>
                <w:p w14:paraId="2FE68162">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辐射活动场所名称</w:t>
                  </w:r>
                </w:p>
              </w:tc>
              <w:tc>
                <w:tcPr>
                  <w:tcW w:w="1730" w:type="dxa"/>
                  <w:tcBorders>
                    <w:tl2br w:val="nil"/>
                    <w:tr2bl w:val="nil"/>
                  </w:tcBorders>
                  <w:shd w:val="clear" w:color="auto" w:fill="auto"/>
                  <w:vAlign w:val="center"/>
                </w:tcPr>
                <w:p w14:paraId="7EE43EE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场所等级</w:t>
                  </w:r>
                </w:p>
              </w:tc>
              <w:tc>
                <w:tcPr>
                  <w:tcW w:w="1614" w:type="dxa"/>
                  <w:tcBorders>
                    <w:tl2br w:val="nil"/>
                    <w:tr2bl w:val="nil"/>
                  </w:tcBorders>
                  <w:shd w:val="clear" w:color="auto" w:fill="auto"/>
                  <w:vAlign w:val="center"/>
                </w:tcPr>
                <w:p w14:paraId="1846A7F9">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核素</w:t>
                  </w:r>
                </w:p>
              </w:tc>
              <w:tc>
                <w:tcPr>
                  <w:tcW w:w="1367" w:type="dxa"/>
                  <w:tcBorders>
                    <w:tl2br w:val="nil"/>
                    <w:tr2bl w:val="nil"/>
                  </w:tcBorders>
                  <w:shd w:val="clear" w:color="auto" w:fill="auto"/>
                  <w:vAlign w:val="center"/>
                </w:tcPr>
                <w:p w14:paraId="28AB111B">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物理状态</w:t>
                  </w:r>
                </w:p>
              </w:tc>
              <w:tc>
                <w:tcPr>
                  <w:tcW w:w="2020" w:type="dxa"/>
                  <w:tcBorders>
                    <w:tl2br w:val="nil"/>
                    <w:tr2bl w:val="nil"/>
                  </w:tcBorders>
                  <w:shd w:val="clear" w:color="auto" w:fill="auto"/>
                  <w:vAlign w:val="center"/>
                </w:tcPr>
                <w:p w14:paraId="5F01A1C9">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活动种类</w:t>
                  </w:r>
                </w:p>
              </w:tc>
            </w:tr>
            <w:tr w14:paraId="3E3B7C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0A71CCA3">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1</w:t>
                  </w:r>
                </w:p>
              </w:tc>
              <w:tc>
                <w:tcPr>
                  <w:tcW w:w="1730" w:type="dxa"/>
                  <w:vMerge w:val="restart"/>
                  <w:tcBorders>
                    <w:tl2br w:val="nil"/>
                    <w:tr2bl w:val="nil"/>
                  </w:tcBorders>
                  <w:shd w:val="clear" w:color="auto" w:fill="auto"/>
                  <w:vAlign w:val="center"/>
                </w:tcPr>
                <w:p w14:paraId="3B9C8162">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放疗楼核医学科</w:t>
                  </w:r>
                </w:p>
              </w:tc>
              <w:tc>
                <w:tcPr>
                  <w:tcW w:w="1730" w:type="dxa"/>
                  <w:vMerge w:val="restart"/>
                  <w:tcBorders>
                    <w:tl2br w:val="nil"/>
                    <w:tr2bl w:val="nil"/>
                  </w:tcBorders>
                  <w:shd w:val="clear" w:color="auto" w:fill="auto"/>
                  <w:vAlign w:val="center"/>
                </w:tcPr>
                <w:p w14:paraId="17D2B5B8">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乙级</w:t>
                  </w:r>
                </w:p>
              </w:tc>
              <w:tc>
                <w:tcPr>
                  <w:tcW w:w="1614" w:type="dxa"/>
                  <w:tcBorders>
                    <w:tl2br w:val="nil"/>
                    <w:tr2bl w:val="nil"/>
                  </w:tcBorders>
                  <w:shd w:val="clear" w:color="auto" w:fill="auto"/>
                  <w:vAlign w:val="center"/>
                </w:tcPr>
                <w:p w14:paraId="0027DF6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C-11</w:t>
                  </w:r>
                </w:p>
              </w:tc>
              <w:tc>
                <w:tcPr>
                  <w:tcW w:w="1367" w:type="dxa"/>
                  <w:tcBorders>
                    <w:tl2br w:val="nil"/>
                    <w:tr2bl w:val="nil"/>
                  </w:tcBorders>
                  <w:shd w:val="clear" w:color="auto" w:fill="auto"/>
                  <w:vAlign w:val="center"/>
                </w:tcPr>
                <w:p w14:paraId="2BA87759">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气态</w:t>
                  </w:r>
                </w:p>
              </w:tc>
              <w:tc>
                <w:tcPr>
                  <w:tcW w:w="2020" w:type="dxa"/>
                  <w:tcBorders>
                    <w:tl2br w:val="nil"/>
                    <w:tr2bl w:val="nil"/>
                  </w:tcBorders>
                  <w:shd w:val="clear" w:color="auto" w:fill="auto"/>
                  <w:vAlign w:val="center"/>
                </w:tcPr>
                <w:p w14:paraId="012FECD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生产</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使用</w:t>
                  </w:r>
                </w:p>
              </w:tc>
            </w:tr>
            <w:tr w14:paraId="10C5E5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17FD56C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2</w:t>
                  </w:r>
                </w:p>
              </w:tc>
              <w:tc>
                <w:tcPr>
                  <w:tcW w:w="1730" w:type="dxa"/>
                  <w:vMerge w:val="continue"/>
                  <w:tcBorders>
                    <w:tl2br w:val="nil"/>
                    <w:tr2bl w:val="nil"/>
                  </w:tcBorders>
                  <w:shd w:val="clear" w:color="auto" w:fill="auto"/>
                  <w:vAlign w:val="center"/>
                </w:tcPr>
                <w:p w14:paraId="45CAC5D0">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23FEA4A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3B75270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vertAlign w:val="baseline"/>
                      <w:lang w:val="en-US" w:eastAsia="zh-CN" w:bidi="ar"/>
                    </w:rPr>
                    <w:t>F-18</w:t>
                  </w:r>
                </w:p>
              </w:tc>
              <w:tc>
                <w:tcPr>
                  <w:tcW w:w="1367" w:type="dxa"/>
                  <w:tcBorders>
                    <w:tl2br w:val="nil"/>
                    <w:tr2bl w:val="nil"/>
                  </w:tcBorders>
                  <w:shd w:val="clear" w:color="auto" w:fill="auto"/>
                  <w:vAlign w:val="center"/>
                </w:tcPr>
                <w:p w14:paraId="1889E46D">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126ABDFA">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生产</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使用</w:t>
                  </w:r>
                </w:p>
              </w:tc>
            </w:tr>
            <w:tr w14:paraId="744239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703829C8">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3</w:t>
                  </w:r>
                </w:p>
              </w:tc>
              <w:tc>
                <w:tcPr>
                  <w:tcW w:w="1730" w:type="dxa"/>
                  <w:vMerge w:val="continue"/>
                  <w:tcBorders>
                    <w:tl2br w:val="nil"/>
                    <w:tr2bl w:val="nil"/>
                  </w:tcBorders>
                  <w:shd w:val="clear" w:color="auto" w:fill="auto"/>
                  <w:vAlign w:val="center"/>
                </w:tcPr>
                <w:p w14:paraId="4D026EA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5211989E">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4EEA8960">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I-125(粒子源)</w:t>
                  </w:r>
                </w:p>
              </w:tc>
              <w:tc>
                <w:tcPr>
                  <w:tcW w:w="1367" w:type="dxa"/>
                  <w:tcBorders>
                    <w:tl2br w:val="nil"/>
                    <w:tr2bl w:val="nil"/>
                  </w:tcBorders>
                  <w:shd w:val="clear" w:color="auto" w:fill="auto"/>
                  <w:vAlign w:val="center"/>
                </w:tcPr>
                <w:p w14:paraId="69A391A3">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固态</w:t>
                  </w:r>
                </w:p>
              </w:tc>
              <w:tc>
                <w:tcPr>
                  <w:tcW w:w="2020" w:type="dxa"/>
                  <w:tcBorders>
                    <w:tl2br w:val="nil"/>
                    <w:tr2bl w:val="nil"/>
                  </w:tcBorders>
                  <w:shd w:val="clear" w:color="auto" w:fill="auto"/>
                  <w:vAlign w:val="center"/>
                </w:tcPr>
                <w:p w14:paraId="207A1A5E">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0F6151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1371993D">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4</w:t>
                  </w:r>
                </w:p>
              </w:tc>
              <w:tc>
                <w:tcPr>
                  <w:tcW w:w="1730" w:type="dxa"/>
                  <w:vMerge w:val="continue"/>
                  <w:tcBorders>
                    <w:tl2br w:val="nil"/>
                    <w:tr2bl w:val="nil"/>
                  </w:tcBorders>
                  <w:shd w:val="clear" w:color="auto" w:fill="auto"/>
                  <w:vAlign w:val="center"/>
                </w:tcPr>
                <w:p w14:paraId="60D52A6C">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23AC62C5">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7A6F57E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vertAlign w:val="baseline"/>
                      <w:lang w:val="en-US" w:eastAsia="zh-CN" w:bidi="ar"/>
                    </w:rPr>
                    <w:t>I-131</w:t>
                  </w:r>
                </w:p>
              </w:tc>
              <w:tc>
                <w:tcPr>
                  <w:tcW w:w="1367" w:type="dxa"/>
                  <w:tcBorders>
                    <w:tl2br w:val="nil"/>
                    <w:tr2bl w:val="nil"/>
                  </w:tcBorders>
                  <w:shd w:val="clear" w:color="auto" w:fill="auto"/>
                  <w:vAlign w:val="center"/>
                </w:tcPr>
                <w:p w14:paraId="5EF94B85">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356A1405">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387F4F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6B9CB963">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5</w:t>
                  </w:r>
                </w:p>
              </w:tc>
              <w:tc>
                <w:tcPr>
                  <w:tcW w:w="1730" w:type="dxa"/>
                  <w:vMerge w:val="continue"/>
                  <w:tcBorders>
                    <w:tl2br w:val="nil"/>
                    <w:tr2bl w:val="nil"/>
                  </w:tcBorders>
                  <w:shd w:val="clear" w:color="auto" w:fill="auto"/>
                  <w:vAlign w:val="center"/>
                </w:tcPr>
                <w:p w14:paraId="523F7B1A">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61A999AA">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5108FDE0">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Mo-99(Tc-99m)</w:t>
                  </w:r>
                </w:p>
              </w:tc>
              <w:tc>
                <w:tcPr>
                  <w:tcW w:w="1367" w:type="dxa"/>
                  <w:tcBorders>
                    <w:tl2br w:val="nil"/>
                    <w:tr2bl w:val="nil"/>
                  </w:tcBorders>
                  <w:shd w:val="clear" w:color="auto" w:fill="auto"/>
                  <w:vAlign w:val="center"/>
                </w:tcPr>
                <w:p w14:paraId="420000F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34DE2F6C">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生产</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使用</w:t>
                  </w:r>
                </w:p>
              </w:tc>
            </w:tr>
            <w:tr w14:paraId="276D20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0CA4CCB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6</w:t>
                  </w:r>
                </w:p>
              </w:tc>
              <w:tc>
                <w:tcPr>
                  <w:tcW w:w="1730" w:type="dxa"/>
                  <w:vMerge w:val="continue"/>
                  <w:tcBorders>
                    <w:tl2br w:val="nil"/>
                    <w:tr2bl w:val="nil"/>
                  </w:tcBorders>
                  <w:shd w:val="clear" w:color="auto" w:fill="auto"/>
                  <w:vAlign w:val="center"/>
                </w:tcPr>
                <w:p w14:paraId="6EDA5F8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08A489EB">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0449B84D">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N-13</w:t>
                  </w:r>
                </w:p>
              </w:tc>
              <w:tc>
                <w:tcPr>
                  <w:tcW w:w="1367" w:type="dxa"/>
                  <w:tcBorders>
                    <w:tl2br w:val="nil"/>
                    <w:tr2bl w:val="nil"/>
                  </w:tcBorders>
                  <w:shd w:val="clear" w:color="auto" w:fill="auto"/>
                  <w:vAlign w:val="center"/>
                </w:tcPr>
                <w:p w14:paraId="2BAB3ACC">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06996BC9">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生产</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使用</w:t>
                  </w:r>
                </w:p>
              </w:tc>
            </w:tr>
            <w:tr w14:paraId="562CB0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3D8B092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7</w:t>
                  </w:r>
                </w:p>
              </w:tc>
              <w:tc>
                <w:tcPr>
                  <w:tcW w:w="1730" w:type="dxa"/>
                  <w:vMerge w:val="continue"/>
                  <w:tcBorders>
                    <w:tl2br w:val="nil"/>
                    <w:tr2bl w:val="nil"/>
                  </w:tcBorders>
                  <w:shd w:val="clear" w:color="auto" w:fill="auto"/>
                  <w:vAlign w:val="center"/>
                </w:tcPr>
                <w:p w14:paraId="4A2B291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164646EB">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20119532">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Sr-89</w:t>
                  </w:r>
                </w:p>
              </w:tc>
              <w:tc>
                <w:tcPr>
                  <w:tcW w:w="1367" w:type="dxa"/>
                  <w:tcBorders>
                    <w:tl2br w:val="nil"/>
                    <w:tr2bl w:val="nil"/>
                  </w:tcBorders>
                  <w:shd w:val="clear" w:color="auto" w:fill="auto"/>
                  <w:vAlign w:val="center"/>
                </w:tcPr>
                <w:p w14:paraId="55744EAC">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484E034B">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0AA6E2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737EEA2D">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8</w:t>
                  </w:r>
                </w:p>
              </w:tc>
              <w:tc>
                <w:tcPr>
                  <w:tcW w:w="1730" w:type="dxa"/>
                  <w:vMerge w:val="continue"/>
                  <w:tcBorders>
                    <w:tl2br w:val="nil"/>
                    <w:tr2bl w:val="nil"/>
                  </w:tcBorders>
                  <w:shd w:val="clear" w:color="auto" w:fill="auto"/>
                  <w:vAlign w:val="center"/>
                </w:tcPr>
                <w:p w14:paraId="55F3AC2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4E666813">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0F43B02C">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Tc-99m</w:t>
                  </w:r>
                </w:p>
              </w:tc>
              <w:tc>
                <w:tcPr>
                  <w:tcW w:w="1367" w:type="dxa"/>
                  <w:tcBorders>
                    <w:tl2br w:val="nil"/>
                    <w:tr2bl w:val="nil"/>
                  </w:tcBorders>
                  <w:shd w:val="clear" w:color="auto" w:fill="auto"/>
                  <w:vAlign w:val="center"/>
                </w:tcPr>
                <w:p w14:paraId="17C6C38A">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31189D8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4879E5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36" w:hRule="atLeast"/>
              </w:trPr>
              <w:tc>
                <w:tcPr>
                  <w:tcW w:w="637" w:type="dxa"/>
                  <w:tcBorders>
                    <w:tl2br w:val="nil"/>
                    <w:tr2bl w:val="nil"/>
                  </w:tcBorders>
                  <w:shd w:val="clear" w:color="auto" w:fill="auto"/>
                  <w:vAlign w:val="center"/>
                </w:tcPr>
                <w:p w14:paraId="196DFF5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9</w:t>
                  </w:r>
                </w:p>
              </w:tc>
              <w:tc>
                <w:tcPr>
                  <w:tcW w:w="1730" w:type="dxa"/>
                  <w:tcBorders>
                    <w:tl2br w:val="nil"/>
                    <w:tr2bl w:val="nil"/>
                  </w:tcBorders>
                  <w:shd w:val="clear" w:color="auto" w:fill="auto"/>
                  <w:vAlign w:val="center"/>
                </w:tcPr>
                <w:p w14:paraId="2DCC76CA">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放疗楼一层4号机房</w:t>
                  </w:r>
                </w:p>
              </w:tc>
              <w:tc>
                <w:tcPr>
                  <w:tcW w:w="1730" w:type="dxa"/>
                  <w:tcBorders>
                    <w:tl2br w:val="nil"/>
                    <w:tr2bl w:val="nil"/>
                  </w:tcBorders>
                  <w:shd w:val="clear" w:color="auto" w:fill="auto"/>
                  <w:vAlign w:val="center"/>
                </w:tcPr>
                <w:p w14:paraId="1261433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丙级</w:t>
                  </w:r>
                </w:p>
              </w:tc>
              <w:tc>
                <w:tcPr>
                  <w:tcW w:w="1614" w:type="dxa"/>
                  <w:tcBorders>
                    <w:tl2br w:val="nil"/>
                    <w:tr2bl w:val="nil"/>
                  </w:tcBorders>
                  <w:shd w:val="clear" w:color="auto" w:fill="auto"/>
                  <w:vAlign w:val="center"/>
                </w:tcPr>
                <w:p w14:paraId="0E6E70AB">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I-125(粒子源)</w:t>
                  </w:r>
                </w:p>
              </w:tc>
              <w:tc>
                <w:tcPr>
                  <w:tcW w:w="1367" w:type="dxa"/>
                  <w:tcBorders>
                    <w:tl2br w:val="nil"/>
                    <w:tr2bl w:val="nil"/>
                  </w:tcBorders>
                  <w:shd w:val="clear" w:color="auto" w:fill="auto"/>
                  <w:vAlign w:val="center"/>
                </w:tcPr>
                <w:p w14:paraId="46341E8A">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固态</w:t>
                  </w:r>
                </w:p>
              </w:tc>
              <w:tc>
                <w:tcPr>
                  <w:tcW w:w="2020" w:type="dxa"/>
                  <w:tcBorders>
                    <w:tl2br w:val="nil"/>
                    <w:tr2bl w:val="nil"/>
                  </w:tcBorders>
                  <w:shd w:val="clear" w:color="auto" w:fill="auto"/>
                  <w:vAlign w:val="center"/>
                </w:tcPr>
                <w:p w14:paraId="0D9976DD">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74A8BD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0FA27C6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10</w:t>
                  </w:r>
                </w:p>
              </w:tc>
              <w:tc>
                <w:tcPr>
                  <w:tcW w:w="1730" w:type="dxa"/>
                  <w:vMerge w:val="restart"/>
                  <w:tcBorders>
                    <w:tl2br w:val="nil"/>
                    <w:tr2bl w:val="nil"/>
                  </w:tcBorders>
                  <w:shd w:val="clear" w:color="auto" w:fill="auto"/>
                  <w:vAlign w:val="center"/>
                </w:tcPr>
                <w:p w14:paraId="2E230A3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放射性药物小动物实验室</w:t>
                  </w:r>
                </w:p>
              </w:tc>
              <w:tc>
                <w:tcPr>
                  <w:tcW w:w="1730" w:type="dxa"/>
                  <w:vMerge w:val="restart"/>
                  <w:tcBorders>
                    <w:tl2br w:val="nil"/>
                    <w:tr2bl w:val="nil"/>
                  </w:tcBorders>
                  <w:shd w:val="clear" w:color="auto" w:fill="auto"/>
                  <w:vAlign w:val="center"/>
                </w:tcPr>
                <w:p w14:paraId="7A73A76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丙级</w:t>
                  </w:r>
                </w:p>
              </w:tc>
              <w:tc>
                <w:tcPr>
                  <w:tcW w:w="1614" w:type="dxa"/>
                  <w:tcBorders>
                    <w:tl2br w:val="nil"/>
                    <w:tr2bl w:val="nil"/>
                  </w:tcBorders>
                  <w:shd w:val="clear" w:color="auto" w:fill="auto"/>
                  <w:vAlign w:val="center"/>
                </w:tcPr>
                <w:p w14:paraId="0DF79589">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vertAlign w:val="baseline"/>
                      <w:lang w:val="en-US" w:eastAsia="zh-CN" w:bidi="ar"/>
                    </w:rPr>
                    <w:t>F-18</w:t>
                  </w:r>
                </w:p>
              </w:tc>
              <w:tc>
                <w:tcPr>
                  <w:tcW w:w="1367" w:type="dxa"/>
                  <w:tcBorders>
                    <w:tl2br w:val="nil"/>
                    <w:tr2bl w:val="nil"/>
                  </w:tcBorders>
                  <w:shd w:val="clear" w:color="auto" w:fill="auto"/>
                  <w:vAlign w:val="center"/>
                </w:tcPr>
                <w:p w14:paraId="4B7C76EA">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7FE8E6A0">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105543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019647EF">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11</w:t>
                  </w:r>
                </w:p>
              </w:tc>
              <w:tc>
                <w:tcPr>
                  <w:tcW w:w="1730" w:type="dxa"/>
                  <w:vMerge w:val="continue"/>
                  <w:tcBorders>
                    <w:tl2br w:val="nil"/>
                    <w:tr2bl w:val="nil"/>
                  </w:tcBorders>
                  <w:shd w:val="clear" w:color="auto" w:fill="auto"/>
                  <w:vAlign w:val="center"/>
                </w:tcPr>
                <w:p w14:paraId="257631F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0ECC468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7E7236C9">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Ga-68</w:t>
                  </w:r>
                </w:p>
              </w:tc>
              <w:tc>
                <w:tcPr>
                  <w:tcW w:w="1367" w:type="dxa"/>
                  <w:tcBorders>
                    <w:tl2br w:val="nil"/>
                    <w:tr2bl w:val="nil"/>
                  </w:tcBorders>
                  <w:shd w:val="clear" w:color="auto" w:fill="auto"/>
                  <w:vAlign w:val="center"/>
                </w:tcPr>
                <w:p w14:paraId="3FD73DA8">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7E895AB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1EDC55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19740B50">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12</w:t>
                  </w:r>
                </w:p>
              </w:tc>
              <w:tc>
                <w:tcPr>
                  <w:tcW w:w="1730" w:type="dxa"/>
                  <w:vMerge w:val="continue"/>
                  <w:tcBorders>
                    <w:tl2br w:val="nil"/>
                    <w:tr2bl w:val="nil"/>
                  </w:tcBorders>
                  <w:shd w:val="clear" w:color="auto" w:fill="auto"/>
                  <w:vAlign w:val="center"/>
                </w:tcPr>
                <w:p w14:paraId="588F50DF">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7A3077C0">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67EA134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vertAlign w:val="baseline"/>
                      <w:lang w:val="en-US" w:eastAsia="zh-CN" w:bidi="ar"/>
                    </w:rPr>
                    <w:t>Lu-177</w:t>
                  </w:r>
                </w:p>
              </w:tc>
              <w:tc>
                <w:tcPr>
                  <w:tcW w:w="1367" w:type="dxa"/>
                  <w:tcBorders>
                    <w:tl2br w:val="nil"/>
                    <w:tr2bl w:val="nil"/>
                  </w:tcBorders>
                  <w:shd w:val="clear" w:color="auto" w:fill="auto"/>
                  <w:vAlign w:val="center"/>
                </w:tcPr>
                <w:p w14:paraId="201AA70C">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721B1819">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3823A9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148FFD4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13</w:t>
                  </w:r>
                </w:p>
              </w:tc>
              <w:tc>
                <w:tcPr>
                  <w:tcW w:w="1730" w:type="dxa"/>
                  <w:vMerge w:val="continue"/>
                  <w:tcBorders>
                    <w:tl2br w:val="nil"/>
                    <w:tr2bl w:val="nil"/>
                  </w:tcBorders>
                  <w:shd w:val="clear" w:color="auto" w:fill="auto"/>
                  <w:vAlign w:val="center"/>
                </w:tcPr>
                <w:p w14:paraId="1E6E8DE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0B1BE3A5">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1006385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Tc-99m</w:t>
                  </w:r>
                </w:p>
              </w:tc>
              <w:tc>
                <w:tcPr>
                  <w:tcW w:w="1367" w:type="dxa"/>
                  <w:tcBorders>
                    <w:tl2br w:val="nil"/>
                    <w:tr2bl w:val="nil"/>
                  </w:tcBorders>
                  <w:shd w:val="clear" w:color="auto" w:fill="auto"/>
                  <w:vAlign w:val="center"/>
                </w:tcPr>
                <w:p w14:paraId="3ADEE9FE">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06A27A5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78C088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177318EB">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14</w:t>
                  </w:r>
                </w:p>
              </w:tc>
              <w:tc>
                <w:tcPr>
                  <w:tcW w:w="1730" w:type="dxa"/>
                  <w:vMerge w:val="restart"/>
                  <w:tcBorders>
                    <w:tl2br w:val="nil"/>
                    <w:tr2bl w:val="nil"/>
                  </w:tcBorders>
                  <w:shd w:val="clear" w:color="auto" w:fill="auto"/>
                  <w:vAlign w:val="center"/>
                </w:tcPr>
                <w:p w14:paraId="43264A93">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核医学楼</w:t>
                  </w:r>
                </w:p>
              </w:tc>
              <w:tc>
                <w:tcPr>
                  <w:tcW w:w="1730" w:type="dxa"/>
                  <w:vMerge w:val="restart"/>
                  <w:tcBorders>
                    <w:tl2br w:val="nil"/>
                    <w:tr2bl w:val="nil"/>
                  </w:tcBorders>
                  <w:shd w:val="clear" w:color="auto" w:fill="auto"/>
                  <w:vAlign w:val="center"/>
                </w:tcPr>
                <w:p w14:paraId="54F7ED2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乙级</w:t>
                  </w:r>
                </w:p>
              </w:tc>
              <w:tc>
                <w:tcPr>
                  <w:tcW w:w="1614" w:type="dxa"/>
                  <w:tcBorders>
                    <w:tl2br w:val="nil"/>
                    <w:tr2bl w:val="nil"/>
                  </w:tcBorders>
                  <w:shd w:val="clear" w:color="auto" w:fill="auto"/>
                  <w:vAlign w:val="center"/>
                </w:tcPr>
                <w:p w14:paraId="38446DFC">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vertAlign w:val="baseline"/>
                      <w:lang w:val="en-US" w:eastAsia="zh-CN" w:bidi="ar"/>
                    </w:rPr>
                    <w:t>F-18</w:t>
                  </w:r>
                </w:p>
              </w:tc>
              <w:tc>
                <w:tcPr>
                  <w:tcW w:w="1367" w:type="dxa"/>
                  <w:tcBorders>
                    <w:tl2br w:val="nil"/>
                    <w:tr2bl w:val="nil"/>
                  </w:tcBorders>
                  <w:shd w:val="clear" w:color="auto" w:fill="auto"/>
                  <w:vAlign w:val="center"/>
                </w:tcPr>
                <w:p w14:paraId="14A781BD">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6C895480">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生产</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使用</w:t>
                  </w:r>
                </w:p>
              </w:tc>
            </w:tr>
            <w:tr w14:paraId="3F47A4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3EE9A2E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15</w:t>
                  </w:r>
                </w:p>
              </w:tc>
              <w:tc>
                <w:tcPr>
                  <w:tcW w:w="1730" w:type="dxa"/>
                  <w:vMerge w:val="continue"/>
                  <w:tcBorders>
                    <w:tl2br w:val="nil"/>
                    <w:tr2bl w:val="nil"/>
                  </w:tcBorders>
                  <w:shd w:val="clear" w:color="auto" w:fill="auto"/>
                  <w:vAlign w:val="center"/>
                </w:tcPr>
                <w:p w14:paraId="7EA27B19">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7B33C55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62AEF2E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Ga-68</w:t>
                  </w:r>
                </w:p>
              </w:tc>
              <w:tc>
                <w:tcPr>
                  <w:tcW w:w="1367" w:type="dxa"/>
                  <w:tcBorders>
                    <w:tl2br w:val="nil"/>
                    <w:tr2bl w:val="nil"/>
                  </w:tcBorders>
                  <w:shd w:val="clear" w:color="auto" w:fill="auto"/>
                  <w:vAlign w:val="center"/>
                </w:tcPr>
                <w:p w14:paraId="5768DA5D">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78197A80">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生产</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使用</w:t>
                  </w:r>
                </w:p>
              </w:tc>
            </w:tr>
            <w:tr w14:paraId="6086EE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207AA2C5">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16</w:t>
                  </w:r>
                </w:p>
              </w:tc>
              <w:tc>
                <w:tcPr>
                  <w:tcW w:w="1730" w:type="dxa"/>
                  <w:vMerge w:val="continue"/>
                  <w:tcBorders>
                    <w:tl2br w:val="nil"/>
                    <w:tr2bl w:val="nil"/>
                  </w:tcBorders>
                  <w:shd w:val="clear" w:color="auto" w:fill="auto"/>
                  <w:vAlign w:val="center"/>
                </w:tcPr>
                <w:p w14:paraId="7EDC787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3D5679C9">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48B33332">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vertAlign w:val="baseline"/>
                      <w:lang w:val="en-US" w:eastAsia="zh-CN" w:bidi="ar"/>
                    </w:rPr>
                    <w:t>I-131</w:t>
                  </w:r>
                </w:p>
              </w:tc>
              <w:tc>
                <w:tcPr>
                  <w:tcW w:w="1367" w:type="dxa"/>
                  <w:tcBorders>
                    <w:tl2br w:val="nil"/>
                    <w:tr2bl w:val="nil"/>
                  </w:tcBorders>
                  <w:shd w:val="clear" w:color="auto" w:fill="auto"/>
                  <w:vAlign w:val="center"/>
                </w:tcPr>
                <w:p w14:paraId="16556AD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4F110D3C">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4C6872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6105A98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17</w:t>
                  </w:r>
                </w:p>
              </w:tc>
              <w:tc>
                <w:tcPr>
                  <w:tcW w:w="1730" w:type="dxa"/>
                  <w:vMerge w:val="continue"/>
                  <w:tcBorders>
                    <w:tl2br w:val="nil"/>
                    <w:tr2bl w:val="nil"/>
                  </w:tcBorders>
                  <w:shd w:val="clear" w:color="auto" w:fill="auto"/>
                  <w:vAlign w:val="center"/>
                </w:tcPr>
                <w:p w14:paraId="262AFEEE">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6D51BDC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2F4095BE">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vertAlign w:val="baseline"/>
                      <w:lang w:val="en-US" w:eastAsia="zh-CN" w:bidi="ar"/>
                    </w:rPr>
                    <w:t>I-131</w:t>
                  </w:r>
                </w:p>
              </w:tc>
              <w:tc>
                <w:tcPr>
                  <w:tcW w:w="1367" w:type="dxa"/>
                  <w:tcBorders>
                    <w:tl2br w:val="nil"/>
                    <w:tr2bl w:val="nil"/>
                  </w:tcBorders>
                  <w:shd w:val="clear" w:color="auto" w:fill="auto"/>
                  <w:vAlign w:val="center"/>
                </w:tcPr>
                <w:p w14:paraId="1BEB80E8">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3B9D2409">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5486B7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15E8836F">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18</w:t>
                  </w:r>
                </w:p>
              </w:tc>
              <w:tc>
                <w:tcPr>
                  <w:tcW w:w="1730" w:type="dxa"/>
                  <w:vMerge w:val="continue"/>
                  <w:tcBorders>
                    <w:tl2br w:val="nil"/>
                    <w:tr2bl w:val="nil"/>
                  </w:tcBorders>
                  <w:shd w:val="clear" w:color="auto" w:fill="auto"/>
                  <w:vAlign w:val="center"/>
                </w:tcPr>
                <w:p w14:paraId="3BCE7BD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60D151E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29832EDE">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vertAlign w:val="baseline"/>
                      <w:lang w:val="en-US" w:eastAsia="zh-CN" w:bidi="ar"/>
                    </w:rPr>
                    <w:t>Lu-177</w:t>
                  </w:r>
                </w:p>
              </w:tc>
              <w:tc>
                <w:tcPr>
                  <w:tcW w:w="1367" w:type="dxa"/>
                  <w:tcBorders>
                    <w:tl2br w:val="nil"/>
                    <w:tr2bl w:val="nil"/>
                  </w:tcBorders>
                  <w:shd w:val="clear" w:color="auto" w:fill="auto"/>
                  <w:vAlign w:val="center"/>
                </w:tcPr>
                <w:p w14:paraId="31851FE0">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12A58F41">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0622C4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00625E7B">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19</w:t>
                  </w:r>
                </w:p>
              </w:tc>
              <w:tc>
                <w:tcPr>
                  <w:tcW w:w="1730" w:type="dxa"/>
                  <w:vMerge w:val="continue"/>
                  <w:tcBorders>
                    <w:tl2br w:val="nil"/>
                    <w:tr2bl w:val="nil"/>
                  </w:tcBorders>
                  <w:shd w:val="clear" w:color="auto" w:fill="auto"/>
                  <w:vAlign w:val="center"/>
                </w:tcPr>
                <w:p w14:paraId="3E5528E5">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20280202">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1572D73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Mo-99(Tc-99m)</w:t>
                  </w:r>
                </w:p>
              </w:tc>
              <w:tc>
                <w:tcPr>
                  <w:tcW w:w="1367" w:type="dxa"/>
                  <w:tcBorders>
                    <w:tl2br w:val="nil"/>
                    <w:tr2bl w:val="nil"/>
                  </w:tcBorders>
                  <w:shd w:val="clear" w:color="auto" w:fill="auto"/>
                  <w:vAlign w:val="center"/>
                </w:tcPr>
                <w:p w14:paraId="003E5BAC">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4BA98A6B">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生产</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使用</w:t>
                  </w:r>
                </w:p>
              </w:tc>
            </w:tr>
            <w:tr w14:paraId="63B57F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2BECCA6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20</w:t>
                  </w:r>
                </w:p>
              </w:tc>
              <w:tc>
                <w:tcPr>
                  <w:tcW w:w="1730" w:type="dxa"/>
                  <w:vMerge w:val="continue"/>
                  <w:tcBorders>
                    <w:tl2br w:val="nil"/>
                    <w:tr2bl w:val="nil"/>
                  </w:tcBorders>
                  <w:shd w:val="clear" w:color="auto" w:fill="auto"/>
                  <w:vAlign w:val="center"/>
                </w:tcPr>
                <w:p w14:paraId="6E483DD9">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3DB635DC">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62C6DB6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vertAlign w:val="baseline"/>
                      <w:lang w:val="en-US" w:eastAsia="zh-CN" w:bidi="ar"/>
                    </w:rPr>
                    <w:t>Ra-223</w:t>
                  </w:r>
                </w:p>
              </w:tc>
              <w:tc>
                <w:tcPr>
                  <w:tcW w:w="1367" w:type="dxa"/>
                  <w:tcBorders>
                    <w:tl2br w:val="nil"/>
                    <w:tr2bl w:val="nil"/>
                  </w:tcBorders>
                  <w:shd w:val="clear" w:color="auto" w:fill="auto"/>
                  <w:vAlign w:val="center"/>
                </w:tcPr>
                <w:p w14:paraId="574EE815">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001C4FF2">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06EA63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2" w:hRule="atLeast"/>
              </w:trPr>
              <w:tc>
                <w:tcPr>
                  <w:tcW w:w="637" w:type="dxa"/>
                  <w:tcBorders>
                    <w:tl2br w:val="nil"/>
                    <w:tr2bl w:val="nil"/>
                  </w:tcBorders>
                  <w:shd w:val="clear" w:color="auto" w:fill="auto"/>
                  <w:vAlign w:val="center"/>
                </w:tcPr>
                <w:p w14:paraId="488CC82E">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21</w:t>
                  </w:r>
                </w:p>
              </w:tc>
              <w:tc>
                <w:tcPr>
                  <w:tcW w:w="1730" w:type="dxa"/>
                  <w:vMerge w:val="continue"/>
                  <w:tcBorders>
                    <w:tl2br w:val="nil"/>
                    <w:tr2bl w:val="nil"/>
                  </w:tcBorders>
                  <w:shd w:val="clear" w:color="auto" w:fill="auto"/>
                  <w:vAlign w:val="center"/>
                </w:tcPr>
                <w:p w14:paraId="6A6FEE0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5E530FC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46467FFE">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Sr-89</w:t>
                  </w:r>
                </w:p>
              </w:tc>
              <w:tc>
                <w:tcPr>
                  <w:tcW w:w="1367" w:type="dxa"/>
                  <w:tcBorders>
                    <w:tl2br w:val="nil"/>
                    <w:tr2bl w:val="nil"/>
                  </w:tcBorders>
                  <w:shd w:val="clear" w:color="auto" w:fill="auto"/>
                  <w:vAlign w:val="center"/>
                </w:tcPr>
                <w:p w14:paraId="3521B468">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液态</w:t>
                  </w:r>
                </w:p>
              </w:tc>
              <w:tc>
                <w:tcPr>
                  <w:tcW w:w="2020" w:type="dxa"/>
                  <w:tcBorders>
                    <w:tl2br w:val="nil"/>
                    <w:tr2bl w:val="nil"/>
                  </w:tcBorders>
                  <w:shd w:val="clear" w:color="auto" w:fill="auto"/>
                  <w:vAlign w:val="center"/>
                </w:tcPr>
                <w:p w14:paraId="37F56EE6">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使用</w:t>
                  </w:r>
                </w:p>
              </w:tc>
            </w:tr>
            <w:tr w14:paraId="27D019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4" w:hRule="atLeast"/>
              </w:trPr>
              <w:tc>
                <w:tcPr>
                  <w:tcW w:w="637" w:type="dxa"/>
                  <w:tcBorders>
                    <w:tl2br w:val="nil"/>
                    <w:tr2bl w:val="nil"/>
                  </w:tcBorders>
                  <w:shd w:val="clear" w:color="auto" w:fill="auto"/>
                  <w:vAlign w:val="center"/>
                </w:tcPr>
                <w:p w14:paraId="652C815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22</w:t>
                  </w:r>
                </w:p>
              </w:tc>
              <w:tc>
                <w:tcPr>
                  <w:tcW w:w="1730" w:type="dxa"/>
                  <w:vMerge w:val="continue"/>
                  <w:tcBorders>
                    <w:tl2br w:val="nil"/>
                    <w:tr2bl w:val="nil"/>
                  </w:tcBorders>
                  <w:shd w:val="clear" w:color="auto" w:fill="auto"/>
                  <w:vAlign w:val="center"/>
                </w:tcPr>
                <w:p w14:paraId="25012DD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730" w:type="dxa"/>
                  <w:vMerge w:val="continue"/>
                  <w:tcBorders>
                    <w:tl2br w:val="nil"/>
                    <w:tr2bl w:val="nil"/>
                  </w:tcBorders>
                  <w:shd w:val="clear" w:color="auto" w:fill="auto"/>
                  <w:vAlign w:val="center"/>
                </w:tcPr>
                <w:p w14:paraId="1105C65E">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p>
              </w:tc>
              <w:tc>
                <w:tcPr>
                  <w:tcW w:w="1614" w:type="dxa"/>
                  <w:tcBorders>
                    <w:tl2br w:val="nil"/>
                    <w:tr2bl w:val="nil"/>
                  </w:tcBorders>
                  <w:shd w:val="clear" w:color="auto" w:fill="auto"/>
                  <w:vAlign w:val="center"/>
                </w:tcPr>
                <w:p w14:paraId="167263F7">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Tc-99m</w:t>
                  </w:r>
                </w:p>
              </w:tc>
              <w:tc>
                <w:tcPr>
                  <w:tcW w:w="1367" w:type="dxa"/>
                  <w:tcBorders>
                    <w:tl2br w:val="nil"/>
                    <w:tr2bl w:val="nil"/>
                  </w:tcBorders>
                  <w:shd w:val="clear" w:color="auto" w:fill="auto"/>
                  <w:vAlign w:val="center"/>
                </w:tcPr>
                <w:p w14:paraId="1C7C28B3">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color w:val="auto"/>
                      <w:kern w:val="0"/>
                      <w:sz w:val="21"/>
                      <w:szCs w:val="21"/>
                      <w:highlight w:val="none"/>
                      <w:lang w:val="en-US" w:eastAsia="zh-CN" w:bidi="ar"/>
                    </w:rPr>
                    <w:t>液态</w:t>
                  </w:r>
                  <w:r>
                    <w:rPr>
                      <w:rFonts w:hint="default" w:ascii="Times New Roman" w:hAnsi="Times New Roman" w:cs="Times New Roman"/>
                      <w:color w:val="auto"/>
                      <w:kern w:val="0"/>
                      <w:sz w:val="21"/>
                      <w:szCs w:val="21"/>
                      <w:highlight w:val="none"/>
                      <w:lang w:val="en-US" w:eastAsia="zh-CN" w:bidi="ar"/>
                    </w:rPr>
                    <w:t xml:space="preserve"> </w:t>
                  </w:r>
                </w:p>
              </w:tc>
              <w:tc>
                <w:tcPr>
                  <w:tcW w:w="2020" w:type="dxa"/>
                  <w:tcBorders>
                    <w:tl2br w:val="nil"/>
                    <w:tr2bl w:val="nil"/>
                  </w:tcBorders>
                  <w:shd w:val="clear" w:color="auto" w:fill="auto"/>
                  <w:vAlign w:val="center"/>
                </w:tcPr>
                <w:p w14:paraId="211B3C34">
                  <w:pPr>
                    <w:keepNext w:val="0"/>
                    <w:keepLines w:val="0"/>
                    <w:widowControl/>
                    <w:suppressLineNumbers w:val="0"/>
                    <w:autoSpaceDE w:val="0"/>
                    <w:autoSpaceDN w:val="0"/>
                    <w:spacing w:before="0" w:beforeLines="0" w:beforeAutospacing="0" w:after="0" w:afterLines="0" w:afterAutospacing="0"/>
                    <w:ind w:left="0" w:right="0" w:firstLine="0" w:firstLineChars="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生产</w:t>
                  </w:r>
                  <w:r>
                    <w:rPr>
                      <w:rFonts w:hint="eastAsia" w:cs="Times New Roman"/>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使用</w:t>
                  </w:r>
                </w:p>
              </w:tc>
            </w:tr>
          </w:tbl>
          <w:p w14:paraId="76C3CF58">
            <w:pPr>
              <w:pStyle w:val="19"/>
              <w:keepNext w:val="0"/>
              <w:keepLines w:val="0"/>
              <w:widowControl/>
              <w:suppressLineNumbers w:val="0"/>
              <w:kinsoku w:val="0"/>
              <w:autoSpaceDE w:val="0"/>
              <w:autoSpaceDN w:val="0"/>
              <w:adjustRightInd w:val="0"/>
              <w:snapToGrid w:val="0"/>
              <w:spacing w:before="36" w:beforeAutospacing="0" w:after="0" w:afterAutospacing="0" w:line="360" w:lineRule="auto"/>
              <w:ind w:left="123" w:right="0"/>
              <w:jc w:val="left"/>
              <w:textAlignment w:val="baseline"/>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b/>
                <w:bCs/>
                <w:snapToGrid/>
                <w:color w:val="auto"/>
                <w:spacing w:val="-2"/>
                <w:kern w:val="0"/>
                <w:sz w:val="24"/>
                <w:szCs w:val="24"/>
                <w:highlight w:val="none"/>
                <w:lang w:val="en-US" w:eastAsia="zh-CN" w:bidi="ar"/>
              </w:rPr>
              <w:t>1.1.2 项目建设规模及目的</w:t>
            </w:r>
          </w:p>
          <w:p w14:paraId="7623F53B">
            <w:pPr>
              <w:keepNext w:val="0"/>
              <w:keepLines w:val="0"/>
              <w:widowControl w:val="0"/>
              <w:suppressLineNumbers w:val="0"/>
              <w:spacing w:before="0" w:beforeLines="0" w:beforeAutospacing="0" w:after="0" w:afterLines="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为满足新疆医科大学附属肿瘤医院（以下简称“医院”）非密封放射性物质合规使用需求，项目拟对医院</w:t>
            </w:r>
            <w:r>
              <w:rPr>
                <w:rFonts w:hint="default" w:ascii="Times New Roman" w:hAnsi="Times New Roman" w:cs="Times New Roman"/>
                <w:color w:val="auto"/>
                <w:sz w:val="24"/>
                <w:szCs w:val="24"/>
                <w:highlight w:val="none"/>
                <w:lang w:val="en-US" w:eastAsia="zh-CN"/>
              </w:rPr>
              <w:t>北院区</w:t>
            </w:r>
            <w:r>
              <w:rPr>
                <w:rFonts w:hint="default" w:ascii="Times New Roman" w:hAnsi="Times New Roman" w:cs="Times New Roman"/>
                <w:color w:val="auto"/>
                <w:sz w:val="24"/>
                <w:szCs w:val="24"/>
                <w:highlight w:val="none"/>
              </w:rPr>
              <w:t>现有核医学楼</w:t>
            </w:r>
            <w:r>
              <w:rPr>
                <w:rFonts w:hint="default" w:ascii="Times New Roman" w:hAnsi="Times New Roman" w:cs="Times New Roman"/>
                <w:color w:val="auto"/>
                <w:sz w:val="24"/>
                <w:szCs w:val="24"/>
                <w:highlight w:val="none"/>
                <w:lang w:val="en-US" w:eastAsia="zh-CN"/>
              </w:rPr>
              <w:t>内</w:t>
            </w:r>
            <w:r>
              <w:rPr>
                <w:rFonts w:hint="default" w:ascii="Times New Roman" w:hAnsi="Times New Roman" w:cs="Times New Roman"/>
                <w:color w:val="auto"/>
                <w:sz w:val="24"/>
                <w:szCs w:val="24"/>
                <w:highlight w:val="none"/>
              </w:rPr>
              <w:t>非密封放射性物质的活动类型、核素种类</w:t>
            </w:r>
            <w:r>
              <w:rPr>
                <w:rFonts w:hint="default" w:ascii="Times New Roman" w:hAnsi="Times New Roman" w:cs="Times New Roman"/>
                <w:color w:val="auto"/>
                <w:sz w:val="24"/>
                <w:szCs w:val="24"/>
                <w:highlight w:val="none"/>
                <w:lang w:val="en-US" w:eastAsia="zh-CN"/>
              </w:rPr>
              <w:t>进行</w:t>
            </w:r>
            <w:r>
              <w:rPr>
                <w:rFonts w:hint="default" w:ascii="Times New Roman" w:hAnsi="Times New Roman" w:cs="Times New Roman"/>
                <w:color w:val="auto"/>
                <w:sz w:val="24"/>
                <w:szCs w:val="24"/>
                <w:highlight w:val="none"/>
              </w:rPr>
              <w:t>调整，并在老院区综合楼一层介入手术2室开展Y</w:t>
            </w:r>
            <w:r>
              <w:rPr>
                <w:rFonts w:hint="default" w:ascii="Times New Roman" w:hAnsi="Times New Roman" w:cs="Times New Roman"/>
                <w:color w:val="auto"/>
                <w:sz w:val="24"/>
                <w:szCs w:val="24"/>
                <w:highlight w:val="none"/>
                <w:lang w:val="en-US" w:eastAsia="zh-CN"/>
              </w:rPr>
              <w:t>-90</w:t>
            </w:r>
            <w:r>
              <w:rPr>
                <w:rFonts w:hint="default" w:ascii="Times New Roman" w:hAnsi="Times New Roman" w:cs="Times New Roman"/>
                <w:color w:val="auto"/>
                <w:sz w:val="24"/>
                <w:szCs w:val="24"/>
                <w:highlight w:val="none"/>
              </w:rPr>
              <w:t>树脂微球介入治疗，同步新增1处非密封放射性物质</w:t>
            </w:r>
            <w:r>
              <w:rPr>
                <w:rFonts w:hint="eastAsia" w:cs="Times New Roman"/>
                <w:color w:val="auto"/>
                <w:sz w:val="24"/>
                <w:szCs w:val="24"/>
                <w:highlight w:val="none"/>
                <w:lang w:val="en-US" w:eastAsia="zh-CN"/>
              </w:rPr>
              <w:t>乙级</w:t>
            </w:r>
            <w:r>
              <w:rPr>
                <w:rFonts w:hint="default" w:ascii="Times New Roman" w:hAnsi="Times New Roman" w:cs="Times New Roman"/>
                <w:color w:val="auto"/>
                <w:sz w:val="24"/>
                <w:szCs w:val="24"/>
                <w:highlight w:val="none"/>
              </w:rPr>
              <w:t>工作场所。</w:t>
            </w:r>
          </w:p>
          <w:p w14:paraId="4026588D">
            <w:pPr>
              <w:keepNext w:val="0"/>
              <w:keepLines w:val="0"/>
              <w:widowControl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实施</w:t>
            </w:r>
            <w:r>
              <w:rPr>
                <w:rFonts w:hint="eastAsia" w:cs="Times New Roman"/>
                <w:color w:val="auto"/>
                <w:sz w:val="24"/>
                <w:szCs w:val="24"/>
                <w:highlight w:val="none"/>
                <w:lang w:val="en-US" w:eastAsia="zh-CN"/>
              </w:rPr>
              <w:t>新疆医科大学附属肿瘤医院非密封放射性物质工作场所扩增项目</w:t>
            </w:r>
            <w:r>
              <w:rPr>
                <w:rFonts w:hint="default" w:ascii="Times New Roman" w:hAnsi="Times New Roman" w:cs="Times New Roman"/>
                <w:color w:val="auto"/>
                <w:sz w:val="24"/>
                <w:szCs w:val="24"/>
                <w:highlight w:val="none"/>
              </w:rPr>
              <w:t>，旨在规范、科学使用非密封放射性物质开展放射诊疗工作，进一步提升医院核医学诊疗服务能力，满足周边患者日益增长的核医学诊疗需求；项目严格落实辐射安全防护管理要求，保障工作人员、患者及公众辐射安全，推动区域放射诊疗精准诊疗水平提升，完善新疆肿瘤防治体系，减轻患者外出就医负担，具有显著的社会效益与民生意义。</w:t>
            </w:r>
          </w:p>
          <w:p w14:paraId="34334BBD">
            <w:pPr>
              <w:pStyle w:val="19"/>
              <w:keepNext w:val="0"/>
              <w:keepLines w:val="0"/>
              <w:widowControl/>
              <w:suppressLineNumbers w:val="0"/>
              <w:kinsoku w:val="0"/>
              <w:adjustRightInd w:val="0"/>
              <w:snapToGrid w:val="0"/>
              <w:spacing w:before="36" w:beforeLines="0" w:beforeAutospacing="0" w:after="0" w:afterLines="0" w:afterAutospacing="0" w:line="360" w:lineRule="auto"/>
              <w:ind w:left="0" w:right="0"/>
              <w:textAlignment w:val="baseline"/>
              <w:rPr>
                <w:rFonts w:hint="default" w:ascii="Times New Roman" w:hAnsi="Times New Roman" w:eastAsia="宋体" w:cs="Times New Roman"/>
                <w:b/>
                <w:color w:val="auto"/>
                <w:spacing w:val="-2"/>
                <w:sz w:val="24"/>
                <w:szCs w:val="24"/>
                <w:highlight w:val="none"/>
                <w:lang w:bidi="ar"/>
              </w:rPr>
            </w:pPr>
            <w:r>
              <w:rPr>
                <w:rFonts w:hint="default" w:ascii="Times New Roman" w:hAnsi="Times New Roman" w:eastAsia="宋体" w:cs="Times New Roman"/>
                <w:b/>
                <w:color w:val="auto"/>
                <w:spacing w:val="-2"/>
                <w:sz w:val="24"/>
                <w:szCs w:val="24"/>
                <w:highlight w:val="none"/>
                <w:lang w:bidi="ar"/>
              </w:rPr>
              <w:t>1.1.</w:t>
            </w:r>
            <w:r>
              <w:rPr>
                <w:rFonts w:hint="default" w:ascii="Times New Roman" w:hAnsi="Times New Roman" w:eastAsia="宋体" w:cs="Times New Roman"/>
                <w:b/>
                <w:color w:val="auto"/>
                <w:spacing w:val="-2"/>
                <w:sz w:val="24"/>
                <w:szCs w:val="24"/>
                <w:highlight w:val="none"/>
                <w:lang w:val="en-US" w:eastAsia="zh-CN" w:bidi="ar"/>
              </w:rPr>
              <w:t>3</w:t>
            </w:r>
            <w:r>
              <w:rPr>
                <w:rFonts w:hint="default" w:ascii="Times New Roman" w:hAnsi="Times New Roman" w:eastAsia="宋体" w:cs="Times New Roman"/>
                <w:b/>
                <w:color w:val="auto"/>
                <w:spacing w:val="-2"/>
                <w:sz w:val="24"/>
                <w:szCs w:val="24"/>
                <w:highlight w:val="none"/>
                <w:lang w:bidi="ar"/>
              </w:rPr>
              <w:t xml:space="preserve"> </w:t>
            </w:r>
            <w:r>
              <w:rPr>
                <w:rFonts w:hint="default" w:ascii="Times New Roman" w:hAnsi="Times New Roman" w:eastAsia="宋体" w:cs="Times New Roman"/>
                <w:b/>
                <w:color w:val="auto"/>
                <w:spacing w:val="-2"/>
                <w:sz w:val="24"/>
                <w:szCs w:val="24"/>
                <w:highlight w:val="none"/>
                <w:lang w:val="en-US" w:eastAsia="zh-CN" w:bidi="ar"/>
              </w:rPr>
              <w:t>任务由来</w:t>
            </w:r>
          </w:p>
          <w:p w14:paraId="07D09C95">
            <w:pPr>
              <w:pStyle w:val="12"/>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医院北院区核医学楼设有1个乙级非密封源工作场所（核医学楼）及1个丙级非密封源工作场所（放射性药物小动物实验室），核医学楼涉及PET药物生产与诊断、SPECT药物生产与诊断，配套8间I</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131甲癌病房、1间Lu</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177前列腺癌病房，原有许可核素包括F</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18、Ga</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68、I</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131、Lu</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177、Mo</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99(Tc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99m)、Tc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99m、Ra</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223、Sr</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89；该核医学楼2025年1月开工，2025年11月17日取得辐射安全许可证，2026年5月9日单光子诊疗区域、核素治疗区域建成投运并完成竣工环保验收</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PET药物生产、PET药物诊断及Sr</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89、Ra</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223、Lu</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177相关工作处于试运行阶段，暂未完成竣工环保验收。结合试运行情况，现有F</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18、Ga</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68、Mo</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99(Tc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99m)、Tc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99m、I</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131、Lu</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177、Ra</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223许可日最大操作量无法满足临床诊疗需求，本次拟对上述核素日最大操作量进行上调：将F</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18</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生产</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日最大操作量由9.99E+9Bq（270mCi）调整为7.40E+10Bq（2000mCi），Ga</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68（生产）日最大操作量由1.11E+9Bq（30mCi）调整为3.70E+10Bq（1000mCi），Mo</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99(Tc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99m)（生产）日最大操作量由3.70E+10Bq（1000mCi）调整为8.22E+10Bq（2222.22mCi），Tc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99m（生产）日最大操作量由3.07E+10Bq（829.73mCi）调整为7.40E+10Bq（2000mCi），I</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131</w:t>
            </w:r>
            <w:r>
              <w:rPr>
                <w:rFonts w:hint="eastAsia" w:ascii="Times New Roman" w:hAnsi="Times New Roman" w:eastAsia="宋体" w:cs="Times New Roman"/>
                <w:color w:val="auto"/>
                <w:sz w:val="24"/>
                <w:szCs w:val="24"/>
                <w:highlight w:val="none"/>
                <w:lang w:val="en-US" w:eastAsia="zh-CN"/>
              </w:rPr>
              <w:t>（治疗）</w:t>
            </w:r>
            <w:r>
              <w:rPr>
                <w:rFonts w:hint="default" w:ascii="Times New Roman" w:hAnsi="Times New Roman" w:eastAsia="宋体" w:cs="Times New Roman"/>
                <w:color w:val="auto"/>
                <w:sz w:val="24"/>
                <w:szCs w:val="24"/>
                <w:highlight w:val="none"/>
                <w:lang w:val="en-US" w:eastAsia="zh-CN"/>
              </w:rPr>
              <w:t>日最大操作量由2.96E+10Bq（800mCi）调整为9.44E+10Bq（2550mCi）、I</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131</w:t>
            </w:r>
            <w:r>
              <w:rPr>
                <w:rFonts w:hint="eastAsia" w:ascii="Times New Roman" w:hAnsi="Times New Roman" w:eastAsia="宋体" w:cs="Times New Roman"/>
                <w:color w:val="auto"/>
                <w:sz w:val="24"/>
                <w:szCs w:val="24"/>
                <w:highlight w:val="none"/>
                <w:lang w:val="en-US" w:eastAsia="zh-CN"/>
              </w:rPr>
              <w:t>（诊断）</w:t>
            </w:r>
            <w:r>
              <w:rPr>
                <w:rFonts w:hint="default" w:ascii="Times New Roman" w:hAnsi="Times New Roman" w:eastAsia="宋体" w:cs="Times New Roman"/>
                <w:color w:val="auto"/>
                <w:sz w:val="24"/>
                <w:szCs w:val="24"/>
                <w:highlight w:val="none"/>
                <w:lang w:val="en-US" w:eastAsia="zh-CN"/>
              </w:rPr>
              <w:t>日最大操作量由1.48E+9Bq（40mCi）调整为1.11E+10Bq（300mCi），Lu</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177日最大操作量由3.7E+9Bq（100mCi）调整为1.11E+10Bq（300mCi），Ra</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223日最大操作量由3.3E+6Bq（0.09mCi）调整为5.50E+06Bq（0.15mCi）；其中拟将</w:t>
            </w:r>
            <w:r>
              <w:rPr>
                <w:rFonts w:hint="eastAsia" w:ascii="Times New Roman" w:hAnsi="Times New Roman" w:eastAsia="宋体" w:cs="Times New Roman"/>
                <w:color w:val="auto"/>
                <w:sz w:val="24"/>
                <w:szCs w:val="24"/>
                <w:highlight w:val="none"/>
                <w:lang w:val="en-US" w:eastAsia="zh-CN"/>
              </w:rPr>
              <w:t>核素</w:t>
            </w:r>
            <w:r>
              <w:rPr>
                <w:rFonts w:hint="default" w:ascii="Times New Roman" w:hAnsi="Times New Roman" w:eastAsia="宋体" w:cs="Times New Roman"/>
                <w:color w:val="auto"/>
                <w:sz w:val="24"/>
                <w:szCs w:val="24"/>
                <w:highlight w:val="none"/>
                <w:lang w:val="en-US" w:eastAsia="zh-CN"/>
              </w:rPr>
              <w:t>F</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18、Ga</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68、Mo</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99(Tc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99m)、Tc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99m</w:t>
            </w:r>
            <w:r>
              <w:rPr>
                <w:rFonts w:hint="eastAsia" w:ascii="Times New Roman" w:hAnsi="Times New Roman" w:eastAsia="宋体"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lang w:val="en-US" w:eastAsia="zh-CN"/>
              </w:rPr>
              <w:t>生产与使用拆分为两个独立非密封源工作场所，配套开展相应PET、SPECT诊断工作；I</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131治疗制剂由液态全部改为固态胶囊，操作修正因子由液体1调整为固体10，</w:t>
            </w:r>
            <w:r>
              <w:rPr>
                <w:rFonts w:hint="eastAsia" w:ascii="Times New Roman" w:hAnsi="Times New Roman" w:eastAsia="宋体" w:cs="Times New Roman"/>
                <w:color w:val="auto"/>
                <w:sz w:val="24"/>
                <w:szCs w:val="24"/>
                <w:highlight w:val="none"/>
                <w:lang w:val="en-US" w:eastAsia="zh-CN"/>
              </w:rPr>
              <w:t>日等效最大操作量降低，</w:t>
            </w:r>
            <w:r>
              <w:rPr>
                <w:rFonts w:hint="default" w:ascii="Times New Roman" w:hAnsi="Times New Roman" w:eastAsia="宋体" w:cs="Times New Roman"/>
                <w:color w:val="auto"/>
                <w:sz w:val="24"/>
                <w:szCs w:val="24"/>
                <w:highlight w:val="none"/>
                <w:lang w:val="en-US" w:eastAsia="zh-CN"/>
              </w:rPr>
              <w:t>可新增9间甲癌病房，在增加收治患者规模的前提下避免非密封放射性物质工作场所升级</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核医学楼三层核素治疗区仅使用I</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131胶囊，</w:t>
            </w:r>
            <w:r>
              <w:rPr>
                <w:rFonts w:hint="eastAsia" w:cs="Times New Roman"/>
                <w:color w:val="auto"/>
                <w:sz w:val="24"/>
                <w:szCs w:val="24"/>
                <w:highlight w:val="none"/>
                <w:lang w:val="en-US" w:eastAsia="zh-CN"/>
              </w:rPr>
              <w:t>一层</w:t>
            </w:r>
            <w:r>
              <w:rPr>
                <w:rFonts w:hint="default" w:ascii="Times New Roman" w:hAnsi="Times New Roman" w:eastAsia="宋体" w:cs="Times New Roman"/>
                <w:color w:val="auto"/>
                <w:sz w:val="24"/>
                <w:szCs w:val="24"/>
                <w:highlight w:val="none"/>
                <w:lang w:val="en-US" w:eastAsia="zh-CN"/>
              </w:rPr>
              <w:t>SPECT诊断区使用液态I</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131。</w:t>
            </w:r>
          </w:p>
          <w:p w14:paraId="5BE60F05">
            <w:pPr>
              <w:pStyle w:val="12"/>
              <w:keepNext w:val="0"/>
              <w:keepLines w:val="0"/>
              <w:suppressLineNumbers w:val="0"/>
              <w:spacing w:before="0" w:beforeLines="0" w:beforeAutospacing="0" w:after="0" w:afterLines="0" w:afterAutospacing="0" w:line="360" w:lineRule="auto"/>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本次拟新增C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11、N</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13、Ac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225核素在核医学楼内使用，C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11、N</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13</w:t>
            </w:r>
            <w:r>
              <w:rPr>
                <w:rFonts w:hint="eastAsia" w:cs="Times New Roman"/>
                <w:color w:val="auto"/>
                <w:sz w:val="24"/>
                <w:szCs w:val="24"/>
                <w:highlight w:val="none"/>
                <w:lang w:val="en-US" w:eastAsia="zh-CN"/>
              </w:rPr>
              <w:t>日最大操作量</w:t>
            </w:r>
            <w:r>
              <w:rPr>
                <w:rFonts w:hint="default" w:ascii="Times New Roman" w:hAnsi="Times New Roman" w:eastAsia="宋体" w:cs="Times New Roman"/>
                <w:color w:val="auto"/>
                <w:sz w:val="24"/>
                <w:szCs w:val="24"/>
                <w:highlight w:val="none"/>
                <w:lang w:val="en-US" w:eastAsia="zh-CN"/>
              </w:rPr>
              <w:t>均为1.48E+10Bq（400mCi），Ac</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225日最大操作量为1.00E+07Bq（0.27mCi）；</w:t>
            </w:r>
            <w:r>
              <w:rPr>
                <w:rFonts w:hint="eastAsia" w:cs="Times New Roman"/>
                <w:color w:val="auto"/>
                <w:sz w:val="24"/>
                <w:szCs w:val="24"/>
                <w:highlight w:val="none"/>
                <w:lang w:val="en-US" w:eastAsia="zh-CN"/>
              </w:rPr>
              <w:t>医院</w:t>
            </w:r>
            <w:r>
              <w:rPr>
                <w:rFonts w:hint="default" w:ascii="Times New Roman" w:hAnsi="Times New Roman" w:eastAsia="宋体" w:cs="Times New Roman"/>
                <w:color w:val="auto"/>
                <w:sz w:val="24"/>
                <w:szCs w:val="24"/>
                <w:highlight w:val="none"/>
                <w:lang w:val="en-US" w:eastAsia="zh-CN"/>
              </w:rPr>
              <w:t>新增Y</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90树脂微球介入治疗，依托老院区综合楼一层</w:t>
            </w:r>
            <w:r>
              <w:rPr>
                <w:rFonts w:hint="eastAsia" w:ascii="Times New Roman" w:hAnsi="Times New Roman" w:eastAsia="宋体" w:cs="Times New Roman"/>
                <w:color w:val="auto"/>
                <w:sz w:val="24"/>
                <w:szCs w:val="24"/>
                <w:highlight w:val="none"/>
                <w:lang w:val="en-US" w:eastAsia="zh-CN"/>
              </w:rPr>
              <w:t>介入2室</w:t>
            </w:r>
            <w:r>
              <w:rPr>
                <w:rFonts w:hint="default" w:ascii="Times New Roman" w:hAnsi="Times New Roman" w:eastAsia="宋体" w:cs="Times New Roman"/>
                <w:color w:val="auto"/>
                <w:sz w:val="24"/>
                <w:szCs w:val="24"/>
                <w:highlight w:val="none"/>
                <w:lang w:val="en-US" w:eastAsia="zh-CN"/>
              </w:rPr>
              <w:t>已许可的AlphenixINFX</w:t>
            </w:r>
            <w:r>
              <w:rPr>
                <w:rFonts w:hint="default" w:ascii="Times New Roman" w:hAnsi="Times New Roman" w:eastAsia="宋体" w:cs="Times New Roman"/>
                <w:color w:val="auto"/>
                <w:sz w:val="24"/>
                <w:szCs w:val="24"/>
                <w:highlight w:val="none"/>
                <w:lang w:val="en-US" w:eastAsia="zh-CN"/>
              </w:rPr>
              <w:noBreakHyphen/>
            </w:r>
            <w:r>
              <w:rPr>
                <w:rFonts w:hint="default" w:ascii="Times New Roman" w:hAnsi="Times New Roman" w:eastAsia="宋体" w:cs="Times New Roman"/>
                <w:color w:val="auto"/>
                <w:sz w:val="24"/>
                <w:szCs w:val="24"/>
                <w:highlight w:val="none"/>
                <w:lang w:val="en-US" w:eastAsia="zh-CN"/>
              </w:rPr>
              <w:t>9000V血管造影X射线装置场所开展</w:t>
            </w:r>
            <w:r>
              <w:rPr>
                <w:rFonts w:hint="eastAsia" w:ascii="Times New Roman" w:hAnsi="Times New Roman" w:eastAsia="宋体" w:cs="Times New Roman"/>
                <w:color w:val="auto"/>
                <w:sz w:val="24"/>
                <w:szCs w:val="24"/>
                <w:highlight w:val="none"/>
                <w:lang w:val="en-US" w:eastAsia="zh-CN"/>
              </w:rPr>
              <w:t>，同时将综合楼一层介入室新增为1个非密封源乙级工作场所。</w:t>
            </w:r>
          </w:p>
          <w:p w14:paraId="539B2DFE">
            <w:pPr>
              <w:pStyle w:val="12"/>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lang w:val="en-US" w:eastAsia="zh-CN"/>
              </w:rPr>
              <w:t>依据《关于明确核技术利用辐射安全监管有关事项的通知》（环办辐射函〔2016〕430号），本项目单光子药物生产车间、正电子药物生产车间屏蔽、分区、工艺流程及辐射防护设施相互独立，SPECT诊断区、PET诊断区、三层核素治疗区平面人流路径互不重叠，因此将</w:t>
            </w:r>
            <w:r>
              <w:rPr>
                <w:rFonts w:hint="eastAsia" w:ascii="Times New Roman" w:hAnsi="Times New Roman" w:eastAsia="宋体" w:cs="Times New Roman"/>
                <w:color w:val="auto"/>
                <w:sz w:val="24"/>
                <w:szCs w:val="24"/>
                <w:highlight w:val="none"/>
                <w:lang w:val="en-US" w:eastAsia="zh-CN"/>
              </w:rPr>
              <w:t>核医学楼内</w:t>
            </w:r>
            <w:r>
              <w:rPr>
                <w:rFonts w:hint="default" w:ascii="Times New Roman" w:hAnsi="Times New Roman" w:eastAsia="宋体" w:cs="Times New Roman"/>
                <w:color w:val="auto"/>
                <w:sz w:val="24"/>
                <w:szCs w:val="24"/>
                <w:highlight w:val="none"/>
                <w:lang w:val="en-US" w:eastAsia="zh-CN"/>
              </w:rPr>
              <w:t>上述区域划分为5个独立非密封源工作场所，分别开展</w:t>
            </w:r>
            <w:r>
              <w:rPr>
                <w:rFonts w:hint="eastAsia" w:ascii="Times New Roman" w:hAnsi="Times New Roman" w:eastAsia="宋体" w:cs="Times New Roman"/>
                <w:color w:val="auto"/>
                <w:sz w:val="24"/>
                <w:szCs w:val="24"/>
                <w:highlight w:val="none"/>
                <w:lang w:val="en-US" w:eastAsia="zh-CN"/>
              </w:rPr>
              <w:t>日等效最大操作量</w:t>
            </w:r>
            <w:r>
              <w:rPr>
                <w:rFonts w:hint="default" w:ascii="Times New Roman" w:hAnsi="Times New Roman" w:eastAsia="宋体" w:cs="Times New Roman"/>
                <w:color w:val="auto"/>
                <w:sz w:val="24"/>
                <w:szCs w:val="24"/>
                <w:highlight w:val="none"/>
                <w:lang w:val="en-US" w:eastAsia="zh-CN"/>
              </w:rPr>
              <w:t>核算</w:t>
            </w:r>
            <w:r>
              <w:rPr>
                <w:rFonts w:hint="eastAsia" w:ascii="Times New Roman" w:hAnsi="Times New Roman" w:eastAsia="宋体" w:cs="Times New Roman"/>
                <w:color w:val="auto"/>
                <w:sz w:val="24"/>
                <w:szCs w:val="24"/>
                <w:highlight w:val="none"/>
                <w:lang w:val="en-US" w:eastAsia="zh-CN"/>
              </w:rPr>
              <w:t>，Sr</w:t>
            </w:r>
            <w:r>
              <w:rPr>
                <w:rFonts w:hint="eastAsia" w:ascii="Times New Roman" w:hAnsi="Times New Roman" w:eastAsia="宋体" w:cs="Times New Roman"/>
                <w:color w:val="auto"/>
                <w:sz w:val="24"/>
                <w:szCs w:val="24"/>
                <w:highlight w:val="none"/>
                <w:lang w:val="en-US" w:eastAsia="zh-CN"/>
              </w:rPr>
              <w:noBreakHyphen/>
            </w:r>
            <w:r>
              <w:rPr>
                <w:rFonts w:hint="eastAsia" w:ascii="Times New Roman" w:hAnsi="Times New Roman" w:eastAsia="宋体" w:cs="Times New Roman"/>
                <w:color w:val="auto"/>
                <w:sz w:val="24"/>
                <w:szCs w:val="24"/>
                <w:highlight w:val="none"/>
                <w:lang w:val="en-US" w:eastAsia="zh-CN"/>
              </w:rPr>
              <w:t>89 维持原有许可参数不变，具体如下：</w:t>
            </w:r>
          </w:p>
          <w:p w14:paraId="0EEEBB20">
            <w:pPr>
              <w:keepNext w:val="0"/>
              <w:keepLines w:val="0"/>
              <w:suppressLineNumbers w:val="0"/>
              <w:bidi w:val="0"/>
              <w:spacing w:before="0" w:beforeAutospacing="0" w:after="0" w:afterAutospacing="0"/>
              <w:ind w:left="0" w:right="0" w:firstLine="482" w:firstLineChars="200"/>
              <w:jc w:val="center"/>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表</w:t>
            </w:r>
            <w:r>
              <w:rPr>
                <w:rFonts w:hint="eastAsia" w:ascii="Times New Roman" w:hAnsi="Times New Roman" w:cs="Times New Roman"/>
                <w:b/>
                <w:bCs/>
                <w:color w:val="auto"/>
                <w:sz w:val="24"/>
                <w:szCs w:val="24"/>
                <w:highlight w:val="none"/>
                <w:lang w:val="en-US" w:eastAsia="zh-CN"/>
              </w:rPr>
              <w:t>1-1</w:t>
            </w:r>
            <w:r>
              <w:rPr>
                <w:rFonts w:hint="default" w:ascii="Times New Roman" w:hAnsi="Times New Roman" w:cs="Times New Roman"/>
                <w:b/>
                <w:bCs/>
                <w:color w:val="auto"/>
                <w:sz w:val="24"/>
                <w:szCs w:val="24"/>
                <w:highlight w:val="none"/>
                <w:lang w:val="en-US" w:eastAsia="zh-CN"/>
              </w:rPr>
              <w:t xml:space="preserve">  </w:t>
            </w:r>
            <w:r>
              <w:rPr>
                <w:rFonts w:hint="default" w:ascii="Times New Roman" w:hAnsi="Times New Roman" w:cs="Times New Roman"/>
                <w:b/>
                <w:bCs/>
                <w:color w:val="auto"/>
                <w:sz w:val="24"/>
                <w:szCs w:val="24"/>
                <w:highlight w:val="none"/>
                <w:lang w:val="en-US" w:eastAsia="en-US"/>
              </w:rPr>
              <w:t>核医学楼负一层正电子药物生产车间</w:t>
            </w:r>
            <w:r>
              <w:rPr>
                <w:rFonts w:hint="default" w:ascii="Times New Roman" w:hAnsi="Times New Roman" w:cs="Times New Roman"/>
                <w:b/>
                <w:bCs/>
                <w:color w:val="auto"/>
                <w:sz w:val="24"/>
                <w:szCs w:val="24"/>
                <w:highlight w:val="none"/>
                <w:lang w:val="en-US" w:eastAsia="zh-CN"/>
              </w:rPr>
              <w:t>分级情况</w:t>
            </w:r>
          </w:p>
          <w:tbl>
            <w:tblPr>
              <w:tblStyle w:val="30"/>
              <w:tblW w:w="917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67"/>
              <w:gridCol w:w="1360"/>
              <w:gridCol w:w="1530"/>
              <w:gridCol w:w="739"/>
              <w:gridCol w:w="986"/>
              <w:gridCol w:w="966"/>
              <w:gridCol w:w="809"/>
              <w:gridCol w:w="990"/>
              <w:gridCol w:w="628"/>
            </w:tblGrid>
            <w:tr w14:paraId="05FADB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167" w:type="dxa"/>
                  <w:tcBorders>
                    <w:tl2br w:val="nil"/>
                    <w:tr2bl w:val="nil"/>
                  </w:tcBorders>
                  <w:vAlign w:val="center"/>
                </w:tcPr>
                <w:p w14:paraId="2619651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操作场所</w:t>
                  </w:r>
                </w:p>
              </w:tc>
              <w:tc>
                <w:tcPr>
                  <w:tcW w:w="1360" w:type="dxa"/>
                  <w:tcBorders>
                    <w:tl2br w:val="nil"/>
                    <w:tr2bl w:val="nil"/>
                  </w:tcBorders>
                  <w:vAlign w:val="center"/>
                </w:tcPr>
                <w:p w14:paraId="1278B37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核素名称</w:t>
                  </w:r>
                </w:p>
              </w:tc>
              <w:tc>
                <w:tcPr>
                  <w:tcW w:w="1530" w:type="dxa"/>
                  <w:tcBorders>
                    <w:tl2br w:val="nil"/>
                    <w:tr2bl w:val="nil"/>
                  </w:tcBorders>
                  <w:vAlign w:val="center"/>
                </w:tcPr>
                <w:p w14:paraId="3AEDA62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实际日最大操作量</w:t>
                  </w:r>
                </w:p>
                <w:p w14:paraId="6F556DC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（Bq）</w:t>
                  </w:r>
                </w:p>
              </w:tc>
              <w:tc>
                <w:tcPr>
                  <w:tcW w:w="739" w:type="dxa"/>
                  <w:tcBorders>
                    <w:tl2br w:val="nil"/>
                    <w:tr2bl w:val="nil"/>
                  </w:tcBorders>
                  <w:vAlign w:val="center"/>
                </w:tcPr>
                <w:p w14:paraId="0ABB6A0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毒性组别</w:t>
                  </w:r>
                </w:p>
              </w:tc>
              <w:tc>
                <w:tcPr>
                  <w:tcW w:w="986" w:type="dxa"/>
                  <w:tcBorders>
                    <w:tl2br w:val="nil"/>
                    <w:tr2bl w:val="nil"/>
                  </w:tcBorders>
                  <w:vAlign w:val="center"/>
                </w:tcPr>
                <w:p w14:paraId="78FA6DA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毒性组别修正因子</w:t>
                  </w:r>
                </w:p>
              </w:tc>
              <w:tc>
                <w:tcPr>
                  <w:tcW w:w="966" w:type="dxa"/>
                  <w:tcBorders>
                    <w:tl2br w:val="nil"/>
                    <w:tr2bl w:val="nil"/>
                  </w:tcBorders>
                  <w:vAlign w:val="center"/>
                </w:tcPr>
                <w:p w14:paraId="1C1D35B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操作方式</w:t>
                  </w:r>
                </w:p>
              </w:tc>
              <w:tc>
                <w:tcPr>
                  <w:tcW w:w="809" w:type="dxa"/>
                  <w:tcBorders>
                    <w:tl2br w:val="nil"/>
                    <w:tr2bl w:val="nil"/>
                  </w:tcBorders>
                  <w:vAlign w:val="center"/>
                </w:tcPr>
                <w:p w14:paraId="5E5D36F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操作方式修正因子</w:t>
                  </w:r>
                </w:p>
              </w:tc>
              <w:tc>
                <w:tcPr>
                  <w:tcW w:w="990" w:type="dxa"/>
                  <w:tcBorders>
                    <w:tl2br w:val="nil"/>
                    <w:tr2bl w:val="nil"/>
                  </w:tcBorders>
                  <w:vAlign w:val="center"/>
                </w:tcPr>
                <w:p w14:paraId="6C167F8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日等效（Bq）</w:t>
                  </w:r>
                </w:p>
              </w:tc>
              <w:tc>
                <w:tcPr>
                  <w:tcW w:w="628" w:type="dxa"/>
                  <w:tcBorders>
                    <w:tl2br w:val="nil"/>
                    <w:tr2bl w:val="nil"/>
                  </w:tcBorders>
                  <w:vAlign w:val="center"/>
                </w:tcPr>
                <w:p w14:paraId="5714FBD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分级</w:t>
                  </w:r>
                </w:p>
              </w:tc>
            </w:tr>
            <w:tr w14:paraId="165DDE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3" w:hRule="atLeast"/>
              </w:trPr>
              <w:tc>
                <w:tcPr>
                  <w:tcW w:w="1167" w:type="dxa"/>
                  <w:vMerge w:val="restart"/>
                  <w:tcBorders>
                    <w:tl2br w:val="nil"/>
                    <w:tr2bl w:val="nil"/>
                  </w:tcBorders>
                  <w:vAlign w:val="center"/>
                </w:tcPr>
                <w:p w14:paraId="5965C31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核医学楼负一层正电子药物生产车间</w:t>
                  </w:r>
                </w:p>
              </w:tc>
              <w:tc>
                <w:tcPr>
                  <w:tcW w:w="1360" w:type="dxa"/>
                  <w:tcBorders>
                    <w:tl2br w:val="nil"/>
                    <w:tr2bl w:val="nil"/>
                  </w:tcBorders>
                  <w:shd w:val="clear" w:color="auto" w:fill="auto"/>
                  <w:vAlign w:val="center"/>
                </w:tcPr>
                <w:p w14:paraId="1EBF4D7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vertAlign w:val="baseline"/>
                      <w:lang w:val="en-US" w:eastAsia="zh-CN"/>
                    </w:rPr>
                    <w:t>F-18</w:t>
                  </w:r>
                </w:p>
              </w:tc>
              <w:tc>
                <w:tcPr>
                  <w:tcW w:w="1530" w:type="dxa"/>
                  <w:tcBorders>
                    <w:tl2br w:val="nil"/>
                    <w:tr2bl w:val="nil"/>
                  </w:tcBorders>
                  <w:shd w:val="clear" w:color="auto" w:fill="auto"/>
                  <w:vAlign w:val="center"/>
                </w:tcPr>
                <w:p w14:paraId="39D41D6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7.40E+10</w:t>
                  </w:r>
                </w:p>
              </w:tc>
              <w:tc>
                <w:tcPr>
                  <w:tcW w:w="739" w:type="dxa"/>
                  <w:tcBorders>
                    <w:tl2br w:val="nil"/>
                    <w:tr2bl w:val="nil"/>
                  </w:tcBorders>
                  <w:vAlign w:val="center"/>
                </w:tcPr>
                <w:p w14:paraId="02BD948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低毒</w:t>
                  </w:r>
                </w:p>
              </w:tc>
              <w:tc>
                <w:tcPr>
                  <w:tcW w:w="986" w:type="dxa"/>
                  <w:tcBorders>
                    <w:tl2br w:val="nil"/>
                    <w:tr2bl w:val="nil"/>
                  </w:tcBorders>
                  <w:vAlign w:val="center"/>
                </w:tcPr>
                <w:p w14:paraId="4BC0B3F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0.01</w:t>
                  </w:r>
                </w:p>
              </w:tc>
              <w:tc>
                <w:tcPr>
                  <w:tcW w:w="966" w:type="dxa"/>
                  <w:tcBorders>
                    <w:tl2br w:val="nil"/>
                    <w:tr2bl w:val="nil"/>
                  </w:tcBorders>
                  <w:vAlign w:val="center"/>
                </w:tcPr>
                <w:p w14:paraId="39F8ADB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简单操作</w:t>
                  </w:r>
                </w:p>
              </w:tc>
              <w:tc>
                <w:tcPr>
                  <w:tcW w:w="809" w:type="dxa"/>
                  <w:tcBorders>
                    <w:tl2br w:val="nil"/>
                    <w:tr2bl w:val="nil"/>
                  </w:tcBorders>
                  <w:vAlign w:val="center"/>
                </w:tcPr>
                <w:p w14:paraId="494EF6E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w:t>
                  </w:r>
                </w:p>
              </w:tc>
              <w:tc>
                <w:tcPr>
                  <w:tcW w:w="990" w:type="dxa"/>
                  <w:tcBorders>
                    <w:tl2br w:val="nil"/>
                    <w:tr2bl w:val="nil"/>
                  </w:tcBorders>
                  <w:shd w:val="clear" w:color="auto" w:fill="auto"/>
                  <w:vAlign w:val="center"/>
                </w:tcPr>
                <w:p w14:paraId="1CF7C3F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7.40E+08</w:t>
                  </w:r>
                </w:p>
              </w:tc>
              <w:tc>
                <w:tcPr>
                  <w:tcW w:w="628" w:type="dxa"/>
                  <w:vMerge w:val="restart"/>
                  <w:tcBorders>
                    <w:tl2br w:val="nil"/>
                    <w:tr2bl w:val="nil"/>
                  </w:tcBorders>
                  <w:vAlign w:val="center"/>
                </w:tcPr>
                <w:p w14:paraId="1FF7C5B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乙级</w:t>
                  </w:r>
                </w:p>
              </w:tc>
            </w:tr>
            <w:tr w14:paraId="14BFEA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1167" w:type="dxa"/>
                  <w:vMerge w:val="continue"/>
                  <w:tcBorders>
                    <w:tl2br w:val="nil"/>
                    <w:tr2bl w:val="nil"/>
                  </w:tcBorders>
                  <w:vAlign w:val="center"/>
                </w:tcPr>
                <w:p w14:paraId="1477751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1360" w:type="dxa"/>
                  <w:tcBorders>
                    <w:tl2br w:val="nil"/>
                    <w:tr2bl w:val="nil"/>
                  </w:tcBorders>
                  <w:shd w:val="clear" w:color="auto" w:fill="auto"/>
                  <w:vAlign w:val="center"/>
                </w:tcPr>
                <w:p w14:paraId="1E9DC7F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Ga-68</w:t>
                  </w:r>
                </w:p>
              </w:tc>
              <w:tc>
                <w:tcPr>
                  <w:tcW w:w="1530" w:type="dxa"/>
                  <w:tcBorders>
                    <w:tl2br w:val="nil"/>
                    <w:tr2bl w:val="nil"/>
                  </w:tcBorders>
                  <w:shd w:val="clear" w:color="auto" w:fill="auto"/>
                  <w:vAlign w:val="center"/>
                </w:tcPr>
                <w:p w14:paraId="42D4688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3.70E+10</w:t>
                  </w:r>
                </w:p>
              </w:tc>
              <w:tc>
                <w:tcPr>
                  <w:tcW w:w="739" w:type="dxa"/>
                  <w:tcBorders>
                    <w:tl2br w:val="nil"/>
                    <w:tr2bl w:val="nil"/>
                  </w:tcBorders>
                  <w:vAlign w:val="center"/>
                </w:tcPr>
                <w:p w14:paraId="0D8E0D7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低毒</w:t>
                  </w:r>
                </w:p>
              </w:tc>
              <w:tc>
                <w:tcPr>
                  <w:tcW w:w="986" w:type="dxa"/>
                  <w:tcBorders>
                    <w:tl2br w:val="nil"/>
                    <w:tr2bl w:val="nil"/>
                  </w:tcBorders>
                  <w:vAlign w:val="center"/>
                </w:tcPr>
                <w:p w14:paraId="48A6424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0.01</w:t>
                  </w:r>
                </w:p>
              </w:tc>
              <w:tc>
                <w:tcPr>
                  <w:tcW w:w="966" w:type="dxa"/>
                  <w:tcBorders>
                    <w:tl2br w:val="nil"/>
                    <w:tr2bl w:val="nil"/>
                  </w:tcBorders>
                  <w:vAlign w:val="center"/>
                </w:tcPr>
                <w:p w14:paraId="14BC0C2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简单操作</w:t>
                  </w:r>
                </w:p>
              </w:tc>
              <w:tc>
                <w:tcPr>
                  <w:tcW w:w="809" w:type="dxa"/>
                  <w:tcBorders>
                    <w:tl2br w:val="nil"/>
                    <w:tr2bl w:val="nil"/>
                  </w:tcBorders>
                  <w:vAlign w:val="center"/>
                </w:tcPr>
                <w:p w14:paraId="263CEC4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1</w:t>
                  </w:r>
                </w:p>
              </w:tc>
              <w:tc>
                <w:tcPr>
                  <w:tcW w:w="990" w:type="dxa"/>
                  <w:tcBorders>
                    <w:tl2br w:val="nil"/>
                    <w:tr2bl w:val="nil"/>
                  </w:tcBorders>
                  <w:shd w:val="clear" w:color="auto" w:fill="auto"/>
                  <w:vAlign w:val="center"/>
                </w:tcPr>
                <w:p w14:paraId="6E9EAD2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3.70E+08</w:t>
                  </w:r>
                </w:p>
              </w:tc>
              <w:tc>
                <w:tcPr>
                  <w:tcW w:w="628" w:type="dxa"/>
                  <w:vMerge w:val="continue"/>
                  <w:tcBorders>
                    <w:tl2br w:val="nil"/>
                    <w:tr2bl w:val="nil"/>
                  </w:tcBorders>
                  <w:vAlign w:val="center"/>
                </w:tcPr>
                <w:p w14:paraId="4F49AA3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p>
              </w:tc>
            </w:tr>
            <w:tr w14:paraId="0C68BE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1167" w:type="dxa"/>
                  <w:vMerge w:val="continue"/>
                  <w:tcBorders>
                    <w:tl2br w:val="nil"/>
                    <w:tr2bl w:val="nil"/>
                  </w:tcBorders>
                  <w:vAlign w:val="center"/>
                </w:tcPr>
                <w:p w14:paraId="746EBF5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1360" w:type="dxa"/>
                  <w:tcBorders>
                    <w:tl2br w:val="nil"/>
                    <w:tr2bl w:val="nil"/>
                  </w:tcBorders>
                  <w:shd w:val="clear" w:color="auto" w:fill="auto"/>
                  <w:vAlign w:val="center"/>
                </w:tcPr>
                <w:p w14:paraId="0A1D827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C-11</w:t>
                  </w:r>
                </w:p>
              </w:tc>
              <w:tc>
                <w:tcPr>
                  <w:tcW w:w="1530" w:type="dxa"/>
                  <w:tcBorders>
                    <w:tl2br w:val="nil"/>
                    <w:tr2bl w:val="nil"/>
                  </w:tcBorders>
                  <w:shd w:val="clear" w:color="auto" w:fill="auto"/>
                  <w:vAlign w:val="center"/>
                </w:tcPr>
                <w:p w14:paraId="472FEDB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1.48E+10</w:t>
                  </w:r>
                </w:p>
              </w:tc>
              <w:tc>
                <w:tcPr>
                  <w:tcW w:w="739" w:type="dxa"/>
                  <w:tcBorders>
                    <w:tl2br w:val="nil"/>
                    <w:tr2bl w:val="nil"/>
                  </w:tcBorders>
                  <w:vAlign w:val="center"/>
                </w:tcPr>
                <w:p w14:paraId="03A5D6A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低毒</w:t>
                  </w:r>
                </w:p>
              </w:tc>
              <w:tc>
                <w:tcPr>
                  <w:tcW w:w="986" w:type="dxa"/>
                  <w:tcBorders>
                    <w:tl2br w:val="nil"/>
                    <w:tr2bl w:val="nil"/>
                  </w:tcBorders>
                  <w:vAlign w:val="center"/>
                </w:tcPr>
                <w:p w14:paraId="7F1FB3B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0.01</w:t>
                  </w:r>
                </w:p>
              </w:tc>
              <w:tc>
                <w:tcPr>
                  <w:tcW w:w="966" w:type="dxa"/>
                  <w:tcBorders>
                    <w:tl2br w:val="nil"/>
                    <w:tr2bl w:val="nil"/>
                  </w:tcBorders>
                  <w:vAlign w:val="center"/>
                </w:tcPr>
                <w:p w14:paraId="10F795C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简单操作</w:t>
                  </w:r>
                </w:p>
              </w:tc>
              <w:tc>
                <w:tcPr>
                  <w:tcW w:w="809" w:type="dxa"/>
                  <w:tcBorders>
                    <w:tl2br w:val="nil"/>
                    <w:tr2bl w:val="nil"/>
                  </w:tcBorders>
                  <w:vAlign w:val="center"/>
                </w:tcPr>
                <w:p w14:paraId="16E5AF1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1</w:t>
                  </w:r>
                </w:p>
              </w:tc>
              <w:tc>
                <w:tcPr>
                  <w:tcW w:w="990" w:type="dxa"/>
                  <w:tcBorders>
                    <w:tl2br w:val="nil"/>
                    <w:tr2bl w:val="nil"/>
                  </w:tcBorders>
                  <w:shd w:val="clear" w:color="auto" w:fill="auto"/>
                  <w:vAlign w:val="center"/>
                </w:tcPr>
                <w:p w14:paraId="71CFCC6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1.48E+08</w:t>
                  </w:r>
                </w:p>
              </w:tc>
              <w:tc>
                <w:tcPr>
                  <w:tcW w:w="628" w:type="dxa"/>
                  <w:vMerge w:val="continue"/>
                  <w:tcBorders>
                    <w:tl2br w:val="nil"/>
                    <w:tr2bl w:val="nil"/>
                  </w:tcBorders>
                  <w:vAlign w:val="center"/>
                </w:tcPr>
                <w:p w14:paraId="260F6F3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p>
              </w:tc>
            </w:tr>
            <w:tr w14:paraId="700432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167" w:type="dxa"/>
                  <w:vMerge w:val="continue"/>
                  <w:tcBorders>
                    <w:tl2br w:val="nil"/>
                    <w:tr2bl w:val="nil"/>
                  </w:tcBorders>
                  <w:vAlign w:val="center"/>
                </w:tcPr>
                <w:p w14:paraId="5A12E52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1360" w:type="dxa"/>
                  <w:tcBorders>
                    <w:tl2br w:val="nil"/>
                    <w:tr2bl w:val="nil"/>
                  </w:tcBorders>
                  <w:shd w:val="clear" w:color="auto" w:fill="auto"/>
                  <w:vAlign w:val="center"/>
                </w:tcPr>
                <w:p w14:paraId="74112C1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N-13</w:t>
                  </w:r>
                </w:p>
              </w:tc>
              <w:tc>
                <w:tcPr>
                  <w:tcW w:w="1530" w:type="dxa"/>
                  <w:tcBorders>
                    <w:tl2br w:val="nil"/>
                    <w:tr2bl w:val="nil"/>
                  </w:tcBorders>
                  <w:shd w:val="clear" w:color="auto" w:fill="auto"/>
                  <w:vAlign w:val="center"/>
                </w:tcPr>
                <w:p w14:paraId="2E78683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1.48E+10</w:t>
                  </w:r>
                </w:p>
              </w:tc>
              <w:tc>
                <w:tcPr>
                  <w:tcW w:w="739" w:type="dxa"/>
                  <w:tcBorders>
                    <w:tl2br w:val="nil"/>
                    <w:tr2bl w:val="nil"/>
                  </w:tcBorders>
                  <w:vAlign w:val="center"/>
                </w:tcPr>
                <w:p w14:paraId="20D195D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低毒</w:t>
                  </w:r>
                </w:p>
              </w:tc>
              <w:tc>
                <w:tcPr>
                  <w:tcW w:w="986" w:type="dxa"/>
                  <w:tcBorders>
                    <w:tl2br w:val="nil"/>
                    <w:tr2bl w:val="nil"/>
                  </w:tcBorders>
                  <w:vAlign w:val="center"/>
                </w:tcPr>
                <w:p w14:paraId="01DB0D1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0.01</w:t>
                  </w:r>
                </w:p>
              </w:tc>
              <w:tc>
                <w:tcPr>
                  <w:tcW w:w="966" w:type="dxa"/>
                  <w:tcBorders>
                    <w:tl2br w:val="nil"/>
                    <w:tr2bl w:val="nil"/>
                  </w:tcBorders>
                  <w:vAlign w:val="center"/>
                </w:tcPr>
                <w:p w14:paraId="1DFE644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简单操作</w:t>
                  </w:r>
                </w:p>
              </w:tc>
              <w:tc>
                <w:tcPr>
                  <w:tcW w:w="809" w:type="dxa"/>
                  <w:tcBorders>
                    <w:tl2br w:val="nil"/>
                    <w:tr2bl w:val="nil"/>
                  </w:tcBorders>
                  <w:vAlign w:val="center"/>
                </w:tcPr>
                <w:p w14:paraId="69EDFA3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1</w:t>
                  </w:r>
                </w:p>
              </w:tc>
              <w:tc>
                <w:tcPr>
                  <w:tcW w:w="990" w:type="dxa"/>
                  <w:tcBorders>
                    <w:tl2br w:val="nil"/>
                    <w:tr2bl w:val="nil"/>
                  </w:tcBorders>
                  <w:shd w:val="clear" w:color="auto" w:fill="auto"/>
                  <w:vAlign w:val="center"/>
                </w:tcPr>
                <w:p w14:paraId="2D0B243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1.48E+08</w:t>
                  </w:r>
                </w:p>
              </w:tc>
              <w:tc>
                <w:tcPr>
                  <w:tcW w:w="628" w:type="dxa"/>
                  <w:vMerge w:val="continue"/>
                  <w:tcBorders>
                    <w:tl2br w:val="nil"/>
                    <w:tr2bl w:val="nil"/>
                  </w:tcBorders>
                  <w:vAlign w:val="center"/>
                </w:tcPr>
                <w:p w14:paraId="08F9970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p>
              </w:tc>
            </w:tr>
            <w:tr w14:paraId="13735F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7557" w:type="dxa"/>
                  <w:gridSpan w:val="7"/>
                </w:tcPr>
                <w:p w14:paraId="071AF95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合计</w:t>
                  </w:r>
                </w:p>
              </w:tc>
              <w:tc>
                <w:tcPr>
                  <w:tcW w:w="990" w:type="dxa"/>
                  <w:shd w:val="clear" w:color="auto" w:fill="auto"/>
                  <w:vAlign w:val="center"/>
                </w:tcPr>
                <w:p w14:paraId="1D1E8D9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1.41E+09</w:t>
                  </w:r>
                </w:p>
              </w:tc>
              <w:tc>
                <w:tcPr>
                  <w:tcW w:w="628" w:type="dxa"/>
                  <w:vMerge w:val="continue"/>
                </w:tcPr>
                <w:p w14:paraId="6A3381B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p>
              </w:tc>
            </w:tr>
          </w:tbl>
          <w:p w14:paraId="452E7F83">
            <w:pPr>
              <w:keepNext w:val="0"/>
              <w:keepLines w:val="0"/>
              <w:suppressLineNumbers w:val="0"/>
              <w:spacing w:before="0" w:beforeAutospacing="0" w:after="0" w:afterAutospacing="0"/>
              <w:ind w:left="0" w:right="0"/>
              <w:jc w:val="both"/>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cs="Times New Roman"/>
                <w:b/>
                <w:bCs/>
                <w:color w:val="auto"/>
                <w:sz w:val="18"/>
                <w:szCs w:val="18"/>
                <w:highlight w:val="none"/>
                <w:lang w:val="en-US" w:eastAsia="zh-CN"/>
              </w:rPr>
              <w:t>注：放射性药品生产中，分装、标记等活动视为“简单操作”。</w:t>
            </w:r>
          </w:p>
          <w:p w14:paraId="16EB1CF6">
            <w:pPr>
              <w:keepNext w:val="0"/>
              <w:keepLines w:val="0"/>
              <w:suppressLineNumbers w:val="0"/>
              <w:spacing w:before="0" w:beforeLines="0" w:beforeAutospacing="0" w:after="0" w:afterLines="0" w:afterAutospacing="0"/>
              <w:ind w:left="0" w:right="0" w:firstLine="482" w:firstLineChars="200"/>
              <w:jc w:val="center"/>
              <w:rPr>
                <w:rFonts w:hint="default" w:ascii="Times New Roman" w:hAnsi="Times New Roman" w:cs="Times New Roman"/>
                <w:b/>
                <w:color w:val="auto"/>
                <w:sz w:val="24"/>
                <w:szCs w:val="24"/>
                <w:highlight w:val="none"/>
              </w:rPr>
            </w:pPr>
            <w:r>
              <w:rPr>
                <w:rFonts w:hint="default" w:ascii="Times New Roman" w:hAnsi="Times New Roman" w:eastAsia="宋体" w:cs="Times New Roman"/>
                <w:b/>
                <w:color w:val="auto"/>
                <w:sz w:val="24"/>
                <w:szCs w:val="24"/>
                <w:highlight w:val="none"/>
                <w:lang w:val="en-US" w:eastAsia="zh-CN"/>
              </w:rPr>
              <w:t>表1</w:t>
            </w:r>
            <w:r>
              <w:rPr>
                <w:rFonts w:hint="eastAsia" w:ascii="Times New Roman" w:hAnsi="Times New Roman" w:eastAsia="宋体" w:cs="Times New Roman"/>
                <w:b/>
                <w:color w:val="auto"/>
                <w:sz w:val="24"/>
                <w:szCs w:val="24"/>
                <w:highlight w:val="none"/>
                <w:lang w:val="en-US" w:eastAsia="zh-CN"/>
              </w:rPr>
              <w:t xml:space="preserve">-2  </w:t>
            </w:r>
            <w:r>
              <w:rPr>
                <w:rFonts w:hint="default" w:ascii="Times New Roman" w:hAnsi="Times New Roman" w:eastAsia="宋体" w:cs="Times New Roman"/>
                <w:b/>
                <w:color w:val="auto"/>
                <w:sz w:val="24"/>
                <w:szCs w:val="24"/>
                <w:highlight w:val="none"/>
                <w:lang w:val="en-US" w:eastAsia="en-US"/>
              </w:rPr>
              <w:t>核医学楼二层PET诊断区</w:t>
            </w:r>
            <w:r>
              <w:rPr>
                <w:rFonts w:hint="default" w:ascii="Times New Roman" w:hAnsi="Times New Roman" w:eastAsia="宋体" w:cs="Times New Roman"/>
                <w:b/>
                <w:color w:val="auto"/>
                <w:sz w:val="24"/>
                <w:szCs w:val="24"/>
                <w:highlight w:val="none"/>
              </w:rPr>
              <w:t>分级情况</w:t>
            </w:r>
          </w:p>
          <w:tbl>
            <w:tblPr>
              <w:tblStyle w:val="22"/>
              <w:tblW w:w="911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59"/>
              <w:gridCol w:w="1351"/>
              <w:gridCol w:w="1529"/>
              <w:gridCol w:w="725"/>
              <w:gridCol w:w="980"/>
              <w:gridCol w:w="959"/>
              <w:gridCol w:w="804"/>
              <w:gridCol w:w="984"/>
              <w:gridCol w:w="624"/>
            </w:tblGrid>
            <w:tr w14:paraId="516014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1159" w:type="dxa"/>
                  <w:tcBorders>
                    <w:top w:val="single" w:color="000000" w:sz="12" w:space="0"/>
                    <w:left w:val="single" w:color="000000" w:sz="12" w:space="0"/>
                    <w:bottom w:val="single" w:color="000000" w:sz="4" w:space="0"/>
                    <w:right w:val="single" w:color="000000" w:sz="4" w:space="0"/>
                    <w:tl2br w:val="nil"/>
                    <w:tr2bl w:val="nil"/>
                  </w:tcBorders>
                  <w:noWrap w:val="0"/>
                  <w:vAlign w:val="center"/>
                </w:tcPr>
                <w:p w14:paraId="0AE07F7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操作场所</w:t>
                  </w:r>
                </w:p>
              </w:tc>
              <w:tc>
                <w:tcPr>
                  <w:tcW w:w="1351"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1C498ED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核素名称</w:t>
                  </w:r>
                </w:p>
              </w:tc>
              <w:tc>
                <w:tcPr>
                  <w:tcW w:w="1529"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2E5FC52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实际日最大操作量</w:t>
                  </w:r>
                </w:p>
                <w:p w14:paraId="197659E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（Bq）</w:t>
                  </w:r>
                </w:p>
              </w:tc>
              <w:tc>
                <w:tcPr>
                  <w:tcW w:w="725"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31F9ED0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毒性组别</w:t>
                  </w:r>
                </w:p>
              </w:tc>
              <w:tc>
                <w:tcPr>
                  <w:tcW w:w="980"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2832A0E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毒性组别修正因子</w:t>
                  </w:r>
                </w:p>
              </w:tc>
              <w:tc>
                <w:tcPr>
                  <w:tcW w:w="959"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37AD246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操作方式</w:t>
                  </w:r>
                </w:p>
              </w:tc>
              <w:tc>
                <w:tcPr>
                  <w:tcW w:w="804"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7BB1AC9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操作方式修正因子</w:t>
                  </w:r>
                </w:p>
              </w:tc>
              <w:tc>
                <w:tcPr>
                  <w:tcW w:w="984"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48663A3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日等效（Bq）</w:t>
                  </w:r>
                </w:p>
              </w:tc>
              <w:tc>
                <w:tcPr>
                  <w:tcW w:w="624" w:type="dxa"/>
                  <w:tcBorders>
                    <w:top w:val="single" w:color="000000" w:sz="12" w:space="0"/>
                    <w:left w:val="single" w:color="000000" w:sz="4" w:space="0"/>
                    <w:bottom w:val="single" w:color="000000" w:sz="4" w:space="0"/>
                    <w:right w:val="single" w:color="000000" w:sz="12" w:space="0"/>
                    <w:tl2br w:val="nil"/>
                    <w:tr2bl w:val="nil"/>
                  </w:tcBorders>
                  <w:noWrap w:val="0"/>
                  <w:vAlign w:val="center"/>
                </w:tcPr>
                <w:p w14:paraId="1892C8CE">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rPr>
                    <w:t>分级</w:t>
                  </w:r>
                </w:p>
              </w:tc>
            </w:tr>
            <w:tr w14:paraId="627292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159" w:type="dxa"/>
                  <w:vMerge w:val="restart"/>
                  <w:tcBorders>
                    <w:top w:val="single" w:color="000000" w:sz="4" w:space="0"/>
                    <w:left w:val="single" w:color="000000" w:sz="12" w:space="0"/>
                    <w:bottom w:val="single" w:color="000000" w:sz="4" w:space="0"/>
                    <w:right w:val="single" w:color="000000" w:sz="4" w:space="0"/>
                    <w:tl2br w:val="nil"/>
                    <w:tr2bl w:val="nil"/>
                  </w:tcBorders>
                  <w:noWrap w:val="0"/>
                  <w:vAlign w:val="center"/>
                </w:tcPr>
                <w:p w14:paraId="730E224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核医学楼二层PET诊断区</w:t>
                  </w:r>
                </w:p>
              </w:tc>
              <w:tc>
                <w:tcPr>
                  <w:tcW w:w="13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A681B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vertAlign w:val="baseline"/>
                      <w:lang w:val="en-US" w:eastAsia="zh-CN"/>
                    </w:rPr>
                    <w:t>F-18</w:t>
                  </w:r>
                </w:p>
              </w:tc>
              <w:tc>
                <w:tcPr>
                  <w:tcW w:w="15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67EB1D6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3.70E+10</w:t>
                  </w:r>
                </w:p>
              </w:tc>
              <w:tc>
                <w:tcPr>
                  <w:tcW w:w="72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F61A5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低毒</w:t>
                  </w:r>
                </w:p>
              </w:tc>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90F071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0.01</w:t>
                  </w:r>
                </w:p>
              </w:tc>
              <w:tc>
                <w:tcPr>
                  <w:tcW w:w="95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0A9AA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很简单操作</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8CAE03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10</w:t>
                  </w:r>
                </w:p>
              </w:tc>
              <w:tc>
                <w:tcPr>
                  <w:tcW w:w="98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8B9ED9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3.70E+07</w:t>
                  </w:r>
                </w:p>
              </w:tc>
              <w:tc>
                <w:tcPr>
                  <w:tcW w:w="624" w:type="dxa"/>
                  <w:vMerge w:val="restart"/>
                  <w:tcBorders>
                    <w:top w:val="single" w:color="000000" w:sz="4" w:space="0"/>
                    <w:left w:val="single" w:color="000000" w:sz="4" w:space="0"/>
                    <w:bottom w:val="single" w:color="000000" w:sz="4" w:space="0"/>
                    <w:right w:val="single" w:color="000000" w:sz="12" w:space="0"/>
                    <w:tl2br w:val="nil"/>
                    <w:tr2bl w:val="nil"/>
                  </w:tcBorders>
                  <w:noWrap w:val="0"/>
                  <w:vAlign w:val="center"/>
                </w:tcPr>
                <w:p w14:paraId="1CA3B461">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eastAsia="宋体" w:cs="Times New Roman"/>
                      <w:color w:val="auto"/>
                      <w:sz w:val="18"/>
                      <w:szCs w:val="18"/>
                      <w:highlight w:val="none"/>
                    </w:rPr>
                    <w:t>乙级</w:t>
                  </w:r>
                </w:p>
              </w:tc>
            </w:tr>
            <w:tr w14:paraId="79DB49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6" w:hRule="atLeast"/>
              </w:trPr>
              <w:tc>
                <w:tcPr>
                  <w:tcW w:w="1159" w:type="dxa"/>
                  <w:vMerge w:val="continue"/>
                  <w:tcBorders>
                    <w:top w:val="single" w:color="000000" w:sz="4" w:space="0"/>
                    <w:left w:val="single" w:color="000000" w:sz="12" w:space="0"/>
                    <w:bottom w:val="single" w:color="000000" w:sz="4" w:space="0"/>
                    <w:right w:val="single" w:color="000000" w:sz="4" w:space="0"/>
                    <w:tl2br w:val="nil"/>
                    <w:tr2bl w:val="nil"/>
                  </w:tcBorders>
                  <w:noWrap w:val="0"/>
                  <w:vAlign w:val="center"/>
                </w:tcPr>
                <w:p w14:paraId="7676389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13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F41A9B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Ga-68</w:t>
                  </w:r>
                </w:p>
              </w:tc>
              <w:tc>
                <w:tcPr>
                  <w:tcW w:w="15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7965FC9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1.85E+10</w:t>
                  </w:r>
                </w:p>
              </w:tc>
              <w:tc>
                <w:tcPr>
                  <w:tcW w:w="72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D4D9C8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低毒</w:t>
                  </w:r>
                </w:p>
              </w:tc>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EB41C8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0.01</w:t>
                  </w:r>
                </w:p>
              </w:tc>
              <w:tc>
                <w:tcPr>
                  <w:tcW w:w="95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003CC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很简单操作</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C9E5B5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10</w:t>
                  </w:r>
                </w:p>
              </w:tc>
              <w:tc>
                <w:tcPr>
                  <w:tcW w:w="98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5AA166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1.85E+07</w:t>
                  </w:r>
                </w:p>
              </w:tc>
              <w:tc>
                <w:tcPr>
                  <w:tcW w:w="624" w:type="dxa"/>
                  <w:vMerge w:val="continue"/>
                  <w:tcBorders>
                    <w:top w:val="single" w:color="000000" w:sz="4" w:space="0"/>
                    <w:left w:val="single" w:color="000000" w:sz="4" w:space="0"/>
                    <w:bottom w:val="single" w:color="000000" w:sz="4" w:space="0"/>
                    <w:right w:val="single" w:color="000000" w:sz="12" w:space="0"/>
                    <w:tl2br w:val="nil"/>
                    <w:tr2bl w:val="nil"/>
                  </w:tcBorders>
                  <w:noWrap w:val="0"/>
                  <w:vAlign w:val="center"/>
                </w:tcPr>
                <w:p w14:paraId="7F23BBA4">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eastAsia="宋体" w:cs="Times New Roman"/>
                      <w:color w:val="auto"/>
                      <w:sz w:val="18"/>
                      <w:szCs w:val="18"/>
                      <w:highlight w:val="none"/>
                    </w:rPr>
                  </w:pPr>
                </w:p>
              </w:tc>
            </w:tr>
            <w:tr w14:paraId="27AC37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6" w:hRule="atLeast"/>
              </w:trPr>
              <w:tc>
                <w:tcPr>
                  <w:tcW w:w="1159" w:type="dxa"/>
                  <w:vMerge w:val="continue"/>
                  <w:tcBorders>
                    <w:top w:val="single" w:color="000000" w:sz="4" w:space="0"/>
                    <w:left w:val="single" w:color="000000" w:sz="12" w:space="0"/>
                    <w:bottom w:val="single" w:color="000000" w:sz="4" w:space="0"/>
                    <w:right w:val="single" w:color="000000" w:sz="4" w:space="0"/>
                    <w:tl2br w:val="nil"/>
                    <w:tr2bl w:val="nil"/>
                  </w:tcBorders>
                  <w:noWrap w:val="0"/>
                  <w:vAlign w:val="center"/>
                </w:tcPr>
                <w:p w14:paraId="702D226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13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9B01F8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C-11</w:t>
                  </w:r>
                </w:p>
              </w:tc>
              <w:tc>
                <w:tcPr>
                  <w:tcW w:w="15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3BC0148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7.40E+09</w:t>
                  </w:r>
                </w:p>
              </w:tc>
              <w:tc>
                <w:tcPr>
                  <w:tcW w:w="72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58CD00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低毒</w:t>
                  </w:r>
                </w:p>
              </w:tc>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FB1587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0.01</w:t>
                  </w:r>
                </w:p>
              </w:tc>
              <w:tc>
                <w:tcPr>
                  <w:tcW w:w="95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AC869C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很简单操作</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C5FB7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10</w:t>
                  </w:r>
                </w:p>
              </w:tc>
              <w:tc>
                <w:tcPr>
                  <w:tcW w:w="98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411F35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7.40E+06</w:t>
                  </w:r>
                </w:p>
              </w:tc>
              <w:tc>
                <w:tcPr>
                  <w:tcW w:w="624" w:type="dxa"/>
                  <w:vMerge w:val="continue"/>
                  <w:tcBorders>
                    <w:top w:val="single" w:color="000000" w:sz="4" w:space="0"/>
                    <w:left w:val="single" w:color="000000" w:sz="4" w:space="0"/>
                    <w:bottom w:val="single" w:color="000000" w:sz="4" w:space="0"/>
                    <w:right w:val="single" w:color="000000" w:sz="12" w:space="0"/>
                    <w:tl2br w:val="nil"/>
                    <w:tr2bl w:val="nil"/>
                  </w:tcBorders>
                  <w:noWrap w:val="0"/>
                  <w:vAlign w:val="center"/>
                </w:tcPr>
                <w:p w14:paraId="3C0774FF">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eastAsia="宋体" w:cs="Times New Roman"/>
                      <w:color w:val="auto"/>
                      <w:sz w:val="18"/>
                      <w:szCs w:val="18"/>
                      <w:highlight w:val="none"/>
                    </w:rPr>
                  </w:pPr>
                </w:p>
              </w:tc>
            </w:tr>
            <w:tr w14:paraId="65D3FC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4" w:hRule="atLeast"/>
              </w:trPr>
              <w:tc>
                <w:tcPr>
                  <w:tcW w:w="1159" w:type="dxa"/>
                  <w:vMerge w:val="continue"/>
                  <w:tcBorders>
                    <w:top w:val="single" w:color="000000" w:sz="4" w:space="0"/>
                    <w:left w:val="single" w:color="000000" w:sz="12" w:space="0"/>
                    <w:bottom w:val="single" w:color="000000" w:sz="4" w:space="0"/>
                    <w:right w:val="single" w:color="000000" w:sz="4" w:space="0"/>
                    <w:tl2br w:val="nil"/>
                    <w:tr2bl w:val="nil"/>
                  </w:tcBorders>
                  <w:noWrap w:val="0"/>
                  <w:vAlign w:val="center"/>
                </w:tcPr>
                <w:p w14:paraId="5F61897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13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FCE5EF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N-13</w:t>
                  </w:r>
                </w:p>
              </w:tc>
              <w:tc>
                <w:tcPr>
                  <w:tcW w:w="15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1C7B03D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7.40E+09</w:t>
                  </w:r>
                </w:p>
              </w:tc>
              <w:tc>
                <w:tcPr>
                  <w:tcW w:w="72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16A230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低毒</w:t>
                  </w:r>
                </w:p>
              </w:tc>
              <w:tc>
                <w:tcPr>
                  <w:tcW w:w="980"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E3BAAF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0.01</w:t>
                  </w:r>
                </w:p>
              </w:tc>
              <w:tc>
                <w:tcPr>
                  <w:tcW w:w="95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B2AF9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很简单操作</w:t>
                  </w:r>
                </w:p>
              </w:tc>
              <w:tc>
                <w:tcPr>
                  <w:tcW w:w="80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07EC56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10</w:t>
                  </w:r>
                </w:p>
              </w:tc>
              <w:tc>
                <w:tcPr>
                  <w:tcW w:w="984"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6EBA0C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7.40E+06</w:t>
                  </w:r>
                </w:p>
              </w:tc>
              <w:tc>
                <w:tcPr>
                  <w:tcW w:w="624" w:type="dxa"/>
                  <w:vMerge w:val="continue"/>
                  <w:tcBorders>
                    <w:top w:val="single" w:color="000000" w:sz="4" w:space="0"/>
                    <w:left w:val="single" w:color="000000" w:sz="4" w:space="0"/>
                    <w:bottom w:val="single" w:color="000000" w:sz="4" w:space="0"/>
                    <w:right w:val="single" w:color="000000" w:sz="12" w:space="0"/>
                    <w:tl2br w:val="nil"/>
                    <w:tr2bl w:val="nil"/>
                  </w:tcBorders>
                  <w:noWrap w:val="0"/>
                  <w:vAlign w:val="center"/>
                </w:tcPr>
                <w:p w14:paraId="5582FE1B">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eastAsia="宋体" w:cs="Times New Roman"/>
                      <w:color w:val="auto"/>
                      <w:sz w:val="18"/>
                      <w:szCs w:val="18"/>
                      <w:highlight w:val="none"/>
                    </w:rPr>
                  </w:pPr>
                </w:p>
              </w:tc>
            </w:tr>
            <w:tr w14:paraId="44DB1D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1" w:hRule="atLeast"/>
              </w:trPr>
              <w:tc>
                <w:tcPr>
                  <w:tcW w:w="7507" w:type="dxa"/>
                  <w:gridSpan w:val="7"/>
                  <w:tcBorders>
                    <w:top w:val="single" w:color="000000" w:sz="4" w:space="0"/>
                    <w:left w:val="single" w:color="000000" w:sz="12" w:space="0"/>
                    <w:bottom w:val="single" w:color="000000" w:sz="12" w:space="0"/>
                    <w:right w:val="single" w:color="000000" w:sz="4" w:space="0"/>
                    <w:tl2br w:val="nil"/>
                    <w:tr2bl w:val="nil"/>
                  </w:tcBorders>
                  <w:noWrap w:val="0"/>
                  <w:vAlign w:val="top"/>
                </w:tcPr>
                <w:p w14:paraId="7A3591B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合计</w:t>
                  </w:r>
                </w:p>
              </w:tc>
              <w:tc>
                <w:tcPr>
                  <w:tcW w:w="984" w:type="dxa"/>
                  <w:tcBorders>
                    <w:top w:val="single" w:color="000000" w:sz="4" w:space="0"/>
                    <w:left w:val="single" w:color="000000" w:sz="4" w:space="0"/>
                    <w:bottom w:val="single" w:color="000000" w:sz="12" w:space="0"/>
                    <w:right w:val="single" w:color="000000" w:sz="4" w:space="0"/>
                    <w:tl2br w:val="nil"/>
                    <w:tr2bl w:val="nil"/>
                  </w:tcBorders>
                  <w:noWrap w:val="0"/>
                  <w:vAlign w:val="center"/>
                </w:tcPr>
                <w:p w14:paraId="43B174B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7.03E+07</w:t>
                  </w:r>
                </w:p>
              </w:tc>
              <w:tc>
                <w:tcPr>
                  <w:tcW w:w="624" w:type="dxa"/>
                  <w:vMerge w:val="continue"/>
                  <w:tcBorders>
                    <w:top w:val="single" w:color="000000" w:sz="4" w:space="0"/>
                    <w:left w:val="single" w:color="000000" w:sz="4" w:space="0"/>
                    <w:bottom w:val="single" w:color="000000" w:sz="12" w:space="0"/>
                    <w:right w:val="single" w:color="000000" w:sz="12" w:space="0"/>
                    <w:tl2br w:val="nil"/>
                    <w:tr2bl w:val="nil"/>
                  </w:tcBorders>
                  <w:noWrap w:val="0"/>
                  <w:vAlign w:val="top"/>
                </w:tcPr>
                <w:p w14:paraId="6BE221DD">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eastAsia="宋体" w:cs="Times New Roman"/>
                      <w:color w:val="auto"/>
                      <w:sz w:val="18"/>
                      <w:szCs w:val="18"/>
                      <w:highlight w:val="none"/>
                    </w:rPr>
                  </w:pPr>
                </w:p>
              </w:tc>
            </w:tr>
          </w:tbl>
          <w:p w14:paraId="1635F70B">
            <w:pPr>
              <w:keepNext w:val="0"/>
              <w:keepLines w:val="0"/>
              <w:suppressLineNumbers w:val="0"/>
              <w:spacing w:before="0" w:beforeAutospacing="0" w:after="0" w:afterAutospacing="0"/>
              <w:ind w:left="0" w:right="0"/>
              <w:jc w:val="both"/>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cs="Times New Roman"/>
                <w:b/>
                <w:bCs/>
                <w:color w:val="auto"/>
                <w:sz w:val="18"/>
                <w:szCs w:val="18"/>
                <w:highlight w:val="none"/>
                <w:lang w:val="en-US" w:eastAsia="zh-CN"/>
              </w:rPr>
              <w:t>注：医疗机构使用</w:t>
            </w:r>
            <w:r>
              <w:rPr>
                <w:rFonts w:hint="eastAsia" w:cs="Times New Roman"/>
                <w:b/>
                <w:bCs/>
                <w:color w:val="auto"/>
                <w:sz w:val="18"/>
                <w:szCs w:val="18"/>
                <w:highlight w:val="none"/>
                <w:vertAlign w:val="baseline"/>
                <w:lang w:val="en-US" w:eastAsia="zh-CN"/>
              </w:rPr>
              <w:t>F-18</w:t>
            </w:r>
            <w:r>
              <w:rPr>
                <w:rFonts w:hint="default" w:ascii="Times New Roman" w:hAnsi="Times New Roman" w:cs="Times New Roman"/>
                <w:b/>
                <w:bCs/>
                <w:color w:val="auto"/>
                <w:sz w:val="18"/>
                <w:szCs w:val="18"/>
                <w:highlight w:val="none"/>
                <w:lang w:val="en-US" w:eastAsia="zh-CN"/>
              </w:rPr>
              <w:t>相关活动视为“很简单的操作”。</w:t>
            </w:r>
          </w:p>
          <w:p w14:paraId="508F42A3">
            <w:pPr>
              <w:keepNext w:val="0"/>
              <w:keepLines w:val="0"/>
              <w:suppressLineNumbers w:val="0"/>
              <w:spacing w:before="0" w:beforeAutospacing="0" w:after="0" w:afterAutospacing="0"/>
              <w:ind w:left="0" w:right="0"/>
              <w:jc w:val="both"/>
              <w:rPr>
                <w:rFonts w:hint="default" w:ascii="Times New Roman" w:hAnsi="Times New Roman" w:cs="Times New Roman"/>
                <w:color w:val="auto"/>
                <w:sz w:val="18"/>
                <w:szCs w:val="18"/>
                <w:highlight w:val="none"/>
              </w:rPr>
            </w:pPr>
          </w:p>
          <w:p w14:paraId="2843A16B">
            <w:pPr>
              <w:keepNext w:val="0"/>
              <w:keepLines w:val="0"/>
              <w:suppressLineNumbers w:val="0"/>
              <w:autoSpaceDE w:val="0"/>
              <w:autoSpaceDN w:val="0"/>
              <w:bidi w:val="0"/>
              <w:spacing w:before="0" w:beforeAutospacing="0" w:after="0" w:afterAutospacing="0"/>
              <w:ind w:left="0" w:right="0" w:firstLine="442" w:firstLineChars="200"/>
              <w:jc w:val="center"/>
              <w:rPr>
                <w:rFonts w:hint="default" w:ascii="Times New Roman" w:hAnsi="Times New Roman" w:eastAsia="宋体" w:cs="Times New Roman"/>
                <w:b/>
                <w:bCs/>
                <w:color w:val="auto"/>
                <w:kern w:val="0"/>
                <w:sz w:val="22"/>
                <w:szCs w:val="22"/>
                <w:highlight w:val="none"/>
                <w:lang w:val="en-US" w:eastAsia="zh-CN"/>
              </w:rPr>
            </w:pPr>
            <w:r>
              <w:rPr>
                <w:rFonts w:hint="default" w:ascii="Times New Roman" w:hAnsi="Times New Roman" w:eastAsia="宋体" w:cs="Times New Roman"/>
                <w:b/>
                <w:bCs/>
                <w:color w:val="auto"/>
                <w:kern w:val="0"/>
                <w:sz w:val="22"/>
                <w:szCs w:val="22"/>
                <w:highlight w:val="none"/>
                <w:lang w:val="en-US" w:eastAsia="zh-CN"/>
              </w:rPr>
              <w:t>表1-</w:t>
            </w:r>
            <w:r>
              <w:rPr>
                <w:rFonts w:hint="eastAsia" w:cs="Times New Roman"/>
                <w:b/>
                <w:bCs/>
                <w:color w:val="auto"/>
                <w:kern w:val="0"/>
                <w:sz w:val="22"/>
                <w:szCs w:val="22"/>
                <w:highlight w:val="none"/>
                <w:lang w:val="en-US" w:eastAsia="zh-CN"/>
              </w:rPr>
              <w:t>3</w:t>
            </w:r>
            <w:r>
              <w:rPr>
                <w:rFonts w:hint="default" w:ascii="Times New Roman" w:hAnsi="Times New Roman" w:eastAsia="宋体" w:cs="Times New Roman"/>
                <w:b/>
                <w:bCs/>
                <w:color w:val="auto"/>
                <w:kern w:val="0"/>
                <w:sz w:val="22"/>
                <w:szCs w:val="22"/>
                <w:highlight w:val="none"/>
                <w:lang w:val="en-US" w:eastAsia="zh-CN"/>
              </w:rPr>
              <w:t xml:space="preserve">  </w:t>
            </w:r>
            <w:r>
              <w:rPr>
                <w:rFonts w:hint="default" w:ascii="Times New Roman" w:hAnsi="Times New Roman" w:eastAsia="宋体" w:cs="Times New Roman"/>
                <w:b/>
                <w:bCs/>
                <w:color w:val="auto"/>
                <w:kern w:val="0"/>
                <w:sz w:val="22"/>
                <w:szCs w:val="22"/>
                <w:highlight w:val="none"/>
                <w:lang w:val="en-US" w:eastAsia="en-US"/>
              </w:rPr>
              <w:t>核医学楼负一层单光子药物生产车间</w:t>
            </w:r>
            <w:r>
              <w:rPr>
                <w:rFonts w:hint="default" w:ascii="Times New Roman" w:hAnsi="Times New Roman" w:eastAsia="宋体" w:cs="Times New Roman"/>
                <w:b/>
                <w:bCs/>
                <w:color w:val="auto"/>
                <w:kern w:val="0"/>
                <w:sz w:val="22"/>
                <w:szCs w:val="22"/>
                <w:highlight w:val="none"/>
                <w:lang w:val="en-US" w:eastAsia="zh-CN"/>
              </w:rPr>
              <w:t>分级情况</w:t>
            </w:r>
          </w:p>
          <w:tbl>
            <w:tblPr>
              <w:tblStyle w:val="30"/>
              <w:tblW w:w="903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39"/>
              <w:gridCol w:w="1569"/>
              <w:gridCol w:w="665"/>
              <w:gridCol w:w="971"/>
              <w:gridCol w:w="951"/>
              <w:gridCol w:w="797"/>
              <w:gridCol w:w="975"/>
              <w:gridCol w:w="619"/>
            </w:tblGrid>
            <w:tr w14:paraId="6A3A16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26" w:hRule="atLeast"/>
              </w:trPr>
              <w:tc>
                <w:tcPr>
                  <w:tcW w:w="1149" w:type="dxa"/>
                  <w:tcBorders>
                    <w:tl2br w:val="nil"/>
                    <w:tr2bl w:val="nil"/>
                  </w:tcBorders>
                  <w:vAlign w:val="center"/>
                </w:tcPr>
                <w:p w14:paraId="39F93C0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操作场所</w:t>
                  </w:r>
                </w:p>
              </w:tc>
              <w:tc>
                <w:tcPr>
                  <w:tcW w:w="1339" w:type="dxa"/>
                  <w:tcBorders>
                    <w:tl2br w:val="nil"/>
                    <w:tr2bl w:val="nil"/>
                  </w:tcBorders>
                  <w:vAlign w:val="center"/>
                </w:tcPr>
                <w:p w14:paraId="54A46DA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核素名称</w:t>
                  </w:r>
                </w:p>
              </w:tc>
              <w:tc>
                <w:tcPr>
                  <w:tcW w:w="1569" w:type="dxa"/>
                  <w:tcBorders>
                    <w:tl2br w:val="nil"/>
                    <w:tr2bl w:val="nil"/>
                  </w:tcBorders>
                  <w:vAlign w:val="center"/>
                </w:tcPr>
                <w:p w14:paraId="01496E4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实际日最大操作量</w:t>
                  </w:r>
                </w:p>
                <w:p w14:paraId="1CB778A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（Bq）</w:t>
                  </w:r>
                </w:p>
              </w:tc>
              <w:tc>
                <w:tcPr>
                  <w:tcW w:w="665" w:type="dxa"/>
                  <w:tcBorders>
                    <w:tl2br w:val="nil"/>
                    <w:tr2bl w:val="nil"/>
                  </w:tcBorders>
                  <w:vAlign w:val="center"/>
                </w:tcPr>
                <w:p w14:paraId="317C29DE">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毒性组别</w:t>
                  </w:r>
                </w:p>
              </w:tc>
              <w:tc>
                <w:tcPr>
                  <w:tcW w:w="971" w:type="dxa"/>
                  <w:tcBorders>
                    <w:tl2br w:val="nil"/>
                    <w:tr2bl w:val="nil"/>
                  </w:tcBorders>
                  <w:vAlign w:val="center"/>
                </w:tcPr>
                <w:p w14:paraId="65D8369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毒性组别修正因子</w:t>
                  </w:r>
                </w:p>
              </w:tc>
              <w:tc>
                <w:tcPr>
                  <w:tcW w:w="951" w:type="dxa"/>
                  <w:tcBorders>
                    <w:tl2br w:val="nil"/>
                    <w:tr2bl w:val="nil"/>
                  </w:tcBorders>
                  <w:vAlign w:val="center"/>
                </w:tcPr>
                <w:p w14:paraId="40C60EEB">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操作方式</w:t>
                  </w:r>
                </w:p>
              </w:tc>
              <w:tc>
                <w:tcPr>
                  <w:tcW w:w="797" w:type="dxa"/>
                  <w:tcBorders>
                    <w:tl2br w:val="nil"/>
                    <w:tr2bl w:val="nil"/>
                  </w:tcBorders>
                  <w:vAlign w:val="center"/>
                </w:tcPr>
                <w:p w14:paraId="716F638A">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操作方式修正因子</w:t>
                  </w:r>
                </w:p>
              </w:tc>
              <w:tc>
                <w:tcPr>
                  <w:tcW w:w="975" w:type="dxa"/>
                  <w:tcBorders>
                    <w:tl2br w:val="nil"/>
                    <w:tr2bl w:val="nil"/>
                  </w:tcBorders>
                  <w:vAlign w:val="center"/>
                </w:tcPr>
                <w:p w14:paraId="38A47DC5">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日等效（Bq）</w:t>
                  </w:r>
                </w:p>
              </w:tc>
              <w:tc>
                <w:tcPr>
                  <w:tcW w:w="619" w:type="dxa"/>
                  <w:tcBorders>
                    <w:tl2br w:val="nil"/>
                    <w:tr2bl w:val="nil"/>
                  </w:tcBorders>
                  <w:vAlign w:val="center"/>
                </w:tcPr>
                <w:p w14:paraId="07AA545C">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分级</w:t>
                  </w:r>
                </w:p>
              </w:tc>
            </w:tr>
            <w:tr w14:paraId="624C46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149" w:type="dxa"/>
                  <w:vMerge w:val="restart"/>
                  <w:tcBorders>
                    <w:tl2br w:val="nil"/>
                    <w:tr2bl w:val="nil"/>
                  </w:tcBorders>
                  <w:vAlign w:val="center"/>
                </w:tcPr>
                <w:p w14:paraId="4D92E03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核医学楼负一层单光子药物生产车间</w:t>
                  </w:r>
                </w:p>
              </w:tc>
              <w:tc>
                <w:tcPr>
                  <w:tcW w:w="1339" w:type="dxa"/>
                  <w:tcBorders>
                    <w:tl2br w:val="nil"/>
                    <w:tr2bl w:val="nil"/>
                  </w:tcBorders>
                  <w:shd w:val="clear" w:color="auto" w:fill="auto"/>
                  <w:vAlign w:val="center"/>
                </w:tcPr>
                <w:p w14:paraId="10527954">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Tc-99m</w:t>
                  </w:r>
                </w:p>
              </w:tc>
              <w:tc>
                <w:tcPr>
                  <w:tcW w:w="1569" w:type="dxa"/>
                  <w:tcBorders>
                    <w:tl2br w:val="nil"/>
                    <w:tr2bl w:val="nil"/>
                  </w:tcBorders>
                  <w:shd w:val="clear" w:color="auto" w:fill="auto"/>
                  <w:vAlign w:val="center"/>
                </w:tcPr>
                <w:p w14:paraId="64FDFF8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7.40E+10</w:t>
                  </w:r>
                </w:p>
              </w:tc>
              <w:tc>
                <w:tcPr>
                  <w:tcW w:w="665" w:type="dxa"/>
                  <w:tcBorders>
                    <w:tl2br w:val="nil"/>
                    <w:tr2bl w:val="nil"/>
                  </w:tcBorders>
                  <w:shd w:val="clear" w:color="auto" w:fill="auto"/>
                  <w:vAlign w:val="center"/>
                </w:tcPr>
                <w:p w14:paraId="59D41314">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低毒</w:t>
                  </w:r>
                </w:p>
              </w:tc>
              <w:tc>
                <w:tcPr>
                  <w:tcW w:w="971" w:type="dxa"/>
                  <w:tcBorders>
                    <w:tl2br w:val="nil"/>
                    <w:tr2bl w:val="nil"/>
                  </w:tcBorders>
                  <w:shd w:val="clear" w:color="auto" w:fill="auto"/>
                  <w:vAlign w:val="center"/>
                </w:tcPr>
                <w:p w14:paraId="018B2CC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0.01</w:t>
                  </w:r>
                </w:p>
              </w:tc>
              <w:tc>
                <w:tcPr>
                  <w:tcW w:w="951" w:type="dxa"/>
                  <w:tcBorders>
                    <w:tl2br w:val="nil"/>
                    <w:tr2bl w:val="nil"/>
                  </w:tcBorders>
                  <w:shd w:val="clear" w:color="auto" w:fill="auto"/>
                  <w:vAlign w:val="center"/>
                </w:tcPr>
                <w:p w14:paraId="7C4359F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简单操作</w:t>
                  </w:r>
                </w:p>
              </w:tc>
              <w:tc>
                <w:tcPr>
                  <w:tcW w:w="797" w:type="dxa"/>
                  <w:tcBorders>
                    <w:tl2br w:val="nil"/>
                    <w:tr2bl w:val="nil"/>
                  </w:tcBorders>
                  <w:shd w:val="clear" w:color="auto" w:fill="auto"/>
                  <w:vAlign w:val="center"/>
                </w:tcPr>
                <w:p w14:paraId="12B02BCA">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1</w:t>
                  </w:r>
                </w:p>
              </w:tc>
              <w:tc>
                <w:tcPr>
                  <w:tcW w:w="975" w:type="dxa"/>
                  <w:tcBorders>
                    <w:tl2br w:val="nil"/>
                    <w:tr2bl w:val="nil"/>
                  </w:tcBorders>
                  <w:shd w:val="clear" w:color="auto" w:fill="auto"/>
                  <w:vAlign w:val="center"/>
                </w:tcPr>
                <w:p w14:paraId="3115CAE9">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7.40E+08</w:t>
                  </w:r>
                </w:p>
              </w:tc>
              <w:tc>
                <w:tcPr>
                  <w:tcW w:w="619" w:type="dxa"/>
                  <w:vMerge w:val="restart"/>
                  <w:tcBorders>
                    <w:tl2br w:val="nil"/>
                    <w:tr2bl w:val="nil"/>
                  </w:tcBorders>
                  <w:vAlign w:val="center"/>
                </w:tcPr>
                <w:p w14:paraId="19B0457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乙级</w:t>
                  </w:r>
                </w:p>
              </w:tc>
            </w:tr>
            <w:tr w14:paraId="5ED80F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tcBorders>
                    <w:tl2br w:val="nil"/>
                    <w:tr2bl w:val="nil"/>
                  </w:tcBorders>
                  <w:vAlign w:val="center"/>
                </w:tcPr>
                <w:p w14:paraId="6AD5418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p>
              </w:tc>
              <w:tc>
                <w:tcPr>
                  <w:tcW w:w="1339" w:type="dxa"/>
                  <w:tcBorders>
                    <w:tl2br w:val="nil"/>
                    <w:tr2bl w:val="nil"/>
                  </w:tcBorders>
                  <w:shd w:val="clear" w:color="auto" w:fill="auto"/>
                  <w:vAlign w:val="center"/>
                </w:tcPr>
                <w:p w14:paraId="281603A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Mo-99(Tc-99m)</w:t>
                  </w:r>
                </w:p>
              </w:tc>
              <w:tc>
                <w:tcPr>
                  <w:tcW w:w="1569" w:type="dxa"/>
                  <w:tcBorders>
                    <w:tl2br w:val="nil"/>
                    <w:tr2bl w:val="nil"/>
                  </w:tcBorders>
                  <w:shd w:val="clear" w:color="auto" w:fill="auto"/>
                  <w:vAlign w:val="center"/>
                </w:tcPr>
                <w:p w14:paraId="727E161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8.22E+10</w:t>
                  </w:r>
                </w:p>
              </w:tc>
              <w:tc>
                <w:tcPr>
                  <w:tcW w:w="665" w:type="dxa"/>
                  <w:tcBorders>
                    <w:tl2br w:val="nil"/>
                    <w:tr2bl w:val="nil"/>
                  </w:tcBorders>
                  <w:shd w:val="clear" w:color="auto" w:fill="auto"/>
                  <w:vAlign w:val="center"/>
                </w:tcPr>
                <w:p w14:paraId="059B4551">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中毒</w:t>
                  </w:r>
                </w:p>
              </w:tc>
              <w:tc>
                <w:tcPr>
                  <w:tcW w:w="971" w:type="dxa"/>
                  <w:tcBorders>
                    <w:tl2br w:val="nil"/>
                    <w:tr2bl w:val="nil"/>
                  </w:tcBorders>
                  <w:shd w:val="clear" w:color="auto" w:fill="auto"/>
                  <w:vAlign w:val="center"/>
                </w:tcPr>
                <w:p w14:paraId="2CBEDC2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0.1</w:t>
                  </w:r>
                </w:p>
              </w:tc>
              <w:tc>
                <w:tcPr>
                  <w:tcW w:w="951" w:type="dxa"/>
                  <w:tcBorders>
                    <w:tl2br w:val="nil"/>
                    <w:tr2bl w:val="nil"/>
                  </w:tcBorders>
                  <w:shd w:val="clear" w:color="auto" w:fill="auto"/>
                  <w:vAlign w:val="center"/>
                </w:tcPr>
                <w:p w14:paraId="4187B22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源的贮存</w:t>
                  </w:r>
                </w:p>
              </w:tc>
              <w:tc>
                <w:tcPr>
                  <w:tcW w:w="797" w:type="dxa"/>
                  <w:tcBorders>
                    <w:tl2br w:val="nil"/>
                    <w:tr2bl w:val="nil"/>
                  </w:tcBorders>
                  <w:shd w:val="clear" w:color="auto" w:fill="auto"/>
                  <w:vAlign w:val="center"/>
                </w:tcPr>
                <w:p w14:paraId="5D68D509">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100</w:t>
                  </w:r>
                </w:p>
              </w:tc>
              <w:tc>
                <w:tcPr>
                  <w:tcW w:w="975" w:type="dxa"/>
                  <w:tcBorders>
                    <w:tl2br w:val="nil"/>
                    <w:tr2bl w:val="nil"/>
                  </w:tcBorders>
                  <w:shd w:val="clear" w:color="auto" w:fill="auto"/>
                  <w:vAlign w:val="center"/>
                </w:tcPr>
                <w:p w14:paraId="01040DB4">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8.22E+07</w:t>
                  </w:r>
                </w:p>
              </w:tc>
              <w:tc>
                <w:tcPr>
                  <w:tcW w:w="619" w:type="dxa"/>
                  <w:vMerge w:val="continue"/>
                  <w:tcBorders>
                    <w:tl2br w:val="nil"/>
                    <w:tr2bl w:val="nil"/>
                  </w:tcBorders>
                  <w:vAlign w:val="center"/>
                </w:tcPr>
                <w:p w14:paraId="253105E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p>
              </w:tc>
            </w:tr>
            <w:tr w14:paraId="09566C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tcBorders>
                    <w:tl2br w:val="nil"/>
                    <w:tr2bl w:val="nil"/>
                  </w:tcBorders>
                  <w:vAlign w:val="center"/>
                </w:tcPr>
                <w:p w14:paraId="72AD31D3">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p>
              </w:tc>
              <w:tc>
                <w:tcPr>
                  <w:tcW w:w="1339" w:type="dxa"/>
                  <w:tcBorders>
                    <w:tl2br w:val="nil"/>
                    <w:tr2bl w:val="nil"/>
                  </w:tcBorders>
                  <w:shd w:val="clear" w:color="auto" w:fill="auto"/>
                  <w:vAlign w:val="center"/>
                </w:tcPr>
                <w:p w14:paraId="4B18039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cs="Times New Roman"/>
                      <w:color w:val="auto"/>
                      <w:kern w:val="0"/>
                      <w:sz w:val="18"/>
                      <w:szCs w:val="18"/>
                      <w:highlight w:val="none"/>
                      <w:lang w:val="en-US" w:eastAsia="zh-CN" w:bidi="ar-SA"/>
                    </w:rPr>
                    <w:t>Y-90</w:t>
                  </w:r>
                </w:p>
              </w:tc>
              <w:tc>
                <w:tcPr>
                  <w:tcW w:w="1569" w:type="dxa"/>
                  <w:tcBorders>
                    <w:tl2br w:val="nil"/>
                    <w:tr2bl w:val="nil"/>
                  </w:tcBorders>
                  <w:shd w:val="clear" w:color="auto" w:fill="auto"/>
                  <w:vAlign w:val="center"/>
                </w:tcPr>
                <w:p w14:paraId="6FB14C3D">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3.00E+09</w:t>
                  </w:r>
                </w:p>
              </w:tc>
              <w:tc>
                <w:tcPr>
                  <w:tcW w:w="665" w:type="dxa"/>
                  <w:tcBorders>
                    <w:tl2br w:val="nil"/>
                    <w:tr2bl w:val="nil"/>
                  </w:tcBorders>
                  <w:shd w:val="clear" w:color="auto" w:fill="auto"/>
                  <w:vAlign w:val="center"/>
                </w:tcPr>
                <w:p w14:paraId="7ED7796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中毒</w:t>
                  </w:r>
                </w:p>
              </w:tc>
              <w:tc>
                <w:tcPr>
                  <w:tcW w:w="971" w:type="dxa"/>
                  <w:tcBorders>
                    <w:tl2br w:val="nil"/>
                    <w:tr2bl w:val="nil"/>
                  </w:tcBorders>
                  <w:shd w:val="clear" w:color="auto" w:fill="auto"/>
                  <w:vAlign w:val="center"/>
                </w:tcPr>
                <w:p w14:paraId="2DCEEF8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0.1</w:t>
                  </w:r>
                </w:p>
              </w:tc>
              <w:tc>
                <w:tcPr>
                  <w:tcW w:w="951" w:type="dxa"/>
                  <w:tcBorders>
                    <w:tl2br w:val="nil"/>
                    <w:tr2bl w:val="nil"/>
                  </w:tcBorders>
                  <w:shd w:val="clear" w:color="auto" w:fill="auto"/>
                  <w:vAlign w:val="center"/>
                </w:tcPr>
                <w:p w14:paraId="673AD81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很简单操作</w:t>
                  </w:r>
                </w:p>
              </w:tc>
              <w:tc>
                <w:tcPr>
                  <w:tcW w:w="797" w:type="dxa"/>
                  <w:tcBorders>
                    <w:tl2br w:val="nil"/>
                    <w:tr2bl w:val="nil"/>
                  </w:tcBorders>
                  <w:shd w:val="clear" w:color="auto" w:fill="auto"/>
                  <w:vAlign w:val="center"/>
                </w:tcPr>
                <w:p w14:paraId="673F0A6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10</w:t>
                  </w:r>
                </w:p>
              </w:tc>
              <w:tc>
                <w:tcPr>
                  <w:tcW w:w="975" w:type="dxa"/>
                  <w:tcBorders>
                    <w:tl2br w:val="nil"/>
                    <w:tr2bl w:val="nil"/>
                  </w:tcBorders>
                  <w:shd w:val="clear" w:color="auto" w:fill="auto"/>
                  <w:vAlign w:val="center"/>
                </w:tcPr>
                <w:p w14:paraId="3F7F275B">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3.00E+07</w:t>
                  </w:r>
                </w:p>
              </w:tc>
              <w:tc>
                <w:tcPr>
                  <w:tcW w:w="619" w:type="dxa"/>
                  <w:vMerge w:val="continue"/>
                  <w:tcBorders>
                    <w:tl2br w:val="nil"/>
                    <w:tr2bl w:val="nil"/>
                  </w:tcBorders>
                  <w:vAlign w:val="center"/>
                </w:tcPr>
                <w:p w14:paraId="343ADC1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p>
              </w:tc>
            </w:tr>
            <w:tr w14:paraId="74129A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441" w:type="dxa"/>
                  <w:gridSpan w:val="7"/>
                  <w:tcBorders>
                    <w:tl2br w:val="nil"/>
                    <w:tr2bl w:val="nil"/>
                  </w:tcBorders>
                  <w:vAlign w:val="center"/>
                </w:tcPr>
                <w:p w14:paraId="3989FA6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合计</w:t>
                  </w:r>
                </w:p>
              </w:tc>
              <w:tc>
                <w:tcPr>
                  <w:tcW w:w="975" w:type="dxa"/>
                  <w:tcBorders>
                    <w:tl2br w:val="nil"/>
                    <w:tr2bl w:val="nil"/>
                  </w:tcBorders>
                  <w:shd w:val="clear" w:color="auto" w:fill="auto"/>
                  <w:vAlign w:val="center"/>
                </w:tcPr>
                <w:p w14:paraId="7406C2A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8.52E+08</w:t>
                  </w:r>
                </w:p>
              </w:tc>
              <w:tc>
                <w:tcPr>
                  <w:tcW w:w="619" w:type="dxa"/>
                  <w:vMerge w:val="continue"/>
                  <w:tcBorders>
                    <w:tl2br w:val="nil"/>
                    <w:tr2bl w:val="nil"/>
                  </w:tcBorders>
                  <w:vAlign w:val="center"/>
                </w:tcPr>
                <w:p w14:paraId="0FEC7E1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p>
              </w:tc>
            </w:tr>
          </w:tbl>
          <w:p w14:paraId="2AC1367B">
            <w:pPr>
              <w:keepNext w:val="0"/>
              <w:keepLines w:val="0"/>
              <w:suppressLineNumbers w:val="0"/>
              <w:bidi w:val="0"/>
              <w:spacing w:before="0" w:beforeAutospacing="0" w:after="0" w:afterAutospacing="0"/>
              <w:ind w:left="0" w:right="0" w:firstLine="361" w:firstLineChars="200"/>
              <w:jc w:val="left"/>
              <w:rPr>
                <w:rFonts w:hint="default" w:ascii="Times New Roman" w:hAnsi="Times New Roman" w:cs="Times New Roman"/>
                <w:b/>
                <w:bCs/>
                <w:color w:val="auto"/>
                <w:sz w:val="18"/>
                <w:szCs w:val="18"/>
                <w:highlight w:val="none"/>
                <w:lang w:val="en-US" w:eastAsia="zh-CN"/>
              </w:rPr>
            </w:pPr>
            <w:r>
              <w:rPr>
                <w:rFonts w:hint="default" w:ascii="Times New Roman" w:hAnsi="Times New Roman" w:eastAsia="宋体" w:cs="Times New Roman"/>
                <w:b/>
                <w:bCs/>
                <w:color w:val="auto"/>
                <w:kern w:val="0"/>
                <w:sz w:val="18"/>
                <w:szCs w:val="18"/>
                <w:highlight w:val="none"/>
                <w:lang w:val="en-US" w:eastAsia="zh-CN"/>
              </w:rPr>
              <w:t>注：利用</w:t>
            </w:r>
            <w:r>
              <w:rPr>
                <w:rFonts w:hint="default" w:ascii="Times New Roman" w:hAnsi="Times New Roman" w:eastAsia="宋体" w:cs="Times New Roman"/>
                <w:b/>
                <w:bCs/>
                <w:color w:val="auto"/>
                <w:kern w:val="0"/>
                <w:sz w:val="18"/>
                <w:szCs w:val="18"/>
                <w:highlight w:val="none"/>
                <w:vertAlign w:val="superscript"/>
                <w:lang w:val="en-US" w:eastAsia="zh-CN"/>
              </w:rPr>
              <w:t>99</w:t>
            </w:r>
            <w:r>
              <w:rPr>
                <w:rFonts w:hint="default" w:ascii="Times New Roman" w:hAnsi="Times New Roman" w:eastAsia="宋体" w:cs="Times New Roman"/>
                <w:b/>
                <w:bCs/>
                <w:color w:val="auto"/>
                <w:kern w:val="0"/>
                <w:sz w:val="18"/>
                <w:szCs w:val="18"/>
                <w:highlight w:val="none"/>
                <w:lang w:val="en-US" w:eastAsia="zh-CN"/>
              </w:rPr>
              <w:t>Mo-</w:t>
            </w:r>
            <w:r>
              <w:rPr>
                <w:rFonts w:hint="default" w:ascii="Times New Roman" w:hAnsi="Times New Roman" w:eastAsia="宋体" w:cs="Times New Roman"/>
                <w:b/>
                <w:bCs/>
                <w:color w:val="auto"/>
                <w:kern w:val="0"/>
                <w:sz w:val="18"/>
                <w:szCs w:val="18"/>
                <w:highlight w:val="none"/>
                <w:vertAlign w:val="superscript"/>
                <w:lang w:val="en-US" w:eastAsia="zh-CN"/>
              </w:rPr>
              <w:t>99m</w:t>
            </w:r>
            <w:r>
              <w:rPr>
                <w:rFonts w:hint="default" w:ascii="Times New Roman" w:hAnsi="Times New Roman" w:eastAsia="宋体" w:cs="Times New Roman"/>
                <w:b/>
                <w:bCs/>
                <w:color w:val="auto"/>
                <w:kern w:val="0"/>
                <w:sz w:val="18"/>
                <w:szCs w:val="18"/>
                <w:highlight w:val="none"/>
                <w:lang w:val="en-US" w:eastAsia="zh-CN"/>
              </w:rPr>
              <w:t>Tc发生器，淋洗</w:t>
            </w:r>
            <w:r>
              <w:rPr>
                <w:rFonts w:hint="default" w:ascii="Times New Roman" w:hAnsi="Times New Roman" w:eastAsia="宋体" w:cs="Times New Roman"/>
                <w:b/>
                <w:bCs/>
                <w:color w:val="auto"/>
                <w:kern w:val="0"/>
                <w:sz w:val="18"/>
                <w:szCs w:val="18"/>
                <w:highlight w:val="none"/>
                <w:vertAlign w:val="superscript"/>
                <w:lang w:val="en-US" w:eastAsia="zh-CN"/>
              </w:rPr>
              <w:t>99m</w:t>
            </w:r>
            <w:r>
              <w:rPr>
                <w:rFonts w:hint="default" w:ascii="Times New Roman" w:hAnsi="Times New Roman" w:eastAsia="宋体" w:cs="Times New Roman"/>
                <w:b/>
                <w:bCs/>
                <w:color w:val="auto"/>
                <w:kern w:val="0"/>
                <w:sz w:val="18"/>
                <w:szCs w:val="18"/>
                <w:highlight w:val="none"/>
                <w:lang w:val="en-US" w:eastAsia="zh-CN"/>
              </w:rPr>
              <w:t>Tc放射性药物时，</w:t>
            </w:r>
            <w:r>
              <w:rPr>
                <w:rFonts w:hint="default" w:ascii="Times New Roman" w:hAnsi="Times New Roman" w:eastAsia="宋体" w:cs="Times New Roman"/>
                <w:b/>
                <w:bCs/>
                <w:color w:val="auto"/>
                <w:kern w:val="0"/>
                <w:sz w:val="18"/>
                <w:szCs w:val="18"/>
                <w:highlight w:val="none"/>
                <w:vertAlign w:val="superscript"/>
                <w:lang w:val="en-US" w:eastAsia="zh-CN"/>
              </w:rPr>
              <w:t>99</w:t>
            </w:r>
            <w:r>
              <w:rPr>
                <w:rFonts w:hint="default" w:ascii="Times New Roman" w:hAnsi="Times New Roman" w:eastAsia="宋体" w:cs="Times New Roman"/>
                <w:b/>
                <w:bCs/>
                <w:color w:val="auto"/>
                <w:kern w:val="0"/>
                <w:sz w:val="18"/>
                <w:szCs w:val="18"/>
                <w:highlight w:val="none"/>
                <w:lang w:val="en-US" w:eastAsia="zh-CN"/>
              </w:rPr>
              <w:t>Mo的操作视为“贮存”；放射性药品生产中，分装、标记等活动视为“简单操作”。</w:t>
            </w:r>
          </w:p>
          <w:p w14:paraId="062A200A">
            <w:pPr>
              <w:keepNext w:val="0"/>
              <w:keepLines w:val="0"/>
              <w:suppressLineNumbers w:val="0"/>
              <w:bidi w:val="0"/>
              <w:spacing w:before="0" w:beforeAutospacing="0" w:after="0" w:afterAutospacing="0"/>
              <w:ind w:left="0" w:right="0" w:firstLine="422" w:firstLineChars="20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表1-</w:t>
            </w:r>
            <w:r>
              <w:rPr>
                <w:rFonts w:hint="eastAsia" w:cs="Times New Roman"/>
                <w:b/>
                <w:bCs/>
                <w:color w:val="auto"/>
                <w:sz w:val="21"/>
                <w:szCs w:val="21"/>
                <w:highlight w:val="none"/>
                <w:lang w:val="en-US" w:eastAsia="zh-CN"/>
              </w:rPr>
              <w:t>4</w:t>
            </w:r>
            <w:r>
              <w:rPr>
                <w:rFonts w:hint="default"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lang w:val="en-US" w:eastAsia="en-US"/>
              </w:rPr>
              <w:t>核医学楼一层SPECT诊断区</w:t>
            </w:r>
            <w:r>
              <w:rPr>
                <w:rFonts w:hint="default" w:ascii="Times New Roman" w:hAnsi="Times New Roman" w:cs="Times New Roman"/>
                <w:b/>
                <w:bCs/>
                <w:color w:val="auto"/>
                <w:sz w:val="21"/>
                <w:szCs w:val="21"/>
                <w:highlight w:val="none"/>
                <w:lang w:val="en-US" w:eastAsia="zh-CN"/>
              </w:rPr>
              <w:t>分级情况</w:t>
            </w:r>
          </w:p>
          <w:tbl>
            <w:tblPr>
              <w:tblStyle w:val="30"/>
              <w:tblW w:w="9177"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67"/>
              <w:gridCol w:w="1361"/>
              <w:gridCol w:w="1447"/>
              <w:gridCol w:w="823"/>
              <w:gridCol w:w="986"/>
              <w:gridCol w:w="966"/>
              <w:gridCol w:w="809"/>
              <w:gridCol w:w="990"/>
              <w:gridCol w:w="628"/>
            </w:tblGrid>
            <w:tr w14:paraId="68282C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1167" w:type="dxa"/>
                  <w:tcBorders>
                    <w:tl2br w:val="nil"/>
                    <w:tr2bl w:val="nil"/>
                  </w:tcBorders>
                  <w:vAlign w:val="center"/>
                </w:tcPr>
                <w:p w14:paraId="0F9AAE8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操作场所</w:t>
                  </w:r>
                </w:p>
              </w:tc>
              <w:tc>
                <w:tcPr>
                  <w:tcW w:w="1361" w:type="dxa"/>
                  <w:tcBorders>
                    <w:tl2br w:val="nil"/>
                    <w:tr2bl w:val="nil"/>
                  </w:tcBorders>
                  <w:vAlign w:val="center"/>
                </w:tcPr>
                <w:p w14:paraId="5E72FDF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核素名称</w:t>
                  </w:r>
                </w:p>
              </w:tc>
              <w:tc>
                <w:tcPr>
                  <w:tcW w:w="1447" w:type="dxa"/>
                  <w:tcBorders>
                    <w:tl2br w:val="nil"/>
                    <w:tr2bl w:val="nil"/>
                  </w:tcBorders>
                  <w:vAlign w:val="center"/>
                </w:tcPr>
                <w:p w14:paraId="3BD8696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实际日最大操作量（Bq）</w:t>
                  </w:r>
                </w:p>
              </w:tc>
              <w:tc>
                <w:tcPr>
                  <w:tcW w:w="823" w:type="dxa"/>
                  <w:tcBorders>
                    <w:tl2br w:val="nil"/>
                    <w:tr2bl w:val="nil"/>
                  </w:tcBorders>
                  <w:vAlign w:val="center"/>
                </w:tcPr>
                <w:p w14:paraId="1E5C68A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毒性组别</w:t>
                  </w:r>
                </w:p>
              </w:tc>
              <w:tc>
                <w:tcPr>
                  <w:tcW w:w="986" w:type="dxa"/>
                  <w:tcBorders>
                    <w:tl2br w:val="nil"/>
                    <w:tr2bl w:val="nil"/>
                  </w:tcBorders>
                  <w:vAlign w:val="center"/>
                </w:tcPr>
                <w:p w14:paraId="0CA7BED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毒性组别修正因子</w:t>
                  </w:r>
                </w:p>
              </w:tc>
              <w:tc>
                <w:tcPr>
                  <w:tcW w:w="966" w:type="dxa"/>
                  <w:tcBorders>
                    <w:tl2br w:val="nil"/>
                    <w:tr2bl w:val="nil"/>
                  </w:tcBorders>
                  <w:vAlign w:val="center"/>
                </w:tcPr>
                <w:p w14:paraId="33F17AB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操作方式</w:t>
                  </w:r>
                </w:p>
              </w:tc>
              <w:tc>
                <w:tcPr>
                  <w:tcW w:w="809" w:type="dxa"/>
                  <w:tcBorders>
                    <w:tl2br w:val="nil"/>
                    <w:tr2bl w:val="nil"/>
                  </w:tcBorders>
                  <w:vAlign w:val="center"/>
                </w:tcPr>
                <w:p w14:paraId="2FA0A93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操作方式修正因子</w:t>
                  </w:r>
                </w:p>
              </w:tc>
              <w:tc>
                <w:tcPr>
                  <w:tcW w:w="990" w:type="dxa"/>
                  <w:tcBorders>
                    <w:tl2br w:val="nil"/>
                    <w:tr2bl w:val="nil"/>
                  </w:tcBorders>
                  <w:vAlign w:val="center"/>
                </w:tcPr>
                <w:p w14:paraId="0FF32F9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日等效（Bq）</w:t>
                  </w:r>
                </w:p>
              </w:tc>
              <w:tc>
                <w:tcPr>
                  <w:tcW w:w="628" w:type="dxa"/>
                  <w:tcBorders>
                    <w:tl2br w:val="nil"/>
                    <w:tr2bl w:val="nil"/>
                  </w:tcBorders>
                  <w:vAlign w:val="center"/>
                </w:tcPr>
                <w:p w14:paraId="4DE17E8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分级</w:t>
                  </w:r>
                </w:p>
              </w:tc>
            </w:tr>
            <w:tr w14:paraId="01CFBD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167" w:type="dxa"/>
                  <w:vMerge w:val="restart"/>
                  <w:tcBorders>
                    <w:tl2br w:val="nil"/>
                    <w:tr2bl w:val="nil"/>
                  </w:tcBorders>
                  <w:vAlign w:val="center"/>
                </w:tcPr>
                <w:p w14:paraId="2387F4A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核医学楼一层SPECT诊断区</w:t>
                  </w:r>
                </w:p>
              </w:tc>
              <w:tc>
                <w:tcPr>
                  <w:tcW w:w="1361" w:type="dxa"/>
                  <w:tcBorders>
                    <w:tl2br w:val="nil"/>
                    <w:tr2bl w:val="nil"/>
                  </w:tcBorders>
                  <w:shd w:val="clear" w:color="auto" w:fill="auto"/>
                  <w:vAlign w:val="center"/>
                </w:tcPr>
                <w:p w14:paraId="238D65F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Tc-99m</w:t>
                  </w:r>
                </w:p>
              </w:tc>
              <w:tc>
                <w:tcPr>
                  <w:tcW w:w="1447" w:type="dxa"/>
                  <w:tcBorders>
                    <w:tl2br w:val="nil"/>
                    <w:tr2bl w:val="nil"/>
                  </w:tcBorders>
                  <w:shd w:val="clear" w:color="auto" w:fill="auto"/>
                  <w:vAlign w:val="center"/>
                </w:tcPr>
                <w:p w14:paraId="7EA7E82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7.40E+10</w:t>
                  </w:r>
                </w:p>
              </w:tc>
              <w:tc>
                <w:tcPr>
                  <w:tcW w:w="823" w:type="dxa"/>
                  <w:tcBorders>
                    <w:tl2br w:val="nil"/>
                    <w:tr2bl w:val="nil"/>
                  </w:tcBorders>
                  <w:shd w:val="clear" w:color="auto" w:fill="auto"/>
                  <w:vAlign w:val="center"/>
                </w:tcPr>
                <w:p w14:paraId="6BFF38B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低毒</w:t>
                  </w:r>
                </w:p>
              </w:tc>
              <w:tc>
                <w:tcPr>
                  <w:tcW w:w="986" w:type="dxa"/>
                  <w:tcBorders>
                    <w:tl2br w:val="nil"/>
                    <w:tr2bl w:val="nil"/>
                  </w:tcBorders>
                  <w:shd w:val="clear" w:color="auto" w:fill="auto"/>
                  <w:vAlign w:val="center"/>
                </w:tcPr>
                <w:p w14:paraId="0199000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0.01</w:t>
                  </w:r>
                </w:p>
              </w:tc>
              <w:tc>
                <w:tcPr>
                  <w:tcW w:w="966" w:type="dxa"/>
                  <w:tcBorders>
                    <w:tl2br w:val="nil"/>
                    <w:tr2bl w:val="nil"/>
                  </w:tcBorders>
                  <w:shd w:val="clear" w:color="auto" w:fill="auto"/>
                  <w:vAlign w:val="center"/>
                </w:tcPr>
                <w:p w14:paraId="301114A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很简单操作</w:t>
                  </w:r>
                </w:p>
              </w:tc>
              <w:tc>
                <w:tcPr>
                  <w:tcW w:w="809" w:type="dxa"/>
                  <w:tcBorders>
                    <w:tl2br w:val="nil"/>
                    <w:tr2bl w:val="nil"/>
                  </w:tcBorders>
                  <w:shd w:val="clear" w:color="auto" w:fill="auto"/>
                  <w:vAlign w:val="center"/>
                </w:tcPr>
                <w:p w14:paraId="5D529F6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10</w:t>
                  </w:r>
                </w:p>
              </w:tc>
              <w:tc>
                <w:tcPr>
                  <w:tcW w:w="990" w:type="dxa"/>
                  <w:tcBorders>
                    <w:tl2br w:val="nil"/>
                    <w:tr2bl w:val="nil"/>
                  </w:tcBorders>
                  <w:shd w:val="clear" w:color="auto" w:fill="auto"/>
                  <w:vAlign w:val="center"/>
                </w:tcPr>
                <w:p w14:paraId="2F99600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7.40E+07</w:t>
                  </w:r>
                </w:p>
              </w:tc>
              <w:tc>
                <w:tcPr>
                  <w:tcW w:w="628" w:type="dxa"/>
                  <w:vMerge w:val="restart"/>
                  <w:tcBorders>
                    <w:tl2br w:val="nil"/>
                    <w:tr2bl w:val="nil"/>
                  </w:tcBorders>
                  <w:vAlign w:val="center"/>
                </w:tcPr>
                <w:p w14:paraId="171911E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乙级</w:t>
                  </w:r>
                </w:p>
              </w:tc>
            </w:tr>
            <w:tr w14:paraId="0BBD7E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1167" w:type="dxa"/>
                  <w:vMerge w:val="continue"/>
                  <w:tcBorders>
                    <w:tl2br w:val="nil"/>
                    <w:tr2bl w:val="nil"/>
                  </w:tcBorders>
                  <w:vAlign w:val="center"/>
                </w:tcPr>
                <w:p w14:paraId="140237C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1361" w:type="dxa"/>
                  <w:tcBorders>
                    <w:tl2br w:val="nil"/>
                    <w:tr2bl w:val="nil"/>
                  </w:tcBorders>
                  <w:shd w:val="clear" w:color="auto" w:fill="auto"/>
                  <w:vAlign w:val="center"/>
                </w:tcPr>
                <w:p w14:paraId="7E6BB35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vertAlign w:val="baseline"/>
                      <w:lang w:val="en-US" w:eastAsia="zh-CN"/>
                    </w:rPr>
                    <w:t>I-131</w:t>
                  </w:r>
                </w:p>
              </w:tc>
              <w:tc>
                <w:tcPr>
                  <w:tcW w:w="1447" w:type="dxa"/>
                  <w:tcBorders>
                    <w:tl2br w:val="nil"/>
                    <w:tr2bl w:val="nil"/>
                  </w:tcBorders>
                  <w:shd w:val="clear" w:color="auto" w:fill="auto"/>
                  <w:vAlign w:val="center"/>
                </w:tcPr>
                <w:p w14:paraId="63F3FA0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1.11E+10</w:t>
                  </w:r>
                </w:p>
              </w:tc>
              <w:tc>
                <w:tcPr>
                  <w:tcW w:w="823" w:type="dxa"/>
                  <w:tcBorders>
                    <w:tl2br w:val="nil"/>
                    <w:tr2bl w:val="nil"/>
                  </w:tcBorders>
                  <w:shd w:val="clear" w:color="auto" w:fill="auto"/>
                  <w:vAlign w:val="center"/>
                </w:tcPr>
                <w:p w14:paraId="07C5058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中毒</w:t>
                  </w:r>
                </w:p>
              </w:tc>
              <w:tc>
                <w:tcPr>
                  <w:tcW w:w="986" w:type="dxa"/>
                  <w:tcBorders>
                    <w:tl2br w:val="nil"/>
                    <w:tr2bl w:val="nil"/>
                  </w:tcBorders>
                  <w:shd w:val="clear" w:color="auto" w:fill="auto"/>
                  <w:vAlign w:val="center"/>
                </w:tcPr>
                <w:p w14:paraId="79F84C6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0.1</w:t>
                  </w:r>
                </w:p>
              </w:tc>
              <w:tc>
                <w:tcPr>
                  <w:tcW w:w="966" w:type="dxa"/>
                  <w:tcBorders>
                    <w:tl2br w:val="nil"/>
                    <w:tr2bl w:val="nil"/>
                  </w:tcBorders>
                  <w:shd w:val="clear" w:color="auto" w:fill="auto"/>
                  <w:vAlign w:val="center"/>
                </w:tcPr>
                <w:p w14:paraId="23A90B4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简单操作</w:t>
                  </w:r>
                </w:p>
              </w:tc>
              <w:tc>
                <w:tcPr>
                  <w:tcW w:w="809" w:type="dxa"/>
                  <w:tcBorders>
                    <w:tl2br w:val="nil"/>
                    <w:tr2bl w:val="nil"/>
                  </w:tcBorders>
                  <w:shd w:val="clear" w:color="auto" w:fill="auto"/>
                  <w:vAlign w:val="center"/>
                </w:tcPr>
                <w:p w14:paraId="26FDE16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1</w:t>
                  </w:r>
                </w:p>
              </w:tc>
              <w:tc>
                <w:tcPr>
                  <w:tcW w:w="990" w:type="dxa"/>
                  <w:tcBorders>
                    <w:tl2br w:val="nil"/>
                    <w:tr2bl w:val="nil"/>
                  </w:tcBorders>
                  <w:shd w:val="clear" w:color="auto" w:fill="auto"/>
                  <w:vAlign w:val="center"/>
                </w:tcPr>
                <w:p w14:paraId="6401BC6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1.11E+09</w:t>
                  </w:r>
                </w:p>
              </w:tc>
              <w:tc>
                <w:tcPr>
                  <w:tcW w:w="628" w:type="dxa"/>
                  <w:vMerge w:val="continue"/>
                  <w:tcBorders>
                    <w:tl2br w:val="nil"/>
                    <w:tr2bl w:val="nil"/>
                  </w:tcBorders>
                  <w:vAlign w:val="center"/>
                </w:tcPr>
                <w:p w14:paraId="53245EB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p>
              </w:tc>
            </w:tr>
            <w:tr w14:paraId="603386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559" w:type="dxa"/>
                  <w:gridSpan w:val="7"/>
                  <w:tcBorders>
                    <w:tl2br w:val="nil"/>
                    <w:tr2bl w:val="nil"/>
                  </w:tcBorders>
                  <w:vAlign w:val="center"/>
                </w:tcPr>
                <w:p w14:paraId="343B58B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合计</w:t>
                  </w:r>
                </w:p>
              </w:tc>
              <w:tc>
                <w:tcPr>
                  <w:tcW w:w="990" w:type="dxa"/>
                  <w:tcBorders>
                    <w:tl2br w:val="nil"/>
                    <w:tr2bl w:val="nil"/>
                  </w:tcBorders>
                  <w:shd w:val="clear" w:color="auto" w:fill="auto"/>
                  <w:vAlign w:val="center"/>
                </w:tcPr>
                <w:p w14:paraId="3E40BDA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1.18E+09</w:t>
                  </w:r>
                </w:p>
              </w:tc>
              <w:tc>
                <w:tcPr>
                  <w:tcW w:w="628" w:type="dxa"/>
                  <w:vMerge w:val="continue"/>
                  <w:tcBorders>
                    <w:tl2br w:val="nil"/>
                    <w:tr2bl w:val="nil"/>
                  </w:tcBorders>
                  <w:vAlign w:val="center"/>
                </w:tcPr>
                <w:p w14:paraId="50132B8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p>
              </w:tc>
            </w:tr>
          </w:tbl>
          <w:p w14:paraId="3FA48DE9">
            <w:pPr>
              <w:keepNext w:val="0"/>
              <w:keepLines w:val="0"/>
              <w:suppressLineNumbers w:val="0"/>
              <w:bidi w:val="0"/>
              <w:spacing w:before="0" w:beforeAutospacing="0" w:after="0" w:afterAutospacing="0"/>
              <w:ind w:left="0" w:right="0"/>
              <w:jc w:val="both"/>
              <w:rPr>
                <w:rFonts w:hint="default" w:ascii="Times New Roman" w:hAnsi="Times New Roman" w:cs="Times New Roman"/>
                <w:b/>
                <w:bCs/>
                <w:color w:val="auto"/>
                <w:sz w:val="18"/>
                <w:szCs w:val="18"/>
                <w:highlight w:val="none"/>
                <w:lang w:val="en-US" w:eastAsia="zh-CN"/>
              </w:rPr>
            </w:pPr>
            <w:r>
              <w:rPr>
                <w:rFonts w:hint="default" w:ascii="Times New Roman" w:hAnsi="Times New Roman" w:cs="Times New Roman"/>
                <w:b/>
                <w:bCs/>
                <w:color w:val="auto"/>
                <w:sz w:val="18"/>
                <w:szCs w:val="18"/>
                <w:highlight w:val="none"/>
                <w:lang w:val="en-US" w:eastAsia="zh-CN"/>
              </w:rPr>
              <w:t>注：医疗机构使用</w:t>
            </w:r>
            <w:r>
              <w:rPr>
                <w:rFonts w:hint="default" w:ascii="Times New Roman" w:hAnsi="Times New Roman" w:cs="Times New Roman"/>
                <w:b/>
                <w:bCs/>
                <w:color w:val="auto"/>
                <w:sz w:val="18"/>
                <w:szCs w:val="18"/>
                <w:highlight w:val="none"/>
                <w:vertAlign w:val="superscript"/>
                <w:lang w:val="en-US" w:eastAsia="zh-CN"/>
              </w:rPr>
              <w:t>99m</w:t>
            </w:r>
            <w:r>
              <w:rPr>
                <w:rFonts w:hint="default" w:ascii="Times New Roman" w:hAnsi="Times New Roman" w:cs="Times New Roman"/>
                <w:b/>
                <w:bCs/>
                <w:color w:val="auto"/>
                <w:sz w:val="18"/>
                <w:szCs w:val="18"/>
                <w:highlight w:val="none"/>
                <w:lang w:val="en-US" w:eastAsia="zh-CN"/>
              </w:rPr>
              <w:t>Tc相关活动视为“很简单的操作”，使用</w:t>
            </w:r>
            <w:r>
              <w:rPr>
                <w:rFonts w:hint="eastAsia" w:cs="Times New Roman"/>
                <w:b/>
                <w:bCs/>
                <w:color w:val="auto"/>
                <w:sz w:val="18"/>
                <w:szCs w:val="18"/>
                <w:highlight w:val="none"/>
                <w:vertAlign w:val="superscript"/>
                <w:lang w:val="en-US" w:eastAsia="zh-CN"/>
              </w:rPr>
              <w:t>131</w:t>
            </w:r>
            <w:r>
              <w:rPr>
                <w:rFonts w:hint="default" w:ascii="Times New Roman" w:hAnsi="Times New Roman" w:cs="Times New Roman"/>
                <w:b/>
                <w:bCs/>
                <w:color w:val="auto"/>
                <w:sz w:val="18"/>
                <w:szCs w:val="18"/>
                <w:highlight w:val="none"/>
                <w:lang w:val="en-US" w:eastAsia="zh-CN"/>
              </w:rPr>
              <w:t>I核素相关活动视为“简单操作”。</w:t>
            </w:r>
          </w:p>
          <w:p w14:paraId="410AA0C9">
            <w:pPr>
              <w:keepNext w:val="0"/>
              <w:keepLines w:val="0"/>
              <w:suppressLineNumbers w:val="0"/>
              <w:autoSpaceDE w:val="0"/>
              <w:autoSpaceDN w:val="0"/>
              <w:bidi w:val="0"/>
              <w:spacing w:before="0" w:beforeAutospacing="0" w:after="0" w:afterAutospacing="0"/>
              <w:ind w:left="0" w:right="0" w:firstLine="482" w:firstLineChars="200"/>
              <w:jc w:val="center"/>
              <w:rPr>
                <w:rFonts w:hint="default" w:ascii="Times New Roman" w:hAnsi="Times New Roman" w:eastAsia="宋体" w:cs="Times New Roman"/>
                <w:b/>
                <w:bCs/>
                <w:color w:val="auto"/>
                <w:kern w:val="0"/>
                <w:sz w:val="24"/>
                <w:szCs w:val="24"/>
                <w:highlight w:val="none"/>
                <w:lang w:val="en-US" w:eastAsia="zh-CN"/>
              </w:rPr>
            </w:pPr>
          </w:p>
          <w:p w14:paraId="32E58085">
            <w:pPr>
              <w:keepNext w:val="0"/>
              <w:keepLines w:val="0"/>
              <w:suppressLineNumbers w:val="0"/>
              <w:autoSpaceDE w:val="0"/>
              <w:autoSpaceDN w:val="0"/>
              <w:bidi w:val="0"/>
              <w:spacing w:before="0" w:beforeAutospacing="0" w:after="0" w:afterAutospacing="0"/>
              <w:ind w:left="0" w:right="0" w:firstLine="482" w:firstLineChars="200"/>
              <w:jc w:val="center"/>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表1-</w:t>
            </w:r>
            <w:r>
              <w:rPr>
                <w:rFonts w:hint="eastAsia" w:cs="Times New Roman"/>
                <w:b/>
                <w:bCs/>
                <w:color w:val="auto"/>
                <w:kern w:val="0"/>
                <w:sz w:val="24"/>
                <w:szCs w:val="24"/>
                <w:highlight w:val="none"/>
                <w:lang w:val="en-US" w:eastAsia="zh-CN"/>
              </w:rPr>
              <w:t>5</w:t>
            </w:r>
            <w:r>
              <w:rPr>
                <w:rFonts w:hint="default" w:ascii="Times New Roman" w:hAnsi="Times New Roman" w:eastAsia="宋体" w:cs="Times New Roman"/>
                <w:b/>
                <w:bCs/>
                <w:color w:val="auto"/>
                <w:kern w:val="0"/>
                <w:sz w:val="24"/>
                <w:szCs w:val="24"/>
                <w:highlight w:val="none"/>
                <w:lang w:val="en-US" w:eastAsia="zh-CN"/>
              </w:rPr>
              <w:t xml:space="preserve">  </w:t>
            </w:r>
            <w:r>
              <w:rPr>
                <w:rFonts w:hint="default" w:ascii="Times New Roman" w:hAnsi="Times New Roman" w:eastAsia="宋体" w:cs="Times New Roman"/>
                <w:b/>
                <w:bCs/>
                <w:color w:val="auto"/>
                <w:kern w:val="0"/>
                <w:sz w:val="24"/>
                <w:szCs w:val="24"/>
                <w:highlight w:val="none"/>
                <w:lang w:val="en-US" w:eastAsia="en-US"/>
              </w:rPr>
              <w:t>核医学楼三层核素治疗区</w:t>
            </w:r>
            <w:r>
              <w:rPr>
                <w:rFonts w:hint="default" w:ascii="Times New Roman" w:hAnsi="Times New Roman" w:eastAsia="宋体" w:cs="Times New Roman"/>
                <w:b/>
                <w:bCs/>
                <w:color w:val="auto"/>
                <w:kern w:val="0"/>
                <w:sz w:val="24"/>
                <w:szCs w:val="24"/>
                <w:highlight w:val="none"/>
                <w:lang w:val="en-US" w:eastAsia="zh-CN"/>
              </w:rPr>
              <w:t>分级情况</w:t>
            </w:r>
            <w:r>
              <w:rPr>
                <w:rFonts w:hint="eastAsia" w:ascii="Times New Roman" w:hAnsi="Times New Roman" w:eastAsia="宋体" w:cs="Times New Roman"/>
                <w:b/>
                <w:bCs/>
                <w:color w:val="auto"/>
                <w:kern w:val="0"/>
                <w:sz w:val="24"/>
                <w:szCs w:val="24"/>
                <w:highlight w:val="none"/>
                <w:lang w:val="en-US" w:eastAsia="zh-CN"/>
              </w:rPr>
              <w:t>（调整）</w:t>
            </w:r>
          </w:p>
          <w:tbl>
            <w:tblPr>
              <w:tblStyle w:val="30"/>
              <w:tblW w:w="903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39"/>
              <w:gridCol w:w="1219"/>
              <w:gridCol w:w="1015"/>
              <w:gridCol w:w="971"/>
              <w:gridCol w:w="951"/>
              <w:gridCol w:w="797"/>
              <w:gridCol w:w="975"/>
              <w:gridCol w:w="619"/>
            </w:tblGrid>
            <w:tr w14:paraId="7B84AD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149" w:type="dxa"/>
                  <w:tcBorders>
                    <w:tl2br w:val="nil"/>
                    <w:tr2bl w:val="nil"/>
                  </w:tcBorders>
                  <w:vAlign w:val="center"/>
                </w:tcPr>
                <w:p w14:paraId="72CB47C5">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操作场所</w:t>
                  </w:r>
                </w:p>
              </w:tc>
              <w:tc>
                <w:tcPr>
                  <w:tcW w:w="1339" w:type="dxa"/>
                  <w:tcBorders>
                    <w:tl2br w:val="nil"/>
                    <w:tr2bl w:val="nil"/>
                  </w:tcBorders>
                  <w:vAlign w:val="center"/>
                </w:tcPr>
                <w:p w14:paraId="66BB7B1D">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核素名称</w:t>
                  </w:r>
                </w:p>
              </w:tc>
              <w:tc>
                <w:tcPr>
                  <w:tcW w:w="1219" w:type="dxa"/>
                  <w:tcBorders>
                    <w:tl2br w:val="nil"/>
                    <w:tr2bl w:val="nil"/>
                  </w:tcBorders>
                  <w:vAlign w:val="center"/>
                </w:tcPr>
                <w:p w14:paraId="675E7E8B">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实际日最大操作量</w:t>
                  </w:r>
                </w:p>
                <w:p w14:paraId="672B364C">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（Bq）</w:t>
                  </w:r>
                </w:p>
              </w:tc>
              <w:tc>
                <w:tcPr>
                  <w:tcW w:w="1015" w:type="dxa"/>
                  <w:tcBorders>
                    <w:tl2br w:val="nil"/>
                    <w:tr2bl w:val="nil"/>
                  </w:tcBorders>
                  <w:vAlign w:val="center"/>
                </w:tcPr>
                <w:p w14:paraId="5E939DB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毒性组别</w:t>
                  </w:r>
                </w:p>
              </w:tc>
              <w:tc>
                <w:tcPr>
                  <w:tcW w:w="971" w:type="dxa"/>
                  <w:tcBorders>
                    <w:tl2br w:val="nil"/>
                    <w:tr2bl w:val="nil"/>
                  </w:tcBorders>
                  <w:vAlign w:val="center"/>
                </w:tcPr>
                <w:p w14:paraId="66B58D1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毒性组别修正因子</w:t>
                  </w:r>
                </w:p>
              </w:tc>
              <w:tc>
                <w:tcPr>
                  <w:tcW w:w="951" w:type="dxa"/>
                  <w:tcBorders>
                    <w:tl2br w:val="nil"/>
                    <w:tr2bl w:val="nil"/>
                  </w:tcBorders>
                  <w:vAlign w:val="center"/>
                </w:tcPr>
                <w:p w14:paraId="7EF0C73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操作方式</w:t>
                  </w:r>
                </w:p>
              </w:tc>
              <w:tc>
                <w:tcPr>
                  <w:tcW w:w="797" w:type="dxa"/>
                  <w:tcBorders>
                    <w:tl2br w:val="nil"/>
                    <w:tr2bl w:val="nil"/>
                  </w:tcBorders>
                  <w:vAlign w:val="center"/>
                </w:tcPr>
                <w:p w14:paraId="5868F6C5">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操作方式修正因子</w:t>
                  </w:r>
                </w:p>
              </w:tc>
              <w:tc>
                <w:tcPr>
                  <w:tcW w:w="975" w:type="dxa"/>
                  <w:tcBorders>
                    <w:tl2br w:val="nil"/>
                    <w:tr2bl w:val="nil"/>
                  </w:tcBorders>
                  <w:vAlign w:val="center"/>
                </w:tcPr>
                <w:p w14:paraId="2AD2E6E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日等效（Bq）</w:t>
                  </w:r>
                </w:p>
              </w:tc>
              <w:tc>
                <w:tcPr>
                  <w:tcW w:w="619" w:type="dxa"/>
                  <w:tcBorders>
                    <w:tl2br w:val="nil"/>
                    <w:tr2bl w:val="nil"/>
                  </w:tcBorders>
                  <w:vAlign w:val="center"/>
                </w:tcPr>
                <w:p w14:paraId="54B2863C">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分级</w:t>
                  </w:r>
                </w:p>
              </w:tc>
            </w:tr>
            <w:tr w14:paraId="5A3109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49" w:type="dxa"/>
                  <w:vMerge w:val="restart"/>
                  <w:tcBorders>
                    <w:tl2br w:val="nil"/>
                    <w:tr2bl w:val="nil"/>
                  </w:tcBorders>
                  <w:vAlign w:val="center"/>
                </w:tcPr>
                <w:p w14:paraId="35B29E41">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en-US" w:bidi="ar-SA"/>
                    </w:rPr>
                    <w:t>核医学楼三层核素治疗区</w:t>
                  </w:r>
                </w:p>
              </w:tc>
              <w:tc>
                <w:tcPr>
                  <w:tcW w:w="1339" w:type="dxa"/>
                  <w:tcBorders>
                    <w:tl2br w:val="nil"/>
                    <w:tr2bl w:val="nil"/>
                  </w:tcBorders>
                  <w:shd w:val="clear" w:color="auto" w:fill="auto"/>
                  <w:vAlign w:val="center"/>
                </w:tcPr>
                <w:p w14:paraId="55951142">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vertAlign w:val="baseline"/>
                      <w:lang w:val="en-US" w:eastAsia="zh-CN" w:bidi="ar-SA"/>
                    </w:rPr>
                    <w:t>I-131</w:t>
                  </w:r>
                  <w:r>
                    <w:rPr>
                      <w:rFonts w:hint="eastAsia" w:ascii="Times New Roman" w:hAnsi="Times New Roman" w:eastAsia="宋体" w:cs="Times New Roman"/>
                      <w:color w:val="auto"/>
                      <w:kern w:val="0"/>
                      <w:sz w:val="18"/>
                      <w:szCs w:val="18"/>
                      <w:highlight w:val="none"/>
                      <w:lang w:val="en-US" w:eastAsia="zh-CN" w:bidi="ar-SA"/>
                    </w:rPr>
                    <w:t>（胶囊）</w:t>
                  </w:r>
                </w:p>
              </w:tc>
              <w:tc>
                <w:tcPr>
                  <w:tcW w:w="1219" w:type="dxa"/>
                  <w:tcBorders>
                    <w:tl2br w:val="nil"/>
                    <w:tr2bl w:val="nil"/>
                  </w:tcBorders>
                  <w:shd w:val="clear" w:color="auto" w:fill="auto"/>
                  <w:vAlign w:val="center"/>
                </w:tcPr>
                <w:p w14:paraId="15ECF7F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9.44E+10</w:t>
                  </w:r>
                </w:p>
              </w:tc>
              <w:tc>
                <w:tcPr>
                  <w:tcW w:w="1015" w:type="dxa"/>
                  <w:tcBorders>
                    <w:tl2br w:val="nil"/>
                    <w:tr2bl w:val="nil"/>
                  </w:tcBorders>
                  <w:shd w:val="clear" w:color="auto" w:fill="auto"/>
                  <w:vAlign w:val="center"/>
                </w:tcPr>
                <w:p w14:paraId="32C8691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中毒</w:t>
                  </w:r>
                </w:p>
              </w:tc>
              <w:tc>
                <w:tcPr>
                  <w:tcW w:w="971" w:type="dxa"/>
                  <w:tcBorders>
                    <w:tl2br w:val="nil"/>
                    <w:tr2bl w:val="nil"/>
                  </w:tcBorders>
                  <w:shd w:val="clear" w:color="auto" w:fill="auto"/>
                  <w:vAlign w:val="center"/>
                </w:tcPr>
                <w:p w14:paraId="784E1001">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0.1</w:t>
                  </w:r>
                </w:p>
              </w:tc>
              <w:tc>
                <w:tcPr>
                  <w:tcW w:w="951" w:type="dxa"/>
                  <w:tcBorders>
                    <w:tl2br w:val="nil"/>
                    <w:tr2bl w:val="nil"/>
                  </w:tcBorders>
                  <w:shd w:val="clear" w:color="auto" w:fill="auto"/>
                  <w:vAlign w:val="center"/>
                </w:tcPr>
                <w:p w14:paraId="5B7E6B4E">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简单操作</w:t>
                  </w:r>
                </w:p>
              </w:tc>
              <w:tc>
                <w:tcPr>
                  <w:tcW w:w="797" w:type="dxa"/>
                  <w:tcBorders>
                    <w:tl2br w:val="nil"/>
                    <w:tr2bl w:val="nil"/>
                  </w:tcBorders>
                  <w:shd w:val="clear" w:color="auto" w:fill="auto"/>
                  <w:vAlign w:val="center"/>
                </w:tcPr>
                <w:p w14:paraId="10BFD641">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10</w:t>
                  </w:r>
                </w:p>
              </w:tc>
              <w:tc>
                <w:tcPr>
                  <w:tcW w:w="975" w:type="dxa"/>
                  <w:tcBorders>
                    <w:tl2br w:val="nil"/>
                    <w:tr2bl w:val="nil"/>
                  </w:tcBorders>
                  <w:shd w:val="clear" w:color="auto" w:fill="auto"/>
                  <w:vAlign w:val="center"/>
                </w:tcPr>
                <w:p w14:paraId="2985442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9.44E+08</w:t>
                  </w:r>
                </w:p>
              </w:tc>
              <w:tc>
                <w:tcPr>
                  <w:tcW w:w="619" w:type="dxa"/>
                  <w:vMerge w:val="restart"/>
                  <w:tcBorders>
                    <w:tl2br w:val="nil"/>
                    <w:tr2bl w:val="nil"/>
                  </w:tcBorders>
                  <w:vAlign w:val="center"/>
                </w:tcPr>
                <w:p w14:paraId="0C21CF3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乙级</w:t>
                  </w:r>
                </w:p>
              </w:tc>
            </w:tr>
            <w:tr w14:paraId="4B3868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tcBorders>
                    <w:tl2br w:val="nil"/>
                    <w:tr2bl w:val="nil"/>
                  </w:tcBorders>
                  <w:vAlign w:val="center"/>
                </w:tcPr>
                <w:p w14:paraId="5B59B702">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p>
              </w:tc>
              <w:tc>
                <w:tcPr>
                  <w:tcW w:w="1339" w:type="dxa"/>
                  <w:tcBorders>
                    <w:tl2br w:val="nil"/>
                    <w:tr2bl w:val="nil"/>
                  </w:tcBorders>
                  <w:shd w:val="clear" w:color="auto" w:fill="auto"/>
                  <w:vAlign w:val="center"/>
                </w:tcPr>
                <w:p w14:paraId="28387B52">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vertAlign w:val="baseline"/>
                      <w:lang w:val="en-US" w:eastAsia="zh-CN" w:bidi="ar-SA"/>
                    </w:rPr>
                    <w:t>Lu-177</w:t>
                  </w:r>
                </w:p>
              </w:tc>
              <w:tc>
                <w:tcPr>
                  <w:tcW w:w="1219" w:type="dxa"/>
                  <w:tcBorders>
                    <w:tl2br w:val="nil"/>
                    <w:tr2bl w:val="nil"/>
                  </w:tcBorders>
                  <w:shd w:val="clear" w:color="auto" w:fill="auto"/>
                  <w:vAlign w:val="center"/>
                </w:tcPr>
                <w:p w14:paraId="3A974725">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1.11E+10</w:t>
                  </w:r>
                </w:p>
              </w:tc>
              <w:tc>
                <w:tcPr>
                  <w:tcW w:w="1015" w:type="dxa"/>
                  <w:tcBorders>
                    <w:tl2br w:val="nil"/>
                    <w:tr2bl w:val="nil"/>
                  </w:tcBorders>
                  <w:shd w:val="clear" w:color="auto" w:fill="auto"/>
                  <w:vAlign w:val="center"/>
                </w:tcPr>
                <w:p w14:paraId="4E48C3BA">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中毒</w:t>
                  </w:r>
                </w:p>
              </w:tc>
              <w:tc>
                <w:tcPr>
                  <w:tcW w:w="971" w:type="dxa"/>
                  <w:tcBorders>
                    <w:tl2br w:val="nil"/>
                    <w:tr2bl w:val="nil"/>
                  </w:tcBorders>
                  <w:shd w:val="clear" w:color="auto" w:fill="auto"/>
                  <w:vAlign w:val="center"/>
                </w:tcPr>
                <w:p w14:paraId="2800F6D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0.1</w:t>
                  </w:r>
                </w:p>
              </w:tc>
              <w:tc>
                <w:tcPr>
                  <w:tcW w:w="951" w:type="dxa"/>
                  <w:tcBorders>
                    <w:tl2br w:val="nil"/>
                    <w:tr2bl w:val="nil"/>
                  </w:tcBorders>
                  <w:shd w:val="clear" w:color="auto" w:fill="auto"/>
                  <w:vAlign w:val="center"/>
                </w:tcPr>
                <w:p w14:paraId="3D5E43BE">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简单操作</w:t>
                  </w:r>
                </w:p>
              </w:tc>
              <w:tc>
                <w:tcPr>
                  <w:tcW w:w="797" w:type="dxa"/>
                  <w:tcBorders>
                    <w:tl2br w:val="nil"/>
                    <w:tr2bl w:val="nil"/>
                  </w:tcBorders>
                  <w:shd w:val="clear" w:color="auto" w:fill="auto"/>
                  <w:vAlign w:val="center"/>
                </w:tcPr>
                <w:p w14:paraId="75BAACF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1</w:t>
                  </w:r>
                </w:p>
              </w:tc>
              <w:tc>
                <w:tcPr>
                  <w:tcW w:w="975" w:type="dxa"/>
                  <w:tcBorders>
                    <w:tl2br w:val="nil"/>
                    <w:tr2bl w:val="nil"/>
                  </w:tcBorders>
                  <w:shd w:val="clear" w:color="auto" w:fill="auto"/>
                  <w:vAlign w:val="center"/>
                </w:tcPr>
                <w:p w14:paraId="27881D0A">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1.11E+09</w:t>
                  </w:r>
                </w:p>
              </w:tc>
              <w:tc>
                <w:tcPr>
                  <w:tcW w:w="619" w:type="dxa"/>
                  <w:vMerge w:val="continue"/>
                  <w:tcBorders>
                    <w:tl2br w:val="nil"/>
                    <w:tr2bl w:val="nil"/>
                  </w:tcBorders>
                  <w:vAlign w:val="center"/>
                </w:tcPr>
                <w:p w14:paraId="0594DFC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p>
              </w:tc>
            </w:tr>
            <w:tr w14:paraId="48D300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vAlign w:val="center"/>
                </w:tcPr>
                <w:p w14:paraId="0A46DD9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p>
              </w:tc>
              <w:tc>
                <w:tcPr>
                  <w:tcW w:w="0" w:type="auto"/>
                  <w:shd w:val="clear" w:color="auto" w:fill="auto"/>
                  <w:vAlign w:val="center"/>
                </w:tcPr>
                <w:p w14:paraId="7307B58B">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vertAlign w:val="baseline"/>
                      <w:lang w:val="en-US" w:eastAsia="zh-CN" w:bidi="ar-SA"/>
                    </w:rPr>
                    <w:t>Ra-223</w:t>
                  </w:r>
                </w:p>
              </w:tc>
              <w:tc>
                <w:tcPr>
                  <w:tcW w:w="0" w:type="auto"/>
                  <w:shd w:val="clear" w:color="auto" w:fill="auto"/>
                  <w:vAlign w:val="center"/>
                </w:tcPr>
                <w:p w14:paraId="15ACED8B">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5.50E+06</w:t>
                  </w:r>
                </w:p>
              </w:tc>
              <w:tc>
                <w:tcPr>
                  <w:tcW w:w="0" w:type="auto"/>
                  <w:shd w:val="clear" w:color="auto" w:fill="auto"/>
                  <w:vAlign w:val="center"/>
                </w:tcPr>
                <w:p w14:paraId="72D3C1CD">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极毒</w:t>
                  </w:r>
                </w:p>
              </w:tc>
              <w:tc>
                <w:tcPr>
                  <w:tcW w:w="0" w:type="auto"/>
                  <w:shd w:val="clear" w:color="auto" w:fill="auto"/>
                  <w:vAlign w:val="center"/>
                </w:tcPr>
                <w:p w14:paraId="198E3E85">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10</w:t>
                  </w:r>
                </w:p>
              </w:tc>
              <w:tc>
                <w:tcPr>
                  <w:tcW w:w="0" w:type="auto"/>
                  <w:shd w:val="clear" w:color="auto" w:fill="auto"/>
                  <w:vAlign w:val="center"/>
                </w:tcPr>
                <w:p w14:paraId="629FE8E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简单操作</w:t>
                  </w:r>
                </w:p>
              </w:tc>
              <w:tc>
                <w:tcPr>
                  <w:tcW w:w="797" w:type="dxa"/>
                  <w:shd w:val="clear" w:color="auto" w:fill="auto"/>
                  <w:vAlign w:val="center"/>
                </w:tcPr>
                <w:p w14:paraId="4D365254">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1</w:t>
                  </w:r>
                </w:p>
              </w:tc>
              <w:tc>
                <w:tcPr>
                  <w:tcW w:w="975" w:type="dxa"/>
                  <w:shd w:val="clear" w:color="auto" w:fill="auto"/>
                  <w:vAlign w:val="center"/>
                </w:tcPr>
                <w:p w14:paraId="69A1197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5.50E+07</w:t>
                  </w:r>
                </w:p>
              </w:tc>
              <w:tc>
                <w:tcPr>
                  <w:tcW w:w="619" w:type="dxa"/>
                  <w:vMerge w:val="continue"/>
                </w:tcPr>
                <w:p w14:paraId="49C4F05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p>
              </w:tc>
            </w:tr>
            <w:tr w14:paraId="174F6A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vAlign w:val="center"/>
                </w:tcPr>
                <w:p w14:paraId="536978D4">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p>
              </w:tc>
              <w:tc>
                <w:tcPr>
                  <w:tcW w:w="0" w:type="auto"/>
                  <w:shd w:val="clear" w:color="auto" w:fill="auto"/>
                  <w:vAlign w:val="center"/>
                </w:tcPr>
                <w:p w14:paraId="5169AAB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vertAlign w:val="baseline"/>
                      <w:lang w:val="en-US" w:eastAsia="zh-CN" w:bidi="ar-SA"/>
                    </w:rPr>
                    <w:t>Ac-225</w:t>
                  </w:r>
                </w:p>
              </w:tc>
              <w:tc>
                <w:tcPr>
                  <w:tcW w:w="0" w:type="auto"/>
                  <w:shd w:val="clear" w:color="auto" w:fill="auto"/>
                  <w:vAlign w:val="center"/>
                </w:tcPr>
                <w:p w14:paraId="4D4E75E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1.00E+07</w:t>
                  </w:r>
                </w:p>
              </w:tc>
              <w:tc>
                <w:tcPr>
                  <w:tcW w:w="0" w:type="auto"/>
                  <w:shd w:val="clear" w:color="auto" w:fill="auto"/>
                  <w:vAlign w:val="center"/>
                </w:tcPr>
                <w:p w14:paraId="2C3E2953">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极毒</w:t>
                  </w:r>
                </w:p>
              </w:tc>
              <w:tc>
                <w:tcPr>
                  <w:tcW w:w="0" w:type="auto"/>
                  <w:shd w:val="clear" w:color="auto" w:fill="auto"/>
                  <w:vAlign w:val="center"/>
                </w:tcPr>
                <w:p w14:paraId="19581449">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10</w:t>
                  </w:r>
                </w:p>
              </w:tc>
              <w:tc>
                <w:tcPr>
                  <w:tcW w:w="0" w:type="auto"/>
                  <w:shd w:val="clear" w:color="auto" w:fill="auto"/>
                  <w:vAlign w:val="center"/>
                </w:tcPr>
                <w:p w14:paraId="6462A94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简单操作</w:t>
                  </w:r>
                </w:p>
              </w:tc>
              <w:tc>
                <w:tcPr>
                  <w:tcW w:w="797" w:type="dxa"/>
                  <w:shd w:val="clear" w:color="auto" w:fill="auto"/>
                  <w:vAlign w:val="center"/>
                </w:tcPr>
                <w:p w14:paraId="562DCB4E">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bidi="ar-SA"/>
                    </w:rPr>
                  </w:pPr>
                  <w:r>
                    <w:rPr>
                      <w:rFonts w:hint="default" w:ascii="Times New Roman" w:hAnsi="Times New Roman" w:eastAsia="宋体" w:cs="Times New Roman"/>
                      <w:color w:val="auto"/>
                      <w:kern w:val="0"/>
                      <w:sz w:val="18"/>
                      <w:szCs w:val="18"/>
                      <w:highlight w:val="none"/>
                      <w:lang w:val="en-US" w:eastAsia="zh-CN" w:bidi="ar-SA"/>
                    </w:rPr>
                    <w:t>1</w:t>
                  </w:r>
                </w:p>
              </w:tc>
              <w:tc>
                <w:tcPr>
                  <w:tcW w:w="975" w:type="dxa"/>
                  <w:shd w:val="clear" w:color="auto" w:fill="auto"/>
                  <w:vAlign w:val="center"/>
                </w:tcPr>
                <w:p w14:paraId="2E67D5EA">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1.00E+08</w:t>
                  </w:r>
                </w:p>
              </w:tc>
              <w:tc>
                <w:tcPr>
                  <w:tcW w:w="619" w:type="dxa"/>
                  <w:vMerge w:val="continue"/>
                </w:tcPr>
                <w:p w14:paraId="2BE25DC9">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p>
              </w:tc>
            </w:tr>
            <w:tr w14:paraId="5E2383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7441" w:type="dxa"/>
                  <w:gridSpan w:val="7"/>
                  <w:vAlign w:val="center"/>
                </w:tcPr>
                <w:p w14:paraId="67210A01">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合计</w:t>
                  </w:r>
                </w:p>
              </w:tc>
              <w:tc>
                <w:tcPr>
                  <w:tcW w:w="975" w:type="dxa"/>
                  <w:shd w:val="clear" w:color="auto" w:fill="auto"/>
                  <w:vAlign w:val="center"/>
                </w:tcPr>
                <w:p w14:paraId="0C075944">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r>
                    <w:rPr>
                      <w:rFonts w:hint="eastAsia" w:cs="Times New Roman"/>
                      <w:color w:val="auto"/>
                      <w:kern w:val="0"/>
                      <w:sz w:val="18"/>
                      <w:szCs w:val="18"/>
                      <w:highlight w:val="none"/>
                      <w:lang w:val="en-US" w:eastAsia="zh-CN" w:bidi="ar-SA"/>
                    </w:rPr>
                    <w:t>2.21</w:t>
                  </w:r>
                  <w:r>
                    <w:rPr>
                      <w:rFonts w:hint="eastAsia" w:ascii="Times New Roman" w:hAnsi="Times New Roman" w:eastAsia="宋体" w:cs="Times New Roman"/>
                      <w:color w:val="auto"/>
                      <w:kern w:val="0"/>
                      <w:sz w:val="18"/>
                      <w:szCs w:val="18"/>
                      <w:highlight w:val="none"/>
                      <w:lang w:val="en-US" w:eastAsia="zh-CN" w:bidi="ar-SA"/>
                    </w:rPr>
                    <w:t>E+09</w:t>
                  </w:r>
                </w:p>
              </w:tc>
              <w:tc>
                <w:tcPr>
                  <w:tcW w:w="619" w:type="dxa"/>
                  <w:vMerge w:val="continue"/>
                </w:tcPr>
                <w:p w14:paraId="6E0EAF34">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p>
              </w:tc>
            </w:tr>
          </w:tbl>
          <w:p w14:paraId="7D5CDDA1">
            <w:pPr>
              <w:keepNext w:val="0"/>
              <w:keepLines w:val="0"/>
              <w:suppressLineNumbers w:val="0"/>
              <w:autoSpaceDE w:val="0"/>
              <w:autoSpaceDN w:val="0"/>
              <w:bidi w:val="0"/>
              <w:spacing w:before="0" w:beforeAutospacing="0" w:after="0" w:afterAutospacing="0"/>
              <w:ind w:left="0" w:right="0" w:firstLine="0" w:firstLineChars="0"/>
              <w:jc w:val="both"/>
              <w:rPr>
                <w:rFonts w:hint="default" w:ascii="Times New Roman" w:hAnsi="Times New Roman" w:eastAsia="宋体" w:cs="Times New Roman"/>
                <w:b/>
                <w:bCs/>
                <w:color w:val="auto"/>
                <w:kern w:val="0"/>
                <w:sz w:val="18"/>
                <w:szCs w:val="18"/>
                <w:highlight w:val="none"/>
                <w:lang w:val="en-US" w:eastAsia="zh-CN"/>
              </w:rPr>
            </w:pPr>
            <w:r>
              <w:rPr>
                <w:rFonts w:hint="default" w:ascii="Times New Roman" w:hAnsi="Times New Roman" w:eastAsia="宋体" w:cs="Times New Roman"/>
                <w:b/>
                <w:bCs/>
                <w:color w:val="auto"/>
                <w:kern w:val="0"/>
                <w:sz w:val="18"/>
                <w:szCs w:val="18"/>
                <w:highlight w:val="none"/>
                <w:lang w:val="en-US" w:eastAsia="zh-CN"/>
              </w:rPr>
              <w:t>注：医疗机构</w:t>
            </w:r>
            <w:r>
              <w:rPr>
                <w:rFonts w:hint="eastAsia" w:cs="Times New Roman"/>
                <w:b/>
                <w:bCs/>
                <w:color w:val="auto"/>
                <w:kern w:val="0"/>
                <w:sz w:val="18"/>
                <w:szCs w:val="18"/>
                <w:highlight w:val="none"/>
                <w:lang w:val="en-US" w:eastAsia="zh-CN"/>
              </w:rPr>
              <w:t>使用</w:t>
            </w:r>
            <w:r>
              <w:rPr>
                <w:rFonts w:hint="eastAsia" w:cs="Times New Roman"/>
                <w:b/>
                <w:bCs/>
                <w:color w:val="auto"/>
                <w:kern w:val="0"/>
                <w:sz w:val="18"/>
                <w:szCs w:val="18"/>
                <w:highlight w:val="none"/>
                <w:vertAlign w:val="superscript"/>
                <w:lang w:val="en-US" w:eastAsia="zh-CN"/>
              </w:rPr>
              <w:t>131</w:t>
            </w:r>
            <w:r>
              <w:rPr>
                <w:rFonts w:hint="default" w:ascii="Times New Roman" w:hAnsi="Times New Roman" w:eastAsia="宋体" w:cs="Times New Roman"/>
                <w:b/>
                <w:bCs/>
                <w:color w:val="auto"/>
                <w:kern w:val="0"/>
                <w:sz w:val="18"/>
                <w:szCs w:val="18"/>
                <w:highlight w:val="none"/>
                <w:lang w:val="en-US" w:eastAsia="zh-CN"/>
              </w:rPr>
              <w:t>I核素相关活动视为“简单操作”，</w:t>
            </w:r>
            <w:r>
              <w:rPr>
                <w:rFonts w:hint="eastAsia" w:cs="Times New Roman"/>
                <w:b/>
                <w:bCs/>
                <w:color w:val="auto"/>
                <w:kern w:val="0"/>
                <w:sz w:val="18"/>
                <w:szCs w:val="18"/>
                <w:highlight w:val="none"/>
                <w:vertAlign w:val="baseline"/>
                <w:lang w:val="en-US" w:eastAsia="zh-CN"/>
              </w:rPr>
              <w:t>I-131</w:t>
            </w:r>
            <w:r>
              <w:rPr>
                <w:rFonts w:hint="default" w:ascii="Times New Roman" w:hAnsi="Times New Roman" w:eastAsia="宋体" w:cs="Times New Roman"/>
                <w:b/>
                <w:bCs/>
                <w:color w:val="auto"/>
                <w:kern w:val="0"/>
                <w:sz w:val="18"/>
                <w:szCs w:val="18"/>
                <w:highlight w:val="none"/>
                <w:lang w:val="en-US" w:eastAsia="zh-CN"/>
              </w:rPr>
              <w:t>胶囊为表面污染水平较低的固体，操作方式修正因子取10。</w:t>
            </w:r>
          </w:p>
          <w:p w14:paraId="42137DAB">
            <w:pPr>
              <w:keepNext w:val="0"/>
              <w:keepLines w:val="0"/>
              <w:suppressLineNumbers w:val="0"/>
              <w:bidi w:val="0"/>
              <w:spacing w:before="0" w:beforeAutospacing="0" w:after="0" w:afterAutospacing="0"/>
              <w:ind w:left="0" w:right="0" w:firstLine="361" w:firstLineChars="200"/>
              <w:jc w:val="center"/>
              <w:rPr>
                <w:rFonts w:hint="default" w:ascii="Times New Roman" w:hAnsi="Times New Roman" w:cs="Times New Roman"/>
                <w:b/>
                <w:bCs/>
                <w:color w:val="auto"/>
                <w:sz w:val="18"/>
                <w:szCs w:val="18"/>
                <w:highlight w:val="none"/>
                <w:lang w:val="en-US" w:eastAsia="zh-CN"/>
              </w:rPr>
            </w:pPr>
          </w:p>
          <w:p w14:paraId="33658A23">
            <w:pPr>
              <w:keepNext w:val="0"/>
              <w:keepLines w:val="0"/>
              <w:suppressLineNumbers w:val="0"/>
              <w:autoSpaceDE w:val="0"/>
              <w:autoSpaceDN w:val="0"/>
              <w:bidi w:val="0"/>
              <w:spacing w:before="0" w:beforeAutospacing="0" w:after="0" w:afterAutospacing="0"/>
              <w:ind w:left="0" w:right="0" w:firstLine="482" w:firstLineChars="200"/>
              <w:jc w:val="center"/>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表1-</w:t>
            </w:r>
            <w:r>
              <w:rPr>
                <w:rFonts w:hint="eastAsia" w:ascii="Times New Roman" w:hAnsi="Times New Roman" w:eastAsia="宋体" w:cs="Times New Roman"/>
                <w:b/>
                <w:bCs/>
                <w:color w:val="auto"/>
                <w:kern w:val="0"/>
                <w:sz w:val="24"/>
                <w:szCs w:val="24"/>
                <w:highlight w:val="none"/>
                <w:lang w:val="en-US" w:eastAsia="zh-CN"/>
              </w:rPr>
              <w:t>6</w:t>
            </w:r>
            <w:r>
              <w:rPr>
                <w:rFonts w:hint="default" w:ascii="Times New Roman" w:hAnsi="Times New Roman" w:eastAsia="宋体" w:cs="Times New Roman"/>
                <w:b/>
                <w:bCs/>
                <w:color w:val="auto"/>
                <w:kern w:val="0"/>
                <w:sz w:val="24"/>
                <w:szCs w:val="24"/>
                <w:highlight w:val="none"/>
                <w:lang w:val="en-US" w:eastAsia="zh-CN"/>
              </w:rPr>
              <w:t xml:space="preserve">  </w:t>
            </w:r>
            <w:r>
              <w:rPr>
                <w:rFonts w:hint="default" w:ascii="Times New Roman" w:hAnsi="Times New Roman" w:eastAsia="宋体" w:cs="Times New Roman"/>
                <w:b/>
                <w:bCs/>
                <w:color w:val="auto"/>
                <w:kern w:val="0"/>
                <w:sz w:val="24"/>
                <w:szCs w:val="24"/>
                <w:highlight w:val="none"/>
                <w:lang w:val="en-US" w:eastAsia="en-US"/>
              </w:rPr>
              <w:t>核医学楼三层核素治疗区</w:t>
            </w:r>
            <w:r>
              <w:rPr>
                <w:rFonts w:hint="default" w:ascii="Times New Roman" w:hAnsi="Times New Roman" w:eastAsia="宋体" w:cs="Times New Roman"/>
                <w:b/>
                <w:bCs/>
                <w:color w:val="auto"/>
                <w:kern w:val="0"/>
                <w:sz w:val="24"/>
                <w:szCs w:val="24"/>
                <w:highlight w:val="none"/>
                <w:lang w:val="en-US" w:eastAsia="zh-CN"/>
              </w:rPr>
              <w:t>分级情况</w:t>
            </w:r>
            <w:r>
              <w:rPr>
                <w:rFonts w:hint="eastAsia" w:ascii="Times New Roman" w:hAnsi="Times New Roman" w:eastAsia="宋体" w:cs="Times New Roman"/>
                <w:b/>
                <w:bCs/>
                <w:color w:val="auto"/>
                <w:kern w:val="0"/>
                <w:sz w:val="24"/>
                <w:szCs w:val="24"/>
                <w:highlight w:val="none"/>
                <w:lang w:val="en-US" w:eastAsia="zh-CN"/>
              </w:rPr>
              <w:t>（最终）</w:t>
            </w:r>
          </w:p>
          <w:tbl>
            <w:tblPr>
              <w:tblStyle w:val="30"/>
              <w:tblW w:w="8997"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329"/>
              <w:gridCol w:w="2716"/>
              <w:gridCol w:w="1976"/>
              <w:gridCol w:w="1976"/>
            </w:tblGrid>
            <w:tr w14:paraId="1FC5EF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2329" w:type="dxa"/>
                  <w:tcBorders>
                    <w:tl2br w:val="nil"/>
                    <w:tr2bl w:val="nil"/>
                  </w:tcBorders>
                  <w:vAlign w:val="center"/>
                </w:tcPr>
                <w:p w14:paraId="6D163AA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操作场所</w:t>
                  </w:r>
                </w:p>
              </w:tc>
              <w:tc>
                <w:tcPr>
                  <w:tcW w:w="2716" w:type="dxa"/>
                  <w:tcBorders>
                    <w:tl2br w:val="nil"/>
                    <w:tr2bl w:val="nil"/>
                  </w:tcBorders>
                  <w:vAlign w:val="center"/>
                </w:tcPr>
                <w:p w14:paraId="5DD1CBD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核素名称</w:t>
                  </w:r>
                </w:p>
              </w:tc>
              <w:tc>
                <w:tcPr>
                  <w:tcW w:w="1976" w:type="dxa"/>
                  <w:tcBorders>
                    <w:tl2br w:val="nil"/>
                    <w:tr2bl w:val="nil"/>
                  </w:tcBorders>
                  <w:vAlign w:val="center"/>
                </w:tcPr>
                <w:p w14:paraId="166ADDA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日等效（Bq）</w:t>
                  </w:r>
                </w:p>
              </w:tc>
              <w:tc>
                <w:tcPr>
                  <w:tcW w:w="1976" w:type="dxa"/>
                  <w:tcBorders>
                    <w:tl2br w:val="nil"/>
                    <w:tr2bl w:val="nil"/>
                  </w:tcBorders>
                  <w:vAlign w:val="center"/>
                </w:tcPr>
                <w:p w14:paraId="65E846B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eastAsia" w:ascii="Times New Roman" w:hAnsi="Times New Roman" w:eastAsia="宋体" w:cs="Times New Roman"/>
                      <w:color w:val="auto"/>
                      <w:kern w:val="0"/>
                      <w:sz w:val="18"/>
                      <w:szCs w:val="18"/>
                      <w:highlight w:val="none"/>
                      <w:lang w:val="en-US" w:eastAsia="zh-CN"/>
                    </w:rPr>
                    <w:t>备注</w:t>
                  </w:r>
                </w:p>
              </w:tc>
            </w:tr>
            <w:tr w14:paraId="3A96C1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329" w:type="dxa"/>
                  <w:vMerge w:val="restart"/>
                  <w:tcBorders>
                    <w:tl2br w:val="nil"/>
                    <w:tr2bl w:val="nil"/>
                  </w:tcBorders>
                  <w:vAlign w:val="center"/>
                </w:tcPr>
                <w:p w14:paraId="24DD62D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核医学楼三层核素治疗区</w:t>
                  </w:r>
                </w:p>
              </w:tc>
              <w:tc>
                <w:tcPr>
                  <w:tcW w:w="2716" w:type="dxa"/>
                  <w:tcBorders>
                    <w:tl2br w:val="nil"/>
                    <w:tr2bl w:val="nil"/>
                  </w:tcBorders>
                  <w:shd w:val="clear" w:color="auto" w:fill="auto"/>
                  <w:vAlign w:val="center"/>
                </w:tcPr>
                <w:p w14:paraId="0312461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Sr-89</w:t>
                  </w:r>
                </w:p>
              </w:tc>
              <w:tc>
                <w:tcPr>
                  <w:tcW w:w="1976" w:type="dxa"/>
                  <w:tcBorders>
                    <w:tl2br w:val="nil"/>
                    <w:tr2bl w:val="nil"/>
                  </w:tcBorders>
                  <w:shd w:val="clear" w:color="auto" w:fill="auto"/>
                  <w:vAlign w:val="center"/>
                </w:tcPr>
                <w:p w14:paraId="2D25416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2.96E+07</w:t>
                  </w:r>
                </w:p>
              </w:tc>
              <w:tc>
                <w:tcPr>
                  <w:tcW w:w="1976" w:type="dxa"/>
                  <w:tcBorders>
                    <w:tl2br w:val="nil"/>
                    <w:tr2bl w:val="nil"/>
                  </w:tcBorders>
                  <w:shd w:val="clear" w:color="auto" w:fill="auto"/>
                  <w:vAlign w:val="center"/>
                </w:tcPr>
                <w:p w14:paraId="1D211D7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eastAsia" w:ascii="Times New Roman" w:hAnsi="Times New Roman" w:eastAsia="宋体" w:cs="Times New Roman"/>
                      <w:color w:val="auto"/>
                      <w:kern w:val="0"/>
                      <w:sz w:val="18"/>
                      <w:szCs w:val="18"/>
                      <w:highlight w:val="none"/>
                      <w:lang w:val="en-US" w:eastAsia="zh-CN"/>
                    </w:rPr>
                    <w:t>原许可</w:t>
                  </w:r>
                </w:p>
              </w:tc>
            </w:tr>
            <w:tr w14:paraId="690F15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329" w:type="dxa"/>
                  <w:vMerge w:val="continue"/>
                </w:tcPr>
                <w:p w14:paraId="359A341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2716" w:type="dxa"/>
                  <w:shd w:val="clear" w:color="auto" w:fill="auto"/>
                  <w:vAlign w:val="center"/>
                </w:tcPr>
                <w:p w14:paraId="3630D4E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vertAlign w:val="baseline"/>
                      <w:lang w:val="en-US" w:eastAsia="zh-CN"/>
                    </w:rPr>
                    <w:t>I-131</w:t>
                  </w:r>
                </w:p>
              </w:tc>
              <w:tc>
                <w:tcPr>
                  <w:tcW w:w="1976" w:type="dxa"/>
                  <w:shd w:val="clear" w:color="auto" w:fill="auto"/>
                  <w:vAlign w:val="center"/>
                </w:tcPr>
                <w:p w14:paraId="429D93F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9.44E+08</w:t>
                  </w:r>
                </w:p>
              </w:tc>
              <w:tc>
                <w:tcPr>
                  <w:tcW w:w="1976" w:type="dxa"/>
                  <w:shd w:val="clear" w:color="auto" w:fill="auto"/>
                  <w:vAlign w:val="center"/>
                </w:tcPr>
                <w:p w14:paraId="06380A6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eastAsia" w:ascii="Times New Roman" w:hAnsi="Times New Roman" w:eastAsia="宋体" w:cs="Times New Roman"/>
                      <w:color w:val="auto"/>
                      <w:kern w:val="0"/>
                      <w:sz w:val="18"/>
                      <w:szCs w:val="18"/>
                      <w:highlight w:val="none"/>
                      <w:lang w:val="en-US" w:eastAsia="zh-CN"/>
                    </w:rPr>
                    <w:t>新调整</w:t>
                  </w:r>
                </w:p>
              </w:tc>
            </w:tr>
            <w:tr w14:paraId="751BB2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329" w:type="dxa"/>
                  <w:vMerge w:val="continue"/>
                </w:tcPr>
                <w:p w14:paraId="02D29AA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2716" w:type="dxa"/>
                  <w:shd w:val="clear" w:color="auto" w:fill="auto"/>
                  <w:vAlign w:val="center"/>
                </w:tcPr>
                <w:p w14:paraId="7CFFC3F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vertAlign w:val="baseline"/>
                      <w:lang w:val="en-US" w:eastAsia="zh-CN"/>
                    </w:rPr>
                    <w:t>Lu-177</w:t>
                  </w:r>
                </w:p>
              </w:tc>
              <w:tc>
                <w:tcPr>
                  <w:tcW w:w="1976" w:type="dxa"/>
                  <w:shd w:val="clear" w:color="auto" w:fill="auto"/>
                  <w:vAlign w:val="center"/>
                </w:tcPr>
                <w:p w14:paraId="22FE92F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1.11E+09</w:t>
                  </w:r>
                </w:p>
              </w:tc>
              <w:tc>
                <w:tcPr>
                  <w:tcW w:w="1976" w:type="dxa"/>
                  <w:shd w:val="clear" w:color="auto" w:fill="auto"/>
                  <w:vAlign w:val="center"/>
                </w:tcPr>
                <w:p w14:paraId="161FABD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eastAsia" w:ascii="Times New Roman" w:hAnsi="Times New Roman" w:eastAsia="宋体" w:cs="Times New Roman"/>
                      <w:color w:val="auto"/>
                      <w:kern w:val="0"/>
                      <w:sz w:val="18"/>
                      <w:szCs w:val="18"/>
                      <w:highlight w:val="none"/>
                      <w:lang w:val="en-US" w:eastAsia="zh-CN"/>
                    </w:rPr>
                    <w:t>新调整</w:t>
                  </w:r>
                </w:p>
              </w:tc>
            </w:tr>
            <w:tr w14:paraId="6B9ECA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329" w:type="dxa"/>
                  <w:vMerge w:val="continue"/>
                </w:tcPr>
                <w:p w14:paraId="3A68D66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2716" w:type="dxa"/>
                  <w:shd w:val="clear" w:color="auto" w:fill="auto"/>
                  <w:vAlign w:val="center"/>
                </w:tcPr>
                <w:p w14:paraId="05A8159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vertAlign w:val="baseline"/>
                      <w:lang w:val="en-US" w:eastAsia="zh-CN"/>
                    </w:rPr>
                    <w:t>Ra-223</w:t>
                  </w:r>
                </w:p>
              </w:tc>
              <w:tc>
                <w:tcPr>
                  <w:tcW w:w="1976" w:type="dxa"/>
                  <w:shd w:val="clear" w:color="auto" w:fill="auto"/>
                  <w:vAlign w:val="center"/>
                </w:tcPr>
                <w:p w14:paraId="45547F0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5.50E+07</w:t>
                  </w:r>
                </w:p>
              </w:tc>
              <w:tc>
                <w:tcPr>
                  <w:tcW w:w="1976" w:type="dxa"/>
                  <w:shd w:val="clear" w:color="auto" w:fill="auto"/>
                  <w:vAlign w:val="center"/>
                </w:tcPr>
                <w:p w14:paraId="5192911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eastAsia" w:ascii="Times New Roman" w:hAnsi="Times New Roman" w:eastAsia="宋体" w:cs="Times New Roman"/>
                      <w:color w:val="auto"/>
                      <w:kern w:val="0"/>
                      <w:sz w:val="18"/>
                      <w:szCs w:val="18"/>
                      <w:highlight w:val="none"/>
                      <w:lang w:val="en-US" w:eastAsia="zh-CN"/>
                    </w:rPr>
                    <w:t>新调整</w:t>
                  </w:r>
                </w:p>
              </w:tc>
            </w:tr>
            <w:tr w14:paraId="058235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329" w:type="dxa"/>
                  <w:vMerge w:val="continue"/>
                </w:tcPr>
                <w:p w14:paraId="34EE5F6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2716" w:type="dxa"/>
                  <w:shd w:val="clear" w:color="auto" w:fill="auto"/>
                  <w:vAlign w:val="center"/>
                </w:tcPr>
                <w:p w14:paraId="6ABC89E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vertAlign w:val="baseline"/>
                      <w:lang w:val="en-US" w:eastAsia="zh-CN"/>
                    </w:rPr>
                    <w:t>Ac-225</w:t>
                  </w:r>
                </w:p>
              </w:tc>
              <w:tc>
                <w:tcPr>
                  <w:tcW w:w="1976" w:type="dxa"/>
                  <w:shd w:val="clear" w:color="auto" w:fill="auto"/>
                  <w:vAlign w:val="center"/>
                </w:tcPr>
                <w:p w14:paraId="0D95F22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1.00E+08</w:t>
                  </w:r>
                </w:p>
              </w:tc>
              <w:tc>
                <w:tcPr>
                  <w:tcW w:w="1976" w:type="dxa"/>
                  <w:vAlign w:val="center"/>
                </w:tcPr>
                <w:p w14:paraId="40318E9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eastAsia" w:ascii="Times New Roman" w:hAnsi="Times New Roman" w:eastAsia="宋体" w:cs="Times New Roman"/>
                      <w:color w:val="auto"/>
                      <w:kern w:val="0"/>
                      <w:sz w:val="18"/>
                      <w:szCs w:val="18"/>
                      <w:highlight w:val="none"/>
                      <w:lang w:val="en-US" w:eastAsia="zh-CN"/>
                    </w:rPr>
                    <w:t>新调整</w:t>
                  </w:r>
                </w:p>
              </w:tc>
            </w:tr>
            <w:tr w14:paraId="335C07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5045" w:type="dxa"/>
                  <w:gridSpan w:val="2"/>
                </w:tcPr>
                <w:p w14:paraId="006C713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eastAsia" w:cs="Times New Roman"/>
                      <w:color w:val="auto"/>
                      <w:kern w:val="0"/>
                      <w:sz w:val="18"/>
                      <w:szCs w:val="18"/>
                      <w:highlight w:val="none"/>
                      <w:lang w:val="en-US" w:eastAsia="zh-CN"/>
                    </w:rPr>
                    <w:t>合计</w:t>
                  </w:r>
                </w:p>
              </w:tc>
              <w:tc>
                <w:tcPr>
                  <w:tcW w:w="1976" w:type="dxa"/>
                  <w:shd w:val="clear" w:color="auto" w:fill="auto"/>
                  <w:vAlign w:val="center"/>
                </w:tcPr>
                <w:p w14:paraId="29A544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2.24E+09</w:t>
                  </w:r>
                </w:p>
              </w:tc>
              <w:tc>
                <w:tcPr>
                  <w:tcW w:w="1976" w:type="dxa"/>
                  <w:vAlign w:val="center"/>
                </w:tcPr>
                <w:p w14:paraId="38338B0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eastAsia" w:ascii="Times New Roman" w:hAnsi="Times New Roman" w:eastAsia="宋体" w:cs="Times New Roman"/>
                      <w:color w:val="auto"/>
                      <w:kern w:val="0"/>
                      <w:sz w:val="18"/>
                      <w:szCs w:val="18"/>
                      <w:highlight w:val="none"/>
                      <w:lang w:val="en-US" w:eastAsia="zh-CN"/>
                    </w:rPr>
                  </w:pPr>
                  <w:r>
                    <w:rPr>
                      <w:rFonts w:hint="eastAsia" w:ascii="Times New Roman" w:hAnsi="Times New Roman" w:eastAsia="宋体" w:cs="Times New Roman"/>
                      <w:color w:val="auto"/>
                      <w:kern w:val="0"/>
                      <w:sz w:val="18"/>
                      <w:szCs w:val="18"/>
                      <w:highlight w:val="none"/>
                      <w:lang w:val="en-US" w:eastAsia="zh-CN"/>
                    </w:rPr>
                    <w:t>乙级</w:t>
                  </w:r>
                </w:p>
              </w:tc>
            </w:tr>
          </w:tbl>
          <w:p w14:paraId="12AA0B74">
            <w:pPr>
              <w:keepNext w:val="0"/>
              <w:keepLines w:val="0"/>
              <w:suppressLineNumbers w:val="0"/>
              <w:bidi w:val="0"/>
              <w:spacing w:before="0" w:beforeAutospacing="0" w:after="0" w:afterAutospacing="0"/>
              <w:ind w:left="0" w:right="0" w:firstLine="361" w:firstLineChars="200"/>
              <w:jc w:val="center"/>
              <w:rPr>
                <w:rFonts w:hint="default" w:ascii="Times New Roman" w:hAnsi="Times New Roman" w:cs="Times New Roman"/>
                <w:b/>
                <w:bCs/>
                <w:color w:val="auto"/>
                <w:sz w:val="18"/>
                <w:szCs w:val="18"/>
                <w:highlight w:val="none"/>
                <w:lang w:val="en-US" w:eastAsia="zh-CN"/>
              </w:rPr>
            </w:pPr>
          </w:p>
          <w:p w14:paraId="67D9C13B">
            <w:pPr>
              <w:keepNext w:val="0"/>
              <w:keepLines w:val="0"/>
              <w:suppressLineNumbers w:val="0"/>
              <w:autoSpaceDE w:val="0"/>
              <w:autoSpaceDN w:val="0"/>
              <w:bidi w:val="0"/>
              <w:spacing w:before="0" w:beforeAutospacing="0" w:after="0" w:afterAutospacing="0"/>
              <w:ind w:left="0" w:right="0" w:firstLine="482" w:firstLineChars="200"/>
              <w:jc w:val="center"/>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表1-</w:t>
            </w:r>
            <w:r>
              <w:rPr>
                <w:rFonts w:hint="eastAsia" w:ascii="Times New Roman" w:hAnsi="Times New Roman" w:eastAsia="宋体" w:cs="Times New Roman"/>
                <w:b/>
                <w:bCs/>
                <w:color w:val="auto"/>
                <w:kern w:val="0"/>
                <w:sz w:val="24"/>
                <w:szCs w:val="24"/>
                <w:highlight w:val="none"/>
                <w:lang w:val="en-US" w:eastAsia="zh-CN"/>
              </w:rPr>
              <w:t>7</w:t>
            </w:r>
            <w:r>
              <w:rPr>
                <w:rFonts w:hint="default" w:ascii="Times New Roman" w:hAnsi="Times New Roman" w:eastAsia="宋体" w:cs="Times New Roman"/>
                <w:b/>
                <w:bCs/>
                <w:color w:val="auto"/>
                <w:kern w:val="0"/>
                <w:sz w:val="24"/>
                <w:szCs w:val="24"/>
                <w:highlight w:val="none"/>
                <w:lang w:val="en-US" w:eastAsia="zh-CN"/>
              </w:rPr>
              <w:t xml:space="preserve">  </w:t>
            </w:r>
            <w:r>
              <w:rPr>
                <w:rFonts w:hint="default" w:ascii="Times New Roman" w:hAnsi="Times New Roman" w:eastAsia="宋体" w:cs="Times New Roman"/>
                <w:b/>
                <w:bCs/>
                <w:color w:val="auto"/>
                <w:kern w:val="0"/>
                <w:sz w:val="24"/>
                <w:szCs w:val="24"/>
                <w:highlight w:val="none"/>
                <w:lang w:val="en-US" w:eastAsia="en-US"/>
              </w:rPr>
              <w:t>综合楼一层介入手术2室</w:t>
            </w:r>
            <w:r>
              <w:rPr>
                <w:rFonts w:hint="default" w:ascii="Times New Roman" w:hAnsi="Times New Roman" w:eastAsia="宋体" w:cs="Times New Roman"/>
                <w:b/>
                <w:bCs/>
                <w:color w:val="auto"/>
                <w:kern w:val="0"/>
                <w:sz w:val="24"/>
                <w:szCs w:val="24"/>
                <w:highlight w:val="none"/>
                <w:lang w:val="en-US" w:eastAsia="zh-CN"/>
              </w:rPr>
              <w:t>分级情况</w:t>
            </w:r>
          </w:p>
          <w:tbl>
            <w:tblPr>
              <w:tblStyle w:val="30"/>
              <w:tblW w:w="903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39"/>
              <w:gridCol w:w="1219"/>
              <w:gridCol w:w="1015"/>
              <w:gridCol w:w="971"/>
              <w:gridCol w:w="951"/>
              <w:gridCol w:w="797"/>
              <w:gridCol w:w="975"/>
              <w:gridCol w:w="619"/>
            </w:tblGrid>
            <w:tr w14:paraId="464E26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149" w:type="dxa"/>
                  <w:tcBorders>
                    <w:tl2br w:val="nil"/>
                    <w:tr2bl w:val="nil"/>
                  </w:tcBorders>
                  <w:vAlign w:val="center"/>
                </w:tcPr>
                <w:p w14:paraId="63B7C2A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操作场所</w:t>
                  </w:r>
                </w:p>
              </w:tc>
              <w:tc>
                <w:tcPr>
                  <w:tcW w:w="1339" w:type="dxa"/>
                  <w:tcBorders>
                    <w:tl2br w:val="nil"/>
                    <w:tr2bl w:val="nil"/>
                  </w:tcBorders>
                  <w:vAlign w:val="center"/>
                </w:tcPr>
                <w:p w14:paraId="0C70559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核素名称</w:t>
                  </w:r>
                </w:p>
              </w:tc>
              <w:tc>
                <w:tcPr>
                  <w:tcW w:w="1219" w:type="dxa"/>
                  <w:tcBorders>
                    <w:tl2br w:val="nil"/>
                    <w:tr2bl w:val="nil"/>
                  </w:tcBorders>
                  <w:vAlign w:val="center"/>
                </w:tcPr>
                <w:p w14:paraId="71C8269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实际日最大操作量</w:t>
                  </w:r>
                </w:p>
                <w:p w14:paraId="159BC18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（Bq）</w:t>
                  </w:r>
                </w:p>
              </w:tc>
              <w:tc>
                <w:tcPr>
                  <w:tcW w:w="1015" w:type="dxa"/>
                  <w:tcBorders>
                    <w:tl2br w:val="nil"/>
                    <w:tr2bl w:val="nil"/>
                  </w:tcBorders>
                  <w:vAlign w:val="center"/>
                </w:tcPr>
                <w:p w14:paraId="575AEA0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毒性组别</w:t>
                  </w:r>
                </w:p>
              </w:tc>
              <w:tc>
                <w:tcPr>
                  <w:tcW w:w="971" w:type="dxa"/>
                  <w:tcBorders>
                    <w:tl2br w:val="nil"/>
                    <w:tr2bl w:val="nil"/>
                  </w:tcBorders>
                  <w:vAlign w:val="center"/>
                </w:tcPr>
                <w:p w14:paraId="4A4A4B6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毒性组别修正因子</w:t>
                  </w:r>
                </w:p>
              </w:tc>
              <w:tc>
                <w:tcPr>
                  <w:tcW w:w="951" w:type="dxa"/>
                  <w:tcBorders>
                    <w:tl2br w:val="nil"/>
                    <w:tr2bl w:val="nil"/>
                  </w:tcBorders>
                  <w:vAlign w:val="center"/>
                </w:tcPr>
                <w:p w14:paraId="56A8050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操作方式</w:t>
                  </w:r>
                </w:p>
              </w:tc>
              <w:tc>
                <w:tcPr>
                  <w:tcW w:w="797" w:type="dxa"/>
                  <w:tcBorders>
                    <w:tl2br w:val="nil"/>
                    <w:tr2bl w:val="nil"/>
                  </w:tcBorders>
                  <w:vAlign w:val="center"/>
                </w:tcPr>
                <w:p w14:paraId="13C2222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操作方式修正因子</w:t>
                  </w:r>
                </w:p>
              </w:tc>
              <w:tc>
                <w:tcPr>
                  <w:tcW w:w="975" w:type="dxa"/>
                  <w:tcBorders>
                    <w:tl2br w:val="nil"/>
                    <w:tr2bl w:val="nil"/>
                  </w:tcBorders>
                  <w:vAlign w:val="center"/>
                </w:tcPr>
                <w:p w14:paraId="7A86725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日等效（Bq）</w:t>
                  </w:r>
                </w:p>
              </w:tc>
              <w:tc>
                <w:tcPr>
                  <w:tcW w:w="619" w:type="dxa"/>
                  <w:tcBorders>
                    <w:tl2br w:val="nil"/>
                    <w:tr2bl w:val="nil"/>
                  </w:tcBorders>
                  <w:vAlign w:val="center"/>
                </w:tcPr>
                <w:p w14:paraId="4B6B08D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分级</w:t>
                  </w:r>
                </w:p>
              </w:tc>
            </w:tr>
            <w:tr w14:paraId="14B3E9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49" w:type="dxa"/>
                  <w:vMerge w:val="restart"/>
                  <w:tcBorders>
                    <w:tl2br w:val="nil"/>
                    <w:tr2bl w:val="nil"/>
                  </w:tcBorders>
                  <w:vAlign w:val="center"/>
                </w:tcPr>
                <w:p w14:paraId="70315C3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en-US"/>
                    </w:rPr>
                    <w:t>综合楼一层介入手术2室</w:t>
                  </w:r>
                </w:p>
              </w:tc>
              <w:tc>
                <w:tcPr>
                  <w:tcW w:w="1339" w:type="dxa"/>
                  <w:tcBorders>
                    <w:tl2br w:val="nil"/>
                    <w:tr2bl w:val="nil"/>
                  </w:tcBorders>
                  <w:shd w:val="clear" w:color="auto" w:fill="auto"/>
                  <w:vAlign w:val="center"/>
                </w:tcPr>
                <w:p w14:paraId="6C80837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Y-90</w:t>
                  </w:r>
                </w:p>
              </w:tc>
              <w:tc>
                <w:tcPr>
                  <w:tcW w:w="1219" w:type="dxa"/>
                  <w:tcBorders>
                    <w:tl2br w:val="nil"/>
                    <w:tr2bl w:val="nil"/>
                  </w:tcBorders>
                  <w:shd w:val="clear" w:color="auto" w:fill="auto"/>
                  <w:vAlign w:val="center"/>
                </w:tcPr>
                <w:p w14:paraId="0580C82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2.50E+09</w:t>
                  </w:r>
                </w:p>
              </w:tc>
              <w:tc>
                <w:tcPr>
                  <w:tcW w:w="1015" w:type="dxa"/>
                  <w:tcBorders>
                    <w:tl2br w:val="nil"/>
                    <w:tr2bl w:val="nil"/>
                  </w:tcBorders>
                  <w:shd w:val="clear" w:color="auto" w:fill="auto"/>
                  <w:vAlign w:val="center"/>
                </w:tcPr>
                <w:p w14:paraId="6D53479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中毒</w:t>
                  </w:r>
                </w:p>
              </w:tc>
              <w:tc>
                <w:tcPr>
                  <w:tcW w:w="971" w:type="dxa"/>
                  <w:tcBorders>
                    <w:tl2br w:val="nil"/>
                    <w:tr2bl w:val="nil"/>
                  </w:tcBorders>
                  <w:shd w:val="clear" w:color="auto" w:fill="auto"/>
                  <w:vAlign w:val="center"/>
                </w:tcPr>
                <w:p w14:paraId="2864F2C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0.1</w:t>
                  </w:r>
                </w:p>
              </w:tc>
              <w:tc>
                <w:tcPr>
                  <w:tcW w:w="951" w:type="dxa"/>
                  <w:tcBorders>
                    <w:tl2br w:val="nil"/>
                    <w:tr2bl w:val="nil"/>
                  </w:tcBorders>
                  <w:shd w:val="clear" w:color="auto" w:fill="auto"/>
                  <w:vAlign w:val="center"/>
                </w:tcPr>
                <w:p w14:paraId="4EBB526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很简单操作</w:t>
                  </w:r>
                </w:p>
              </w:tc>
              <w:tc>
                <w:tcPr>
                  <w:tcW w:w="797" w:type="dxa"/>
                  <w:tcBorders>
                    <w:tl2br w:val="nil"/>
                    <w:tr2bl w:val="nil"/>
                  </w:tcBorders>
                  <w:shd w:val="clear" w:color="auto" w:fill="auto"/>
                  <w:vAlign w:val="center"/>
                </w:tcPr>
                <w:p w14:paraId="302DFE4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10</w:t>
                  </w:r>
                </w:p>
              </w:tc>
              <w:tc>
                <w:tcPr>
                  <w:tcW w:w="975" w:type="dxa"/>
                  <w:tcBorders>
                    <w:tl2br w:val="nil"/>
                    <w:tr2bl w:val="nil"/>
                  </w:tcBorders>
                  <w:shd w:val="clear" w:color="auto" w:fill="auto"/>
                  <w:vAlign w:val="center"/>
                </w:tcPr>
                <w:p w14:paraId="406B26E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2.50E+07</w:t>
                  </w:r>
                </w:p>
              </w:tc>
              <w:tc>
                <w:tcPr>
                  <w:tcW w:w="619" w:type="dxa"/>
                  <w:vMerge w:val="restart"/>
                  <w:tcBorders>
                    <w:tl2br w:val="nil"/>
                    <w:tr2bl w:val="nil"/>
                  </w:tcBorders>
                  <w:vAlign w:val="center"/>
                </w:tcPr>
                <w:p w14:paraId="348C085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乙级</w:t>
                  </w:r>
                </w:p>
              </w:tc>
            </w:tr>
            <w:tr w14:paraId="71BEAE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49" w:type="dxa"/>
                  <w:vMerge w:val="continue"/>
                  <w:tcBorders>
                    <w:tl2br w:val="nil"/>
                    <w:tr2bl w:val="nil"/>
                  </w:tcBorders>
                  <w:vAlign w:val="center"/>
                </w:tcPr>
                <w:p w14:paraId="7A1F5D2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p>
              </w:tc>
              <w:tc>
                <w:tcPr>
                  <w:tcW w:w="1339" w:type="dxa"/>
                  <w:tcBorders>
                    <w:tl2br w:val="nil"/>
                    <w:tr2bl w:val="nil"/>
                  </w:tcBorders>
                  <w:shd w:val="clear" w:color="auto" w:fill="auto"/>
                  <w:vAlign w:val="center"/>
                </w:tcPr>
                <w:p w14:paraId="1BD2925D">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Tc-99m</w:t>
                  </w:r>
                </w:p>
              </w:tc>
              <w:tc>
                <w:tcPr>
                  <w:tcW w:w="1219" w:type="dxa"/>
                  <w:tcBorders>
                    <w:tl2br w:val="nil"/>
                    <w:tr2bl w:val="nil"/>
                  </w:tcBorders>
                  <w:shd w:val="clear" w:color="auto" w:fill="auto"/>
                  <w:vAlign w:val="center"/>
                </w:tcPr>
                <w:p w14:paraId="526F23A2">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1.48E+08</w:t>
                  </w:r>
                </w:p>
              </w:tc>
              <w:tc>
                <w:tcPr>
                  <w:tcW w:w="1015" w:type="dxa"/>
                  <w:tcBorders>
                    <w:tl2br w:val="nil"/>
                    <w:tr2bl w:val="nil"/>
                  </w:tcBorders>
                  <w:shd w:val="clear" w:color="auto" w:fill="auto"/>
                  <w:vAlign w:val="center"/>
                </w:tcPr>
                <w:p w14:paraId="1DF194C3">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低毒</w:t>
                  </w:r>
                </w:p>
              </w:tc>
              <w:tc>
                <w:tcPr>
                  <w:tcW w:w="971" w:type="dxa"/>
                  <w:tcBorders>
                    <w:tl2br w:val="nil"/>
                    <w:tr2bl w:val="nil"/>
                  </w:tcBorders>
                  <w:shd w:val="clear" w:color="auto" w:fill="auto"/>
                  <w:vAlign w:val="center"/>
                </w:tcPr>
                <w:p w14:paraId="65F9BCAC">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0.01</w:t>
                  </w:r>
                </w:p>
              </w:tc>
              <w:tc>
                <w:tcPr>
                  <w:tcW w:w="951" w:type="dxa"/>
                  <w:tcBorders>
                    <w:tl2br w:val="nil"/>
                    <w:tr2bl w:val="nil"/>
                  </w:tcBorders>
                  <w:shd w:val="clear" w:color="auto" w:fill="auto"/>
                  <w:vAlign w:val="center"/>
                </w:tcPr>
                <w:p w14:paraId="30A9AD99">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很简单操作</w:t>
                  </w:r>
                </w:p>
              </w:tc>
              <w:tc>
                <w:tcPr>
                  <w:tcW w:w="797" w:type="dxa"/>
                  <w:tcBorders>
                    <w:tl2br w:val="nil"/>
                    <w:tr2bl w:val="nil"/>
                  </w:tcBorders>
                  <w:shd w:val="clear" w:color="auto" w:fill="auto"/>
                  <w:vAlign w:val="center"/>
                </w:tcPr>
                <w:p w14:paraId="6BE0201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8"/>
                      <w:szCs w:val="18"/>
                      <w:highlight w:val="none"/>
                      <w:lang w:val="en-US" w:eastAsia="zh-CN" w:bidi="ar-SA"/>
                    </w:rPr>
                    <w:t>10</w:t>
                  </w:r>
                </w:p>
              </w:tc>
              <w:tc>
                <w:tcPr>
                  <w:tcW w:w="975" w:type="dxa"/>
                  <w:tcBorders>
                    <w:tl2br w:val="nil"/>
                    <w:tr2bl w:val="nil"/>
                  </w:tcBorders>
                  <w:shd w:val="clear" w:color="auto" w:fill="auto"/>
                  <w:vAlign w:val="center"/>
                </w:tcPr>
                <w:p w14:paraId="2D9316D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1.48E+05</w:t>
                  </w:r>
                </w:p>
              </w:tc>
              <w:tc>
                <w:tcPr>
                  <w:tcW w:w="619" w:type="dxa"/>
                  <w:vMerge w:val="continue"/>
                  <w:tcBorders>
                    <w:tl2br w:val="nil"/>
                    <w:tr2bl w:val="nil"/>
                  </w:tcBorders>
                  <w:vAlign w:val="center"/>
                </w:tcPr>
                <w:p w14:paraId="659A570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p>
              </w:tc>
            </w:tr>
            <w:tr w14:paraId="25C58F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7441" w:type="dxa"/>
                  <w:gridSpan w:val="7"/>
                  <w:tcBorders>
                    <w:tl2br w:val="nil"/>
                    <w:tr2bl w:val="nil"/>
                  </w:tcBorders>
                  <w:vAlign w:val="center"/>
                </w:tcPr>
                <w:p w14:paraId="29C9C001">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bidi="ar-SA"/>
                    </w:rPr>
                  </w:pPr>
                </w:p>
              </w:tc>
              <w:tc>
                <w:tcPr>
                  <w:tcW w:w="975" w:type="dxa"/>
                  <w:tcBorders>
                    <w:tl2br w:val="nil"/>
                    <w:tr2bl w:val="nil"/>
                  </w:tcBorders>
                  <w:shd w:val="clear" w:color="auto" w:fill="auto"/>
                  <w:vAlign w:val="center"/>
                </w:tcPr>
                <w:p w14:paraId="42CB7FCA">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eastAsia" w:ascii="Times New Roman" w:hAnsi="Times New Roman" w:eastAsia="宋体" w:cs="Times New Roman"/>
                      <w:color w:val="auto"/>
                      <w:kern w:val="0"/>
                      <w:sz w:val="18"/>
                      <w:szCs w:val="18"/>
                      <w:highlight w:val="none"/>
                      <w:lang w:val="en-US" w:eastAsia="zh-CN" w:bidi="ar-SA"/>
                    </w:rPr>
                  </w:pPr>
                  <w:r>
                    <w:rPr>
                      <w:rFonts w:hint="eastAsia" w:ascii="Times New Roman" w:hAnsi="Times New Roman" w:eastAsia="宋体" w:cs="Times New Roman"/>
                      <w:color w:val="auto"/>
                      <w:kern w:val="0"/>
                      <w:sz w:val="18"/>
                      <w:szCs w:val="18"/>
                      <w:highlight w:val="none"/>
                      <w:lang w:val="en-US" w:eastAsia="zh-CN" w:bidi="ar-SA"/>
                    </w:rPr>
                    <w:t>2.51E+07</w:t>
                  </w:r>
                </w:p>
              </w:tc>
              <w:tc>
                <w:tcPr>
                  <w:tcW w:w="619" w:type="dxa"/>
                  <w:vMerge w:val="continue"/>
                  <w:tcBorders>
                    <w:tl2br w:val="nil"/>
                    <w:tr2bl w:val="nil"/>
                  </w:tcBorders>
                  <w:vAlign w:val="center"/>
                </w:tcPr>
                <w:p w14:paraId="6D46ABA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zh-CN"/>
                    </w:rPr>
                  </w:pPr>
                </w:p>
              </w:tc>
            </w:tr>
          </w:tbl>
          <w:p w14:paraId="04BB5F8F">
            <w:pPr>
              <w:keepNext w:val="0"/>
              <w:keepLines w:val="0"/>
              <w:suppressLineNumbers w:val="0"/>
              <w:bidi w:val="0"/>
              <w:spacing w:before="0" w:beforeAutospacing="0" w:after="0" w:afterAutospacing="0"/>
              <w:ind w:left="0" w:right="0"/>
              <w:jc w:val="both"/>
              <w:rPr>
                <w:rFonts w:hint="default" w:ascii="Times New Roman" w:hAnsi="Times New Roman" w:cs="Times New Roman"/>
                <w:b/>
                <w:bCs/>
                <w:i w:val="0"/>
                <w:iCs w:val="0"/>
                <w:color w:val="auto"/>
                <w:sz w:val="18"/>
                <w:szCs w:val="18"/>
                <w:highlight w:val="none"/>
                <w:lang w:val="en-US" w:eastAsia="zh-CN"/>
              </w:rPr>
            </w:pPr>
            <w:r>
              <w:rPr>
                <w:rFonts w:hint="default" w:ascii="Times New Roman" w:hAnsi="Times New Roman" w:cs="Times New Roman"/>
                <w:b/>
                <w:bCs/>
                <w:i w:val="0"/>
                <w:iCs w:val="0"/>
                <w:color w:val="auto"/>
                <w:sz w:val="18"/>
                <w:szCs w:val="18"/>
                <w:highlight w:val="none"/>
                <w:lang w:val="en-US" w:eastAsia="zh-CN"/>
              </w:rPr>
              <w:t xml:space="preserve">注：根据《钇-90 树脂微球使用过程辐射安全风险研究报告》（生态环境部核与辐射安全中心）：可将医疗机构 </w:t>
            </w:r>
            <w:r>
              <w:rPr>
                <w:rFonts w:hint="default" w:ascii="Times New Roman" w:hAnsi="Times New Roman" w:cs="Times New Roman"/>
                <w:b/>
                <w:bCs/>
                <w:i w:val="0"/>
                <w:iCs w:val="0"/>
                <w:color w:val="auto"/>
                <w:sz w:val="18"/>
                <w:szCs w:val="18"/>
                <w:highlight w:val="none"/>
                <w:vertAlign w:val="superscript"/>
                <w:lang w:val="en-US" w:eastAsia="zh-CN"/>
              </w:rPr>
              <w:t>90</w:t>
            </w:r>
            <w:r>
              <w:rPr>
                <w:rFonts w:hint="default" w:ascii="Times New Roman" w:hAnsi="Times New Roman" w:cs="Times New Roman"/>
                <w:b/>
                <w:bCs/>
                <w:i w:val="0"/>
                <w:iCs w:val="0"/>
                <w:color w:val="auto"/>
                <w:sz w:val="18"/>
                <w:szCs w:val="18"/>
                <w:highlight w:val="none"/>
                <w:lang w:val="en-US" w:eastAsia="zh-CN"/>
              </w:rPr>
              <w:t>Y 核素介入治疗过程中，活度测量、抽取与注射相关活动视为“很简单的操作”。</w:t>
            </w:r>
          </w:p>
          <w:p w14:paraId="343B6BB8">
            <w:pPr>
              <w:pStyle w:val="12"/>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p>
          <w:p w14:paraId="01FE1CFD">
            <w:pPr>
              <w:pStyle w:val="12"/>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4"/>
                <w:highlight w:val="none"/>
              </w:rPr>
              <w:t>根据《</w:t>
            </w:r>
            <w:r>
              <w:rPr>
                <w:rFonts w:hint="default" w:ascii="Times New Roman" w:hAnsi="Times New Roman" w:cs="Times New Roman"/>
                <w:color w:val="auto"/>
                <w:sz w:val="24"/>
                <w:szCs w:val="24"/>
                <w:highlight w:val="none"/>
                <w:lang w:eastAsia="zh-CN"/>
              </w:rPr>
              <w:t>中华人民共和国生态环境法典</w:t>
            </w:r>
            <w:r>
              <w:rPr>
                <w:rFonts w:hint="default" w:ascii="Times New Roman" w:hAnsi="Times New Roman" w:eastAsia="宋体" w:cs="Times New Roman"/>
                <w:color w:val="auto"/>
                <w:sz w:val="24"/>
                <w:szCs w:val="24"/>
                <w:highlight w:val="none"/>
              </w:rPr>
              <w:t>》、《建设项目环境影响评价分类管理名录（2021年版）》可知，本项目属于“五十五、核与辐射”中“172核技术利用建设项目”，项目应进行辐射环境影响评价并编制辐射环境影响报告表。为此医院于202</w:t>
            </w:r>
            <w:r>
              <w:rPr>
                <w:rFonts w:hint="default" w:ascii="Times New Roman" w:hAnsi="Times New Roman"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年</w:t>
            </w:r>
            <w:r>
              <w:rPr>
                <w:rFonts w:hint="default" w:ascii="Times New Roman" w:hAnsi="Times New Roman"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rPr>
              <w:t>月正式委托乌鲁木齐星辰汇峰环保科技有限公司进行辐射环境影响评价。</w:t>
            </w:r>
            <w:r>
              <w:rPr>
                <w:rStyle w:val="57"/>
                <w:rFonts w:hint="default" w:ascii="Times New Roman" w:hAnsi="Times New Roman" w:eastAsia="宋体" w:cs="Times New Roman"/>
                <w:color w:val="auto"/>
                <w:sz w:val="24"/>
                <w:szCs w:val="21"/>
                <w:highlight w:val="none"/>
              </w:rPr>
              <w:t xml:space="preserve">接受委托后，乌鲁木齐星辰汇峰环保科技有限公司立即组织有关技术人员开展了收集、查阅资料等工作，按照《辐射环境保护管理导则 核技术利用建设项目 </w:t>
            </w:r>
            <w:bookmarkStart w:id="2" w:name="OLE_LINK1"/>
            <w:r>
              <w:rPr>
                <w:rStyle w:val="57"/>
                <w:rFonts w:hint="default" w:ascii="Times New Roman" w:hAnsi="Times New Roman" w:eastAsia="宋体" w:cs="Times New Roman"/>
                <w:color w:val="auto"/>
                <w:sz w:val="24"/>
                <w:szCs w:val="21"/>
                <w:highlight w:val="none"/>
              </w:rPr>
              <w:t>环境影响评价文件的内容和格式</w:t>
            </w:r>
            <w:bookmarkEnd w:id="2"/>
            <w:r>
              <w:rPr>
                <w:rStyle w:val="57"/>
                <w:rFonts w:hint="default" w:ascii="Times New Roman" w:hAnsi="Times New Roman" w:eastAsia="宋体" w:cs="Times New Roman"/>
                <w:color w:val="auto"/>
                <w:sz w:val="24"/>
                <w:szCs w:val="21"/>
                <w:highlight w:val="none"/>
              </w:rPr>
              <w:t>》（HJ 10.1-2016）的基本要求，编制了《</w:t>
            </w:r>
            <w:r>
              <w:rPr>
                <w:rFonts w:hint="eastAsia" w:cs="Times New Roman"/>
                <w:color w:val="auto"/>
                <w:sz w:val="24"/>
                <w:szCs w:val="24"/>
                <w:highlight w:val="none"/>
                <w:lang w:eastAsia="zh-CN"/>
              </w:rPr>
              <w:t>新疆医科大学附属肿瘤医院非密封放射性物质工作场所扩增项目</w:t>
            </w:r>
            <w:r>
              <w:rPr>
                <w:rStyle w:val="57"/>
                <w:rFonts w:hint="default" w:ascii="Times New Roman" w:hAnsi="Times New Roman" w:eastAsia="宋体" w:cs="Times New Roman"/>
                <w:color w:val="auto"/>
                <w:sz w:val="24"/>
                <w:szCs w:val="21"/>
                <w:highlight w:val="none"/>
              </w:rPr>
              <w:t>环境影响报告表》</w:t>
            </w:r>
            <w:r>
              <w:rPr>
                <w:rFonts w:hint="default" w:ascii="Times New Roman" w:hAnsi="Times New Roman" w:eastAsia="宋体"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rPr>
              <w:t>委托书见附件</w:t>
            </w:r>
            <w:r>
              <w:rPr>
                <w:rFonts w:hint="default" w:ascii="Times New Roman" w:hAnsi="Times New Roman" w:cs="Times New Roman"/>
                <w:color w:val="auto"/>
                <w:sz w:val="24"/>
                <w:szCs w:val="22"/>
                <w:highlight w:val="none"/>
                <w:lang w:val="en-US" w:eastAsia="zh-CN"/>
              </w:rPr>
              <w:t>1</w:t>
            </w:r>
            <w:r>
              <w:rPr>
                <w:rFonts w:hint="default" w:ascii="Times New Roman" w:hAnsi="Times New Roman" w:eastAsia="宋体" w:cs="Times New Roman"/>
                <w:color w:val="auto"/>
                <w:sz w:val="24"/>
                <w:szCs w:val="22"/>
                <w:highlight w:val="none"/>
              </w:rPr>
              <w:t>。</w:t>
            </w:r>
          </w:p>
          <w:p w14:paraId="7EDCFE94">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4"/>
                <w:szCs w:val="22"/>
                <w:highlight w:val="none"/>
              </w:rPr>
            </w:pPr>
          </w:p>
          <w:p w14:paraId="5EE182C8">
            <w:pPr>
              <w:pStyle w:val="9"/>
              <w:keepNext w:val="0"/>
              <w:keepLines w:val="0"/>
              <w:suppressLineNumbers w:val="0"/>
              <w:spacing w:before="0" w:beforeAutospacing="0" w:after="0" w:afterAutospacing="0"/>
              <w:rPr>
                <w:rFonts w:hint="default"/>
                <w:color w:val="auto"/>
                <w:highlight w:val="none"/>
              </w:rPr>
            </w:pPr>
          </w:p>
          <w:p w14:paraId="2BA70726">
            <w:pPr>
              <w:pStyle w:val="43"/>
              <w:keepNext w:val="0"/>
              <w:keepLines w:val="0"/>
              <w:suppressLineNumbers w:val="0"/>
              <w:spacing w:before="215" w:beforeLines="0" w:beforeAutospacing="0" w:after="0" w:afterLines="0" w:afterAutospacing="0" w:line="360" w:lineRule="auto"/>
              <w:ind w:left="123"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3"/>
                <w:sz w:val="24"/>
                <w:szCs w:val="24"/>
                <w:highlight w:val="none"/>
              </w:rPr>
              <w:t>1.1.4 评价目的</w:t>
            </w:r>
          </w:p>
          <w:p w14:paraId="7869795E">
            <w:pPr>
              <w:pStyle w:val="43"/>
              <w:keepNext w:val="0"/>
              <w:keepLines w:val="0"/>
              <w:suppressLineNumbers w:val="0"/>
              <w:spacing w:before="213" w:beforeLines="0" w:beforeAutospacing="0" w:after="0" w:afterLines="0" w:afterAutospacing="0" w:line="360" w:lineRule="auto"/>
              <w:ind w:left="116" w:right="107" w:firstLine="480"/>
              <w:jc w:val="both"/>
              <w:rPr>
                <w:rFonts w:hint="default" w:ascii="Times New Roman" w:hAnsi="Times New Roman" w:eastAsia="宋体" w:cs="Times New Roman"/>
                <w:color w:val="auto"/>
                <w:spacing w:val="-2"/>
                <w:sz w:val="24"/>
                <w:szCs w:val="24"/>
                <w:highlight w:val="none"/>
              </w:rPr>
            </w:pPr>
            <w:r>
              <w:rPr>
                <w:rFonts w:hint="default" w:ascii="Times New Roman" w:hAnsi="Times New Roman" w:eastAsia="宋体" w:cs="Times New Roman"/>
                <w:color w:val="auto"/>
                <w:spacing w:val="-3"/>
                <w:sz w:val="24"/>
                <w:szCs w:val="24"/>
                <w:highlight w:val="none"/>
              </w:rPr>
              <w:t>对项目工作场所及周围进行辐射环境质量现状监测，了解辐射环境现状水平，并</w:t>
            </w:r>
            <w:r>
              <w:rPr>
                <w:rFonts w:hint="default" w:ascii="Times New Roman" w:hAnsi="Times New Roman" w:eastAsia="宋体" w:cs="Times New Roman"/>
                <w:color w:val="auto"/>
                <w:spacing w:val="-2"/>
                <w:sz w:val="24"/>
                <w:szCs w:val="24"/>
                <w:highlight w:val="none"/>
              </w:rPr>
              <w:t>对拟开展的核技术应用项目运行后的环境影响进行</w:t>
            </w:r>
            <w:r>
              <w:rPr>
                <w:rFonts w:hint="default" w:ascii="Times New Roman" w:hAnsi="Times New Roman" w:eastAsia="宋体" w:cs="Times New Roman"/>
                <w:color w:val="auto"/>
                <w:spacing w:val="-3"/>
                <w:sz w:val="24"/>
                <w:szCs w:val="24"/>
                <w:highlight w:val="none"/>
              </w:rPr>
              <w:t>预测评价，掌握其运行后项目周围</w:t>
            </w:r>
            <w:r>
              <w:rPr>
                <w:rFonts w:hint="default" w:ascii="Times New Roman" w:hAnsi="Times New Roman" w:eastAsia="宋体" w:cs="Times New Roman"/>
                <w:color w:val="auto"/>
                <w:spacing w:val="-2"/>
                <w:sz w:val="24"/>
                <w:szCs w:val="24"/>
                <w:highlight w:val="none"/>
              </w:rPr>
              <w:t>的辐射水平，对不利影响和存在的问题提出防治措</w:t>
            </w:r>
            <w:r>
              <w:rPr>
                <w:rFonts w:hint="default" w:ascii="Times New Roman" w:hAnsi="Times New Roman" w:eastAsia="宋体" w:cs="Times New Roman"/>
                <w:color w:val="auto"/>
                <w:spacing w:val="-3"/>
                <w:sz w:val="24"/>
                <w:szCs w:val="24"/>
                <w:highlight w:val="none"/>
              </w:rPr>
              <w:t>施，把环境影响减少到“可合理达</w:t>
            </w:r>
            <w:r>
              <w:rPr>
                <w:rFonts w:hint="default" w:ascii="Times New Roman" w:hAnsi="Times New Roman" w:eastAsia="宋体" w:cs="Times New Roman"/>
                <w:color w:val="auto"/>
                <w:spacing w:val="-2"/>
                <w:sz w:val="24"/>
                <w:szCs w:val="24"/>
                <w:highlight w:val="none"/>
              </w:rPr>
              <w:t>到的尽可能低水平”，为该项目的辐射环境管理提</w:t>
            </w:r>
            <w:r>
              <w:rPr>
                <w:rFonts w:hint="default" w:ascii="Times New Roman" w:hAnsi="Times New Roman" w:eastAsia="宋体" w:cs="Times New Roman"/>
                <w:color w:val="auto"/>
                <w:spacing w:val="-3"/>
                <w:sz w:val="24"/>
                <w:szCs w:val="24"/>
                <w:highlight w:val="none"/>
              </w:rPr>
              <w:t>供科学依据，最终满足国家和地方</w:t>
            </w:r>
            <w:r>
              <w:rPr>
                <w:rFonts w:hint="default" w:ascii="Times New Roman" w:hAnsi="Times New Roman" w:eastAsia="宋体" w:cs="Times New Roman"/>
                <w:color w:val="auto"/>
                <w:spacing w:val="-2"/>
                <w:sz w:val="24"/>
                <w:szCs w:val="24"/>
                <w:highlight w:val="none"/>
              </w:rPr>
              <w:t>生态环境部门对建设项目环境管理规定的要求。</w:t>
            </w:r>
          </w:p>
          <w:p w14:paraId="649BFAFE">
            <w:pPr>
              <w:pStyle w:val="19"/>
              <w:keepNext w:val="0"/>
              <w:keepLines w:val="0"/>
              <w:widowControl/>
              <w:suppressLineNumbers w:val="0"/>
              <w:kinsoku w:val="0"/>
              <w:adjustRightInd w:val="0"/>
              <w:snapToGrid w:val="0"/>
              <w:spacing w:before="36" w:beforeLines="0" w:beforeAutospacing="0" w:after="0" w:afterLines="0" w:afterAutospacing="0" w:line="360" w:lineRule="auto"/>
              <w:ind w:left="0" w:right="0"/>
              <w:textAlignment w:val="baseline"/>
              <w:rPr>
                <w:rFonts w:hint="default" w:ascii="Times New Roman" w:hAnsi="Times New Roman" w:eastAsia="宋体" w:cs="Times New Roman"/>
                <w:b/>
                <w:color w:val="auto"/>
                <w:spacing w:val="-2"/>
                <w:sz w:val="24"/>
                <w:szCs w:val="24"/>
                <w:highlight w:val="none"/>
                <w:lang w:eastAsia="en-US" w:bidi="ar"/>
              </w:rPr>
            </w:pPr>
            <w:r>
              <w:rPr>
                <w:rFonts w:hint="default" w:ascii="Times New Roman" w:hAnsi="Times New Roman" w:eastAsia="宋体" w:cs="Times New Roman"/>
                <w:b/>
                <w:color w:val="auto"/>
                <w:spacing w:val="-2"/>
                <w:sz w:val="24"/>
                <w:szCs w:val="24"/>
                <w:highlight w:val="none"/>
                <w:lang w:eastAsia="en-US" w:bidi="ar"/>
              </w:rPr>
              <w:t>1.2 项目周边保护目标及场址选址</w:t>
            </w:r>
          </w:p>
          <w:p w14:paraId="64F36A49">
            <w:pPr>
              <w:pStyle w:val="19"/>
              <w:keepNext w:val="0"/>
              <w:keepLines w:val="0"/>
              <w:widowControl/>
              <w:suppressLineNumbers w:val="0"/>
              <w:kinsoku w:val="0"/>
              <w:adjustRightInd w:val="0"/>
              <w:snapToGrid w:val="0"/>
              <w:spacing w:before="36" w:beforeLines="0" w:beforeAutospacing="0" w:after="0" w:afterLines="0" w:afterAutospacing="0" w:line="360" w:lineRule="auto"/>
              <w:ind w:left="0" w:right="0"/>
              <w:textAlignment w:val="baseline"/>
              <w:rPr>
                <w:rFonts w:hint="default" w:ascii="Times New Roman" w:hAnsi="Times New Roman" w:eastAsia="宋体" w:cs="Times New Roman"/>
                <w:b/>
                <w:color w:val="auto"/>
                <w:spacing w:val="-2"/>
                <w:sz w:val="24"/>
                <w:szCs w:val="24"/>
                <w:highlight w:val="none"/>
                <w:lang w:eastAsia="en-US" w:bidi="ar"/>
              </w:rPr>
            </w:pPr>
            <w:r>
              <w:rPr>
                <w:rFonts w:hint="default" w:ascii="Times New Roman" w:hAnsi="Times New Roman" w:eastAsia="宋体" w:cs="Times New Roman"/>
                <w:b/>
                <w:color w:val="auto"/>
                <w:spacing w:val="-2"/>
                <w:sz w:val="24"/>
                <w:szCs w:val="24"/>
                <w:highlight w:val="none"/>
                <w:lang w:eastAsia="en-US" w:bidi="ar"/>
              </w:rPr>
              <w:t>1.2.1 项目周边保护目标</w:t>
            </w:r>
          </w:p>
          <w:p w14:paraId="467BA33C">
            <w:pPr>
              <w:pStyle w:val="32"/>
              <w:keepNext w:val="0"/>
              <w:keepLines w:val="0"/>
              <w:suppressLineNumbers w:val="0"/>
              <w:tabs>
                <w:tab w:val="left" w:pos="1190"/>
              </w:tabs>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val="0"/>
                <w:color w:val="auto"/>
                <w:sz w:val="24"/>
                <w:szCs w:val="22"/>
                <w:highlight w:val="none"/>
                <w:lang w:val="en-US" w:eastAsia="zh-CN" w:bidi="ar-SA"/>
              </w:rPr>
            </w:pPr>
            <w:r>
              <w:rPr>
                <w:rFonts w:hint="default" w:ascii="Times New Roman" w:hAnsi="Times New Roman" w:eastAsia="宋体" w:cs="Times New Roman"/>
                <w:b w:val="0"/>
                <w:bCs w:val="0"/>
                <w:color w:val="auto"/>
                <w:sz w:val="24"/>
                <w:szCs w:val="22"/>
                <w:highlight w:val="none"/>
                <w:lang w:val="en-US" w:eastAsia="zh-CN" w:bidi="ar-SA"/>
              </w:rPr>
              <w:t>据《辐射环境保护管理导则 核技术利用建设项目 环境影响评价文件的内容和格式》（</w:t>
            </w:r>
            <w:r>
              <w:rPr>
                <w:rFonts w:hint="eastAsia" w:cs="Times New Roman"/>
                <w:b w:val="0"/>
                <w:bCs w:val="0"/>
                <w:color w:val="auto"/>
                <w:sz w:val="24"/>
                <w:szCs w:val="22"/>
                <w:highlight w:val="none"/>
                <w:lang w:val="en-US" w:eastAsia="zh-CN" w:bidi="ar-SA"/>
              </w:rPr>
              <w:t>HJ 10</w:t>
            </w:r>
            <w:r>
              <w:rPr>
                <w:rFonts w:hint="default" w:ascii="Times New Roman" w:hAnsi="Times New Roman" w:eastAsia="宋体" w:cs="Times New Roman"/>
                <w:b w:val="0"/>
                <w:bCs w:val="0"/>
                <w:color w:val="auto"/>
                <w:sz w:val="24"/>
                <w:szCs w:val="22"/>
                <w:highlight w:val="none"/>
                <w:lang w:val="en-US" w:eastAsia="zh-CN" w:bidi="ar-SA"/>
              </w:rPr>
              <w:t>.1-2016)：放射性药物生产及其他非密封放射性物质工作场所项目的评价范围，甲级取半径 500m的范围，乙、丙级取半径50m的范围。</w:t>
            </w:r>
          </w:p>
          <w:p w14:paraId="3DA75E58">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b w:val="0"/>
                <w:bCs w:val="0"/>
                <w:color w:val="auto"/>
                <w:sz w:val="24"/>
                <w:szCs w:val="22"/>
                <w:highlight w:val="none"/>
                <w:lang w:val="en-US" w:eastAsia="zh-CN" w:bidi="ar-SA"/>
              </w:rPr>
              <w:t>本项目涉及</w:t>
            </w:r>
            <w:r>
              <w:rPr>
                <w:rFonts w:hint="eastAsia" w:cs="Times New Roman"/>
                <w:b w:val="0"/>
                <w:bCs w:val="0"/>
                <w:color w:val="auto"/>
                <w:sz w:val="24"/>
                <w:szCs w:val="22"/>
                <w:highlight w:val="none"/>
                <w:lang w:val="en-US" w:eastAsia="zh-CN" w:bidi="ar-SA"/>
              </w:rPr>
              <w:t>乙</w:t>
            </w:r>
            <w:r>
              <w:rPr>
                <w:rFonts w:hint="default" w:ascii="Times New Roman" w:hAnsi="Times New Roman" w:cs="Times New Roman"/>
                <w:b w:val="0"/>
                <w:bCs w:val="0"/>
                <w:color w:val="auto"/>
                <w:sz w:val="24"/>
                <w:szCs w:val="22"/>
                <w:highlight w:val="none"/>
                <w:lang w:val="en-US" w:eastAsia="zh-CN" w:bidi="ar-SA"/>
              </w:rPr>
              <w:t>级</w:t>
            </w:r>
            <w:r>
              <w:rPr>
                <w:rFonts w:hint="default" w:ascii="Times New Roman" w:hAnsi="Times New Roman" w:eastAsia="宋体" w:cs="Times New Roman"/>
                <w:b w:val="0"/>
                <w:bCs w:val="0"/>
                <w:color w:val="auto"/>
                <w:sz w:val="24"/>
                <w:szCs w:val="22"/>
                <w:highlight w:val="none"/>
                <w:lang w:val="en-US" w:eastAsia="zh-CN" w:bidi="ar-SA"/>
              </w:rPr>
              <w:t>非密封放射性物质工</w:t>
            </w:r>
            <w:r>
              <w:rPr>
                <w:rFonts w:hint="default" w:ascii="Times New Roman" w:hAnsi="Times New Roman" w:eastAsia="宋体" w:cs="Times New Roman"/>
                <w:color w:val="auto"/>
                <w:sz w:val="24"/>
                <w:szCs w:val="22"/>
                <w:highlight w:val="none"/>
                <w:lang w:val="en-US" w:eastAsia="zh-CN" w:bidi="ar-SA"/>
              </w:rPr>
              <w:t>作场所，涉源场所分布在</w:t>
            </w:r>
            <w:r>
              <w:rPr>
                <w:rFonts w:hint="eastAsia" w:cs="Times New Roman"/>
                <w:color w:val="auto"/>
                <w:sz w:val="24"/>
                <w:szCs w:val="22"/>
                <w:highlight w:val="none"/>
                <w:lang w:val="en-US" w:eastAsia="zh-CN" w:bidi="ar-SA"/>
              </w:rPr>
              <w:t>肿瘤医院北院区</w:t>
            </w:r>
            <w:r>
              <w:rPr>
                <w:rFonts w:hint="default" w:ascii="Times New Roman" w:hAnsi="Times New Roman" w:cs="Times New Roman"/>
                <w:color w:val="auto"/>
                <w:sz w:val="24"/>
                <w:szCs w:val="22"/>
                <w:highlight w:val="none"/>
                <w:lang w:val="en-US" w:eastAsia="zh-CN" w:bidi="ar-SA"/>
              </w:rPr>
              <w:t>核医学楼</w:t>
            </w:r>
            <w:r>
              <w:rPr>
                <w:rFonts w:hint="eastAsia" w:cs="Times New Roman"/>
                <w:color w:val="auto"/>
                <w:sz w:val="24"/>
                <w:szCs w:val="22"/>
                <w:highlight w:val="none"/>
                <w:lang w:val="en-US" w:eastAsia="zh-CN" w:bidi="ar-SA"/>
              </w:rPr>
              <w:t>以及老院区综合楼一层介入手术2室</w:t>
            </w:r>
            <w:r>
              <w:rPr>
                <w:rFonts w:hint="default" w:ascii="Times New Roman" w:hAnsi="Times New Roman" w:eastAsia="宋体" w:cs="Times New Roman"/>
                <w:color w:val="auto"/>
                <w:sz w:val="24"/>
                <w:szCs w:val="22"/>
                <w:highlight w:val="none"/>
                <w:lang w:val="en-US" w:eastAsia="zh-CN" w:bidi="ar-SA"/>
              </w:rPr>
              <w:t>，故本项目辐射环境评价为各涉源场所墙体以外50m范围区域。</w:t>
            </w:r>
          </w:p>
          <w:p w14:paraId="521C2F97">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cs="Times New Roman"/>
                <w:color w:val="auto"/>
                <w:sz w:val="24"/>
                <w:szCs w:val="22"/>
                <w:highlight w:val="none"/>
                <w:lang w:val="en-US" w:eastAsia="zh-CN" w:bidi="ar-SA"/>
              </w:rPr>
              <w:t>根据现场调查，</w:t>
            </w:r>
            <w:r>
              <w:rPr>
                <w:rFonts w:hint="default" w:ascii="Times New Roman" w:hAnsi="Times New Roman" w:eastAsia="宋体" w:cs="Times New Roman"/>
                <w:color w:val="auto"/>
                <w:sz w:val="24"/>
                <w:szCs w:val="22"/>
                <w:highlight w:val="none"/>
                <w:lang w:val="en-US" w:eastAsia="zh-CN" w:bidi="ar-SA"/>
              </w:rPr>
              <w:t>项目评价范围50m内的</w:t>
            </w:r>
            <w:r>
              <w:rPr>
                <w:rFonts w:hint="default" w:ascii="Times New Roman" w:hAnsi="Times New Roman" w:cs="Times New Roman"/>
                <w:color w:val="auto"/>
                <w:sz w:val="24"/>
                <w:szCs w:val="22"/>
                <w:highlight w:val="none"/>
                <w:lang w:val="en-US" w:eastAsia="zh-CN" w:bidi="ar-SA"/>
              </w:rPr>
              <w:t>涉及</w:t>
            </w:r>
            <w:r>
              <w:rPr>
                <w:rFonts w:hint="eastAsia" w:cs="Times New Roman"/>
                <w:color w:val="auto"/>
                <w:sz w:val="24"/>
                <w:szCs w:val="22"/>
                <w:highlight w:val="none"/>
                <w:lang w:val="en-US" w:eastAsia="zh-CN" w:bidi="ar-SA"/>
              </w:rPr>
              <w:t>医院其</w:t>
            </w:r>
            <w:r>
              <w:rPr>
                <w:rFonts w:hint="default" w:ascii="Times New Roman" w:hAnsi="Times New Roman" w:cs="Times New Roman"/>
                <w:color w:val="auto"/>
                <w:sz w:val="24"/>
                <w:szCs w:val="22"/>
                <w:highlight w:val="none"/>
                <w:lang w:val="en-US" w:eastAsia="zh-CN" w:bidi="ar-SA"/>
              </w:rPr>
              <w:t>他部门辐射工作人员、患者、</w:t>
            </w:r>
            <w:r>
              <w:rPr>
                <w:rFonts w:hint="default" w:ascii="Times New Roman" w:hAnsi="Times New Roman" w:eastAsia="宋体" w:cs="Times New Roman"/>
                <w:color w:val="auto"/>
                <w:sz w:val="24"/>
                <w:szCs w:val="22"/>
                <w:highlight w:val="none"/>
                <w:lang w:val="en-US" w:eastAsia="zh-CN" w:bidi="ar-SA"/>
              </w:rPr>
              <w:t>公众人员以及相关场所外，</w:t>
            </w:r>
            <w:r>
              <w:rPr>
                <w:rFonts w:hint="default" w:ascii="Times New Roman" w:hAnsi="Times New Roman" w:cs="Times New Roman"/>
                <w:color w:val="auto"/>
                <w:sz w:val="24"/>
                <w:szCs w:val="22"/>
                <w:highlight w:val="none"/>
                <w:lang w:val="en-US" w:eastAsia="zh-CN" w:bidi="ar-SA"/>
              </w:rPr>
              <w:t>项目北侧存在</w:t>
            </w:r>
            <w:r>
              <w:rPr>
                <w:rFonts w:hint="eastAsia" w:cs="Times New Roman"/>
                <w:color w:val="auto"/>
                <w:sz w:val="24"/>
                <w:szCs w:val="22"/>
                <w:highlight w:val="none"/>
                <w:lang w:val="en-US" w:eastAsia="zh-CN" w:bidi="ar-SA"/>
              </w:rPr>
              <w:t>2</w:t>
            </w:r>
            <w:r>
              <w:rPr>
                <w:rFonts w:hint="default" w:ascii="Times New Roman" w:hAnsi="Times New Roman" w:cs="Times New Roman"/>
                <w:color w:val="auto"/>
                <w:sz w:val="24"/>
                <w:szCs w:val="22"/>
                <w:highlight w:val="none"/>
                <w:lang w:val="en-US" w:eastAsia="zh-CN" w:bidi="ar-SA"/>
              </w:rPr>
              <w:t>个保护目标（新疆天文台，北院区核医学楼北侧3</w:t>
            </w:r>
            <w:r>
              <w:rPr>
                <w:rFonts w:hint="eastAsia" w:cs="Times New Roman"/>
                <w:color w:val="auto"/>
                <w:sz w:val="24"/>
                <w:szCs w:val="22"/>
                <w:highlight w:val="none"/>
                <w:lang w:val="en-US" w:eastAsia="zh-CN" w:bidi="ar-SA"/>
              </w:rPr>
              <w:t>0</w:t>
            </w:r>
            <w:r>
              <w:rPr>
                <w:rFonts w:hint="default" w:ascii="Times New Roman" w:hAnsi="Times New Roman" w:cs="Times New Roman"/>
                <w:color w:val="auto"/>
                <w:sz w:val="24"/>
                <w:szCs w:val="22"/>
                <w:highlight w:val="none"/>
                <w:lang w:val="en-US" w:eastAsia="zh-CN" w:bidi="ar-SA"/>
              </w:rPr>
              <w:t>m</w:t>
            </w:r>
            <w:r>
              <w:rPr>
                <w:rFonts w:hint="eastAsia" w:cs="Times New Roman"/>
                <w:color w:val="auto"/>
                <w:sz w:val="24"/>
                <w:szCs w:val="22"/>
                <w:highlight w:val="none"/>
                <w:lang w:val="en-US" w:eastAsia="zh-CN" w:bidi="ar-SA"/>
              </w:rPr>
              <w:t>；翰乐轩小区，北院区核医学楼东侧50m</w:t>
            </w:r>
            <w:r>
              <w:rPr>
                <w:rFonts w:hint="default" w:ascii="Times New Roman" w:hAnsi="Times New Roman"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lang w:val="en-US" w:eastAsia="zh-CN" w:bidi="ar-SA"/>
              </w:rPr>
              <w:t>，但在采取合理的辐射防护措施后，本项目对周边保护目标的影响在可接受范围内。</w:t>
            </w:r>
          </w:p>
          <w:p w14:paraId="4C9F1103">
            <w:pPr>
              <w:pStyle w:val="43"/>
              <w:keepNext w:val="0"/>
              <w:keepLines w:val="0"/>
              <w:suppressLineNumbers w:val="0"/>
              <w:spacing w:before="34" w:beforeLines="0" w:beforeAutospacing="0" w:after="0" w:afterLines="0" w:afterAutospacing="0" w:line="360" w:lineRule="auto"/>
              <w:ind w:left="123" w:right="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2"/>
                <w:sz w:val="24"/>
                <w:szCs w:val="24"/>
                <w:highlight w:val="none"/>
              </w:rPr>
              <w:t>1.2.2 场址选址情况</w:t>
            </w:r>
          </w:p>
          <w:p w14:paraId="6218B7E2">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本项目</w:t>
            </w:r>
            <w:r>
              <w:rPr>
                <w:rFonts w:hint="default" w:ascii="Times New Roman" w:hAnsi="Times New Roman" w:cs="Times New Roman"/>
                <w:color w:val="auto"/>
                <w:sz w:val="24"/>
                <w:szCs w:val="22"/>
                <w:highlight w:val="none"/>
                <w:lang w:val="en-US" w:eastAsia="zh-CN" w:bidi="ar-SA"/>
              </w:rPr>
              <w:t>在已许可的</w:t>
            </w:r>
            <w:r>
              <w:rPr>
                <w:rFonts w:hint="eastAsia" w:cs="Times New Roman"/>
                <w:color w:val="auto"/>
                <w:sz w:val="24"/>
                <w:szCs w:val="22"/>
                <w:highlight w:val="none"/>
                <w:lang w:val="en-US" w:eastAsia="zh-CN" w:bidi="ar-SA"/>
              </w:rPr>
              <w:t>辐射工作场所内</w:t>
            </w:r>
            <w:r>
              <w:rPr>
                <w:rFonts w:hint="default" w:ascii="Times New Roman" w:hAnsi="Times New Roman" w:cs="Times New Roman"/>
                <w:color w:val="auto"/>
                <w:sz w:val="24"/>
                <w:szCs w:val="22"/>
                <w:highlight w:val="none"/>
                <w:lang w:val="en-US" w:eastAsia="zh-CN" w:bidi="ar-SA"/>
              </w:rPr>
              <w:t>进行扩建，不增占地，</w:t>
            </w:r>
            <w:r>
              <w:rPr>
                <w:rFonts w:hint="default" w:ascii="Times New Roman" w:hAnsi="Times New Roman" w:eastAsia="宋体" w:cs="Times New Roman"/>
                <w:color w:val="auto"/>
                <w:sz w:val="24"/>
                <w:szCs w:val="22"/>
                <w:highlight w:val="none"/>
                <w:lang w:val="en-US" w:eastAsia="zh-CN" w:bidi="ar-SA"/>
              </w:rPr>
              <w:t>评价范围50m内无学校、自然保护区、保护文物、风景名胜区、水源保护区等环境敏感目标。</w:t>
            </w:r>
          </w:p>
          <w:p w14:paraId="45A4BC63">
            <w:pPr>
              <w:pStyle w:val="12"/>
              <w:keepNext w:val="0"/>
              <w:keepLines w:val="0"/>
              <w:suppressLineNumbers w:val="0"/>
              <w:spacing w:before="0" w:beforeAutospacing="0" w:after="0" w:afterAutospacing="0"/>
              <w:ind w:left="0" w:right="0"/>
              <w:jc w:val="center"/>
              <w:rPr>
                <w:rFonts w:hint="default" w:ascii="Times New Roman" w:hAnsi="Times New Roman" w:eastAsia="宋体" w:cs="Times New Roman"/>
                <w:b/>
                <w:bCs/>
                <w:color w:val="auto"/>
                <w:sz w:val="24"/>
                <w:szCs w:val="22"/>
                <w:highlight w:val="none"/>
                <w:lang w:val="en-US" w:eastAsia="zh-CN" w:bidi="ar-SA"/>
              </w:rPr>
            </w:pPr>
            <w:r>
              <w:rPr>
                <w:rFonts w:hint="default" w:ascii="Times New Roman" w:hAnsi="Times New Roman" w:cs="Times New Roman"/>
                <w:b/>
                <w:bCs/>
                <w:color w:val="auto"/>
                <w:sz w:val="24"/>
                <w:szCs w:val="22"/>
                <w:highlight w:val="none"/>
                <w:lang w:val="en-US" w:eastAsia="zh-CN" w:bidi="ar-SA"/>
              </w:rPr>
              <w:t>表1-</w:t>
            </w:r>
            <w:r>
              <w:rPr>
                <w:rFonts w:hint="eastAsia" w:cs="Times New Roman"/>
                <w:b/>
                <w:bCs/>
                <w:color w:val="auto"/>
                <w:sz w:val="24"/>
                <w:szCs w:val="22"/>
                <w:highlight w:val="none"/>
                <w:lang w:val="en-US" w:eastAsia="zh-CN" w:bidi="ar-SA"/>
              </w:rPr>
              <w:t>8</w:t>
            </w:r>
            <w:r>
              <w:rPr>
                <w:rFonts w:hint="default" w:ascii="Times New Roman" w:hAnsi="Times New Roman" w:cs="Times New Roman"/>
                <w:b/>
                <w:bCs/>
                <w:color w:val="auto"/>
                <w:sz w:val="24"/>
                <w:szCs w:val="22"/>
                <w:highlight w:val="none"/>
                <w:lang w:val="en-US" w:eastAsia="zh-CN" w:bidi="ar-SA"/>
              </w:rPr>
              <w:t xml:space="preserve">  </w:t>
            </w:r>
            <w:r>
              <w:rPr>
                <w:rFonts w:hint="default" w:ascii="Times New Roman" w:hAnsi="Times New Roman" w:eastAsia="宋体" w:cs="Times New Roman"/>
                <w:b/>
                <w:bCs/>
                <w:color w:val="auto"/>
                <w:sz w:val="24"/>
                <w:szCs w:val="22"/>
                <w:highlight w:val="none"/>
                <w:lang w:val="en-US" w:eastAsia="zh-CN" w:bidi="ar-SA"/>
              </w:rPr>
              <w:t>场址选址</w:t>
            </w:r>
            <w:r>
              <w:rPr>
                <w:rFonts w:hint="default" w:ascii="Times New Roman" w:hAnsi="Times New Roman" w:cs="Times New Roman"/>
                <w:b/>
                <w:bCs/>
                <w:color w:val="auto"/>
                <w:sz w:val="24"/>
                <w:szCs w:val="22"/>
                <w:highlight w:val="none"/>
                <w:lang w:val="en-US" w:eastAsia="zh-CN" w:bidi="ar-SA"/>
              </w:rPr>
              <w:t>符合性分析一览表</w:t>
            </w:r>
          </w:p>
          <w:tbl>
            <w:tblPr>
              <w:tblStyle w:val="23"/>
              <w:tblW w:w="90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734"/>
              <w:gridCol w:w="3228"/>
              <w:gridCol w:w="1078"/>
            </w:tblGrid>
            <w:tr w14:paraId="03E30B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040" w:type="dxa"/>
                  <w:gridSpan w:val="3"/>
                  <w:tcBorders>
                    <w:tl2br w:val="nil"/>
                    <w:tr2bl w:val="nil"/>
                  </w:tcBorders>
                  <w:vAlign w:val="center"/>
                </w:tcPr>
                <w:p w14:paraId="487373E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bidi="ar-SA"/>
                    </w:rPr>
                    <w:t>《核医学辐射防护与安全要求》（HJ 1188-2021）选址符合性分析</w:t>
                  </w:r>
                </w:p>
              </w:tc>
            </w:tr>
            <w:tr w14:paraId="01DB2A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4734" w:type="dxa"/>
                  <w:tcBorders>
                    <w:tl2br w:val="nil"/>
                    <w:tr2bl w:val="nil"/>
                  </w:tcBorders>
                  <w:vAlign w:val="center"/>
                </w:tcPr>
                <w:p w14:paraId="104877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标准要求</w:t>
                  </w:r>
                </w:p>
              </w:tc>
              <w:tc>
                <w:tcPr>
                  <w:tcW w:w="3228" w:type="dxa"/>
                  <w:tcBorders>
                    <w:tl2br w:val="nil"/>
                    <w:tr2bl w:val="nil"/>
                  </w:tcBorders>
                  <w:vAlign w:val="center"/>
                </w:tcPr>
                <w:p w14:paraId="0B3FC36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本项目情况</w:t>
                  </w:r>
                </w:p>
              </w:tc>
              <w:tc>
                <w:tcPr>
                  <w:tcW w:w="1078" w:type="dxa"/>
                  <w:tcBorders>
                    <w:tl2br w:val="nil"/>
                    <w:tr2bl w:val="nil"/>
                  </w:tcBorders>
                  <w:vAlign w:val="center"/>
                </w:tcPr>
                <w:p w14:paraId="2CB6F96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符合性</w:t>
                  </w:r>
                </w:p>
              </w:tc>
            </w:tr>
            <w:tr w14:paraId="7ED205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23" w:hRule="atLeast"/>
                <w:jc w:val="center"/>
              </w:trPr>
              <w:tc>
                <w:tcPr>
                  <w:tcW w:w="4734" w:type="dxa"/>
                  <w:tcBorders>
                    <w:tl2br w:val="nil"/>
                    <w:tr2bl w:val="nil"/>
                  </w:tcBorders>
                  <w:vAlign w:val="center"/>
                </w:tcPr>
                <w:p w14:paraId="718C3EF4">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5.1选址</w:t>
                  </w:r>
                </w:p>
                <w:p w14:paraId="6BA947AF">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5.1.1核医学工作场所宜建在医疗机构内单独的建筑物内，或集中于无人长期居留的建筑物的一端或底层，设置相应的物理隔离和单独的人员、物流通道。</w:t>
                  </w:r>
                </w:p>
              </w:tc>
              <w:tc>
                <w:tcPr>
                  <w:tcW w:w="3228" w:type="dxa"/>
                  <w:tcBorders>
                    <w:tl2br w:val="nil"/>
                    <w:tr2bl w:val="nil"/>
                  </w:tcBorders>
                  <w:vAlign w:val="center"/>
                </w:tcPr>
                <w:p w14:paraId="1F35DCF3">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本项目在已许可的医院北院区核医学楼和</w:t>
                  </w:r>
                  <w:r>
                    <w:rPr>
                      <w:rFonts w:hint="eastAsia" w:cs="Times New Roman"/>
                      <w:color w:val="auto"/>
                      <w:sz w:val="21"/>
                      <w:szCs w:val="21"/>
                      <w:highlight w:val="none"/>
                      <w:vertAlign w:val="baseline"/>
                      <w:lang w:val="en-US" w:eastAsia="zh-CN" w:bidi="ar-SA"/>
                    </w:rPr>
                    <w:t>综合楼介入2室内进行扩建</w:t>
                  </w:r>
                  <w:r>
                    <w:rPr>
                      <w:rFonts w:hint="default" w:ascii="Times New Roman" w:hAnsi="Times New Roman" w:cs="Times New Roman"/>
                      <w:color w:val="auto"/>
                      <w:sz w:val="21"/>
                      <w:szCs w:val="21"/>
                      <w:highlight w:val="none"/>
                      <w:vertAlign w:val="baseline"/>
                      <w:lang w:val="en-US" w:eastAsia="zh-CN" w:bidi="ar-SA"/>
                    </w:rPr>
                    <w:t>，选址符合要求。</w:t>
                  </w:r>
                </w:p>
              </w:tc>
              <w:tc>
                <w:tcPr>
                  <w:tcW w:w="1078" w:type="dxa"/>
                  <w:tcBorders>
                    <w:tl2br w:val="nil"/>
                    <w:tr2bl w:val="nil"/>
                  </w:tcBorders>
                  <w:vAlign w:val="center"/>
                </w:tcPr>
                <w:p w14:paraId="3BC40CFC">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符合</w:t>
                  </w:r>
                </w:p>
              </w:tc>
            </w:tr>
            <w:tr w14:paraId="037AF7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23" w:hRule="atLeast"/>
                <w:jc w:val="center"/>
              </w:trPr>
              <w:tc>
                <w:tcPr>
                  <w:tcW w:w="4734" w:type="dxa"/>
                  <w:tcBorders>
                    <w:tl2br w:val="nil"/>
                    <w:tr2bl w:val="nil"/>
                  </w:tcBorders>
                  <w:vAlign w:val="center"/>
                </w:tcPr>
                <w:p w14:paraId="15B333D0">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5.1.2核医学工作场所不宜毗邻产科、儿科、食堂等部门及人员密集区，并应与非放射性工作场所有明确的分界隔离。</w:t>
                  </w:r>
                </w:p>
              </w:tc>
              <w:tc>
                <w:tcPr>
                  <w:tcW w:w="3228" w:type="dxa"/>
                  <w:tcBorders>
                    <w:tl2br w:val="nil"/>
                    <w:tr2bl w:val="nil"/>
                  </w:tcBorders>
                  <w:vAlign w:val="center"/>
                </w:tcPr>
                <w:p w14:paraId="54FDCEDA">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本项目非密封放射性物质工作场所周边无产科、儿科、食堂等部门及人员密集区，核医学工作</w:t>
                  </w:r>
                  <w:r>
                    <w:rPr>
                      <w:rFonts w:hint="eastAsia" w:cs="Times New Roman"/>
                      <w:color w:val="auto"/>
                      <w:sz w:val="21"/>
                      <w:szCs w:val="21"/>
                      <w:highlight w:val="none"/>
                      <w:vertAlign w:val="baseline"/>
                      <w:lang w:val="en-US" w:eastAsia="zh-CN" w:bidi="ar-SA"/>
                    </w:rPr>
                    <w:t>场所</w:t>
                  </w:r>
                  <w:r>
                    <w:rPr>
                      <w:rFonts w:hint="default" w:ascii="Times New Roman" w:hAnsi="Times New Roman" w:cs="Times New Roman"/>
                      <w:color w:val="auto"/>
                      <w:sz w:val="21"/>
                      <w:szCs w:val="21"/>
                      <w:highlight w:val="none"/>
                      <w:vertAlign w:val="baseline"/>
                      <w:lang w:val="en-US" w:eastAsia="zh-CN" w:bidi="ar-SA"/>
                    </w:rPr>
                    <w:t>和非放射性工作</w:t>
                  </w:r>
                  <w:r>
                    <w:rPr>
                      <w:rFonts w:hint="eastAsia" w:cs="Times New Roman"/>
                      <w:color w:val="auto"/>
                      <w:sz w:val="21"/>
                      <w:szCs w:val="21"/>
                      <w:highlight w:val="none"/>
                      <w:vertAlign w:val="baseline"/>
                      <w:lang w:val="en-US" w:eastAsia="zh-CN" w:bidi="ar-SA"/>
                    </w:rPr>
                    <w:t>场所</w:t>
                  </w:r>
                  <w:r>
                    <w:rPr>
                      <w:rFonts w:hint="default" w:ascii="Times New Roman" w:hAnsi="Times New Roman" w:cs="Times New Roman"/>
                      <w:color w:val="auto"/>
                      <w:sz w:val="21"/>
                      <w:szCs w:val="21"/>
                      <w:highlight w:val="none"/>
                      <w:vertAlign w:val="baseline"/>
                      <w:lang w:val="en-US" w:eastAsia="zh-CN" w:bidi="ar-SA"/>
                    </w:rPr>
                    <w:t>使用门禁隔离。</w:t>
                  </w:r>
                </w:p>
              </w:tc>
              <w:tc>
                <w:tcPr>
                  <w:tcW w:w="1078" w:type="dxa"/>
                  <w:tcBorders>
                    <w:tl2br w:val="nil"/>
                    <w:tr2bl w:val="nil"/>
                  </w:tcBorders>
                  <w:vAlign w:val="center"/>
                </w:tcPr>
                <w:p w14:paraId="02C08DF6">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符合</w:t>
                  </w:r>
                </w:p>
              </w:tc>
            </w:tr>
            <w:tr w14:paraId="721A52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4734" w:type="dxa"/>
                  <w:tcBorders>
                    <w:tl2br w:val="nil"/>
                    <w:tr2bl w:val="nil"/>
                  </w:tcBorders>
                  <w:vAlign w:val="center"/>
                </w:tcPr>
                <w:p w14:paraId="401AD217">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5.1.3核医学工作场所排风口的位置尽可能远离周边高层建筑。</w:t>
                  </w:r>
                </w:p>
              </w:tc>
              <w:tc>
                <w:tcPr>
                  <w:tcW w:w="3228" w:type="dxa"/>
                  <w:tcBorders>
                    <w:tl2br w:val="nil"/>
                    <w:tr2bl w:val="nil"/>
                  </w:tcBorders>
                  <w:vAlign w:val="center"/>
                </w:tcPr>
                <w:p w14:paraId="28742692">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本项目非密封放射性物质工作场所排风口的位置远离周边高层建筑。</w:t>
                  </w:r>
                </w:p>
              </w:tc>
              <w:tc>
                <w:tcPr>
                  <w:tcW w:w="1078" w:type="dxa"/>
                  <w:tcBorders>
                    <w:tl2br w:val="nil"/>
                    <w:tr2bl w:val="nil"/>
                  </w:tcBorders>
                  <w:vAlign w:val="center"/>
                </w:tcPr>
                <w:p w14:paraId="08668EBB">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符合</w:t>
                  </w:r>
                </w:p>
              </w:tc>
            </w:tr>
            <w:tr w14:paraId="180A2D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86" w:hRule="atLeast"/>
                <w:jc w:val="center"/>
              </w:trPr>
              <w:tc>
                <w:tcPr>
                  <w:tcW w:w="4734" w:type="dxa"/>
                  <w:tcBorders>
                    <w:tl2br w:val="nil"/>
                    <w:tr2bl w:val="nil"/>
                  </w:tcBorders>
                  <w:vAlign w:val="center"/>
                </w:tcPr>
                <w:p w14:paraId="06A23425">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5.2布局</w:t>
                  </w:r>
                </w:p>
                <w:p w14:paraId="0571EA5F">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5.2.2核医学工作场所应设立相对独立的工作人员、患者、放射性药物和放射性废物路径。工作人员通道和患者通道分开，减少给药后患者对其他人员的照射。注射放射性药物后患者与注射放射性药物前患者不交叉，人员与放射性药物通道不交叉，放射性药物和放射性废物运送通道应尽可能短捷。</w:t>
                  </w:r>
                </w:p>
              </w:tc>
              <w:tc>
                <w:tcPr>
                  <w:tcW w:w="3228" w:type="dxa"/>
                  <w:tcBorders>
                    <w:tl2br w:val="nil"/>
                    <w:tr2bl w:val="nil"/>
                  </w:tcBorders>
                  <w:vAlign w:val="center"/>
                </w:tcPr>
                <w:p w14:paraId="5C34166C">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本项目人流物流路径设置较合理，公众人员不会进入放射性药物通道。</w:t>
                  </w:r>
                </w:p>
              </w:tc>
              <w:tc>
                <w:tcPr>
                  <w:tcW w:w="1078" w:type="dxa"/>
                  <w:tcBorders>
                    <w:tl2br w:val="nil"/>
                    <w:tr2bl w:val="nil"/>
                  </w:tcBorders>
                  <w:vAlign w:val="center"/>
                </w:tcPr>
                <w:p w14:paraId="50AA7542">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符合</w:t>
                  </w:r>
                </w:p>
              </w:tc>
            </w:tr>
            <w:tr w14:paraId="6283F0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60" w:hRule="atLeast"/>
                <w:jc w:val="center"/>
              </w:trPr>
              <w:tc>
                <w:tcPr>
                  <w:tcW w:w="4734" w:type="dxa"/>
                  <w:tcBorders>
                    <w:tl2br w:val="nil"/>
                    <w:tr2bl w:val="nil"/>
                  </w:tcBorders>
                  <w:vAlign w:val="center"/>
                </w:tcPr>
                <w:p w14:paraId="171FBF6D">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5.2.3核医学工作场所宜采取合适的措施，控制无关人员随意进入控制区和给药后患者的随意流动，避免工作人员和公众受到不必要的照射。控制区的出入口应设立卫生缓冲区，为工作人员和患者提供必要的可更换衣物、防护用品、冲洗设施和表面污染监测设备。控制区内应设有给药后患者的专用卫生间。</w:t>
                  </w:r>
                </w:p>
              </w:tc>
              <w:tc>
                <w:tcPr>
                  <w:tcW w:w="3228" w:type="dxa"/>
                  <w:tcBorders>
                    <w:tl2br w:val="nil"/>
                    <w:tr2bl w:val="nil"/>
                  </w:tcBorders>
                  <w:vAlign w:val="center"/>
                </w:tcPr>
                <w:p w14:paraId="166BEE9A">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本项目设有缓冲间，医院拟为本项目配置应急清洁物品和表面污染检测仪。</w:t>
                  </w:r>
                </w:p>
              </w:tc>
              <w:tc>
                <w:tcPr>
                  <w:tcW w:w="1078" w:type="dxa"/>
                  <w:tcBorders>
                    <w:tl2br w:val="nil"/>
                    <w:tr2bl w:val="nil"/>
                  </w:tcBorders>
                  <w:vAlign w:val="center"/>
                </w:tcPr>
                <w:p w14:paraId="2E36CEF6">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符合</w:t>
                  </w:r>
                </w:p>
              </w:tc>
            </w:tr>
            <w:tr w14:paraId="5CBEF6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9040" w:type="dxa"/>
                  <w:gridSpan w:val="3"/>
                  <w:tcBorders>
                    <w:tl2br w:val="nil"/>
                    <w:tr2bl w:val="nil"/>
                  </w:tcBorders>
                  <w:vAlign w:val="center"/>
                </w:tcPr>
                <w:p w14:paraId="3643951B">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bidi="ar-SA"/>
                    </w:rPr>
                    <w:t>《核医学放射防护要求》（GBZ 120—2020）选址符合性分析</w:t>
                  </w:r>
                </w:p>
              </w:tc>
            </w:tr>
            <w:tr w14:paraId="29983C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4734" w:type="dxa"/>
                  <w:tcBorders>
                    <w:tl2br w:val="nil"/>
                    <w:tr2bl w:val="nil"/>
                  </w:tcBorders>
                  <w:vAlign w:val="center"/>
                </w:tcPr>
                <w:p w14:paraId="436C308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标准要求</w:t>
                  </w:r>
                </w:p>
              </w:tc>
              <w:tc>
                <w:tcPr>
                  <w:tcW w:w="3228" w:type="dxa"/>
                  <w:tcBorders>
                    <w:tl2br w:val="nil"/>
                    <w:tr2bl w:val="nil"/>
                  </w:tcBorders>
                  <w:vAlign w:val="center"/>
                </w:tcPr>
                <w:p w14:paraId="0CF6BAB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本项目情况</w:t>
                  </w:r>
                </w:p>
              </w:tc>
              <w:tc>
                <w:tcPr>
                  <w:tcW w:w="1078" w:type="dxa"/>
                  <w:tcBorders>
                    <w:tl2br w:val="nil"/>
                    <w:tr2bl w:val="nil"/>
                  </w:tcBorders>
                  <w:vAlign w:val="center"/>
                </w:tcPr>
                <w:p w14:paraId="63B7430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符合性</w:t>
                  </w:r>
                </w:p>
              </w:tc>
            </w:tr>
            <w:tr w14:paraId="5CB94D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86" w:hRule="atLeast"/>
                <w:jc w:val="center"/>
              </w:trPr>
              <w:tc>
                <w:tcPr>
                  <w:tcW w:w="4734" w:type="dxa"/>
                  <w:tcBorders>
                    <w:tl2br w:val="nil"/>
                    <w:tr2bl w:val="nil"/>
                  </w:tcBorders>
                  <w:vAlign w:val="center"/>
                </w:tcPr>
                <w:p w14:paraId="63B64570">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5.1 工作场所平面布局和分区</w:t>
                  </w:r>
                </w:p>
                <w:p w14:paraId="75E364E5">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5.1.1在医疗机构内部区域选择核医学场址，应充分考虑周围场所的安全，不应邻接产科、儿科、食堂等部门，这些部门选址时也应避开核医学场所。尽可能做到相对独立布置或集中设置，宜有单独出、入口，出口不宜设置在门诊大厅、收费处等人群稠密区域。</w:t>
                  </w:r>
                </w:p>
              </w:tc>
              <w:tc>
                <w:tcPr>
                  <w:tcW w:w="3228" w:type="dxa"/>
                  <w:tcBorders>
                    <w:tl2br w:val="nil"/>
                    <w:tr2bl w:val="nil"/>
                  </w:tcBorders>
                  <w:vAlign w:val="center"/>
                </w:tcPr>
                <w:p w14:paraId="00D2282A">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本项目非密封放射性物质工作场所周边无产科、儿科、食堂等部门及人员密集区，核医学工作</w:t>
                  </w:r>
                  <w:r>
                    <w:rPr>
                      <w:rFonts w:hint="eastAsia" w:cs="Times New Roman"/>
                      <w:color w:val="auto"/>
                      <w:sz w:val="21"/>
                      <w:szCs w:val="21"/>
                      <w:highlight w:val="none"/>
                      <w:vertAlign w:val="baseline"/>
                      <w:lang w:val="en-US" w:eastAsia="zh-CN" w:bidi="ar-SA"/>
                    </w:rPr>
                    <w:t>场所</w:t>
                  </w:r>
                  <w:r>
                    <w:rPr>
                      <w:rFonts w:hint="default" w:ascii="Times New Roman" w:hAnsi="Times New Roman" w:cs="Times New Roman"/>
                      <w:color w:val="auto"/>
                      <w:sz w:val="21"/>
                      <w:szCs w:val="21"/>
                      <w:highlight w:val="none"/>
                      <w:vertAlign w:val="baseline"/>
                      <w:lang w:val="en-US" w:eastAsia="zh-CN" w:bidi="ar-SA"/>
                    </w:rPr>
                    <w:t>和非放射性工作</w:t>
                  </w:r>
                  <w:r>
                    <w:rPr>
                      <w:rFonts w:hint="eastAsia" w:cs="Times New Roman"/>
                      <w:color w:val="auto"/>
                      <w:sz w:val="21"/>
                      <w:szCs w:val="21"/>
                      <w:highlight w:val="none"/>
                      <w:vertAlign w:val="baseline"/>
                      <w:lang w:val="en-US" w:eastAsia="zh-CN" w:bidi="ar-SA"/>
                    </w:rPr>
                    <w:t>场所</w:t>
                  </w:r>
                  <w:r>
                    <w:rPr>
                      <w:rFonts w:hint="default" w:ascii="Times New Roman" w:hAnsi="Times New Roman" w:cs="Times New Roman"/>
                      <w:color w:val="auto"/>
                      <w:sz w:val="21"/>
                      <w:szCs w:val="21"/>
                      <w:highlight w:val="none"/>
                      <w:vertAlign w:val="baseline"/>
                      <w:lang w:val="en-US" w:eastAsia="zh-CN" w:bidi="ar-SA"/>
                    </w:rPr>
                    <w:t>使用门禁隔离。</w:t>
                  </w:r>
                </w:p>
              </w:tc>
              <w:tc>
                <w:tcPr>
                  <w:tcW w:w="1078" w:type="dxa"/>
                  <w:tcBorders>
                    <w:tl2br w:val="nil"/>
                    <w:tr2bl w:val="nil"/>
                  </w:tcBorders>
                  <w:vAlign w:val="center"/>
                </w:tcPr>
                <w:p w14:paraId="20D10516">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符合</w:t>
                  </w:r>
                </w:p>
              </w:tc>
            </w:tr>
            <w:tr w14:paraId="74BF43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1" w:hRule="atLeast"/>
                <w:jc w:val="center"/>
              </w:trPr>
              <w:tc>
                <w:tcPr>
                  <w:tcW w:w="4734" w:type="dxa"/>
                  <w:tcBorders>
                    <w:tl2br w:val="nil"/>
                    <w:tr2bl w:val="nil"/>
                  </w:tcBorders>
                  <w:vAlign w:val="center"/>
                </w:tcPr>
                <w:p w14:paraId="24EA3DB7">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5.1.2核医学工作场所平面布局设计应遵循如下原则：</w:t>
                  </w:r>
                </w:p>
                <w:p w14:paraId="505267E2">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a)使工作场所的外照射水平和污染发生的概率达到尽可能小；</w:t>
                  </w:r>
                </w:p>
                <w:p w14:paraId="75D264FB">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b)保持影像设备工作场所内较低辐射水平以避免对影像质量的干扰；</w:t>
                  </w:r>
                </w:p>
                <w:p w14:paraId="4DB7A82A">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c)在核医学诊疗工作区域，控制区的入口和出口应设置门锁权限控制和单向门等安全措施，限制患者或受检者的随意流动，保证工作场所内的工作人员和公众免受不必要的照射；</w:t>
                  </w:r>
                </w:p>
                <w:p w14:paraId="545D6EEE">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d)在分装和给药室的出口处应设计卫生通过间，进行污染检测。</w:t>
                  </w:r>
                </w:p>
              </w:tc>
              <w:tc>
                <w:tcPr>
                  <w:tcW w:w="3228" w:type="dxa"/>
                  <w:tcBorders>
                    <w:tl2br w:val="nil"/>
                    <w:tr2bl w:val="nil"/>
                  </w:tcBorders>
                  <w:vAlign w:val="center"/>
                </w:tcPr>
                <w:p w14:paraId="75344D58">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本项目科学设置防护措施，使关注点外的剂量率结果在标准限值之内，各区域之间通道门上装有门禁系统，限制无关人员入内。本项目设有更衣室和缓冲间，便于污染检测。</w:t>
                  </w:r>
                </w:p>
              </w:tc>
              <w:tc>
                <w:tcPr>
                  <w:tcW w:w="1078" w:type="dxa"/>
                  <w:tcBorders>
                    <w:tl2br w:val="nil"/>
                    <w:tr2bl w:val="nil"/>
                  </w:tcBorders>
                  <w:vAlign w:val="center"/>
                </w:tcPr>
                <w:p w14:paraId="39A9CED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符合</w:t>
                  </w:r>
                </w:p>
              </w:tc>
            </w:tr>
            <w:tr w14:paraId="4081D6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91" w:hRule="atLeast"/>
                <w:jc w:val="center"/>
              </w:trPr>
              <w:tc>
                <w:tcPr>
                  <w:tcW w:w="4734" w:type="dxa"/>
                  <w:tcBorders>
                    <w:tl2br w:val="nil"/>
                    <w:tr2bl w:val="nil"/>
                  </w:tcBorders>
                  <w:vAlign w:val="center"/>
                </w:tcPr>
                <w:p w14:paraId="6AA79BA2">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5.1.4核医学放射工作场所应划分为控制区和监督区。控制区一般包括使用非密封源核素的房间（放射性药物贮存室、分装及（或）药物准备室、给药室等）、扫描室、给药后候诊室、样品测量室、放射性废物储藏室、病房（使用非密封源治疗患者）、卫生通过间、保洁用品储存场所等。监督区一般包括控制室、员工休息室、更衣室、医务人员卫生间等。应根据GB18871的有关规定，结合核医学科的具体情况，对控制区和监督区采取相应管理措施。</w:t>
                  </w:r>
                </w:p>
              </w:tc>
              <w:tc>
                <w:tcPr>
                  <w:tcW w:w="3228" w:type="dxa"/>
                  <w:tcBorders>
                    <w:tl2br w:val="nil"/>
                    <w:tr2bl w:val="nil"/>
                  </w:tcBorders>
                  <w:vAlign w:val="center"/>
                </w:tcPr>
                <w:p w14:paraId="1344BFA9">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本项目涉及核素使用、射线装置使用的场所设置为控制区、控制区相邻的场所设置为监督区，并采取相应管理措施。</w:t>
                  </w:r>
                </w:p>
              </w:tc>
              <w:tc>
                <w:tcPr>
                  <w:tcW w:w="1078" w:type="dxa"/>
                  <w:tcBorders>
                    <w:tl2br w:val="nil"/>
                    <w:tr2bl w:val="nil"/>
                  </w:tcBorders>
                  <w:vAlign w:val="center"/>
                </w:tcPr>
                <w:p w14:paraId="1E59583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符合</w:t>
                  </w:r>
                </w:p>
              </w:tc>
            </w:tr>
            <w:tr w14:paraId="1F6C40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89" w:hRule="atLeast"/>
                <w:jc w:val="center"/>
              </w:trPr>
              <w:tc>
                <w:tcPr>
                  <w:tcW w:w="4734" w:type="dxa"/>
                  <w:tcBorders>
                    <w:tl2br w:val="nil"/>
                    <w:tr2bl w:val="nil"/>
                  </w:tcBorders>
                  <w:vAlign w:val="center"/>
                </w:tcPr>
                <w:p w14:paraId="3A6333F8">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5.1.6通过设计合适的时间空间交通模式来控制辐射源（放射性药物、放射性废物、给药后患者或受检者）的活动，给药后患者或受检者与注射放射性药物前患者或受检者不交叉，给药后患者或受检者与工作人员不交叉，人员与放射性药物通道不交叉。合理设置放射性物质运输通道，便于放射性药物、放射性废物的运送和处理；便于放射性污染的清理、清洗等。</w:t>
                  </w:r>
                </w:p>
              </w:tc>
              <w:tc>
                <w:tcPr>
                  <w:tcW w:w="3228" w:type="dxa"/>
                  <w:tcBorders>
                    <w:tl2br w:val="nil"/>
                    <w:tr2bl w:val="nil"/>
                  </w:tcBorders>
                  <w:vAlign w:val="center"/>
                </w:tcPr>
                <w:p w14:paraId="600E6B3F">
                  <w:pPr>
                    <w:keepNext w:val="0"/>
                    <w:keepLines w:val="0"/>
                    <w:suppressLineNumbers w:val="0"/>
                    <w:spacing w:before="0" w:beforeAutospacing="0" w:after="0" w:afterAutospacing="0"/>
                    <w:ind w:left="0" w:right="0"/>
                    <w:jc w:val="left"/>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本项目在已许可的北院区核医学楼和</w:t>
                  </w:r>
                  <w:r>
                    <w:rPr>
                      <w:rFonts w:hint="eastAsia" w:cs="Times New Roman"/>
                      <w:color w:val="auto"/>
                      <w:sz w:val="21"/>
                      <w:szCs w:val="21"/>
                      <w:highlight w:val="none"/>
                      <w:vertAlign w:val="baseline"/>
                      <w:lang w:val="en-US" w:eastAsia="zh-CN" w:bidi="ar-SA"/>
                    </w:rPr>
                    <w:t>综合楼介入2室内进行扩建</w:t>
                  </w:r>
                  <w:r>
                    <w:rPr>
                      <w:rFonts w:hint="default" w:ascii="Times New Roman" w:hAnsi="Times New Roman" w:cs="Times New Roman"/>
                      <w:color w:val="auto"/>
                      <w:sz w:val="21"/>
                      <w:szCs w:val="21"/>
                      <w:highlight w:val="none"/>
                      <w:vertAlign w:val="baseline"/>
                      <w:lang w:val="en-US" w:eastAsia="zh-CN" w:bidi="ar-SA"/>
                    </w:rPr>
                    <w:t>，既有项目人流物流设计运行较为合理。</w:t>
                  </w:r>
                </w:p>
              </w:tc>
              <w:tc>
                <w:tcPr>
                  <w:tcW w:w="1078" w:type="dxa"/>
                  <w:tcBorders>
                    <w:tl2br w:val="nil"/>
                    <w:tr2bl w:val="nil"/>
                  </w:tcBorders>
                  <w:vAlign w:val="center"/>
                </w:tcPr>
                <w:p w14:paraId="32BC30B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bidi="ar-SA"/>
                    </w:rPr>
                    <w:t>符合</w:t>
                  </w:r>
                </w:p>
              </w:tc>
            </w:tr>
          </w:tbl>
          <w:p w14:paraId="7D5B107F">
            <w:pPr>
              <w:pStyle w:val="12"/>
              <w:keepNext w:val="0"/>
              <w:keepLines w:val="0"/>
              <w:suppressLineNumbers w:val="0"/>
              <w:spacing w:before="0" w:beforeAutospacing="0" w:after="0" w:afterAutospacing="0"/>
              <w:ind w:left="0" w:right="0"/>
              <w:rPr>
                <w:rFonts w:hint="default" w:ascii="Times New Roman" w:hAnsi="Times New Roman" w:cs="Times New Roman"/>
                <w:color w:val="auto"/>
                <w:highlight w:val="none"/>
                <w:lang w:val="en-US" w:eastAsia="zh-CN"/>
              </w:rPr>
            </w:pPr>
          </w:p>
          <w:p w14:paraId="40CE54B7">
            <w:pPr>
              <w:pStyle w:val="43"/>
              <w:keepNext w:val="0"/>
              <w:keepLines w:val="0"/>
              <w:suppressLineNumbers w:val="0"/>
              <w:spacing w:before="34" w:beforeLines="0" w:beforeAutospacing="0" w:after="0" w:afterLines="0" w:afterAutospacing="0" w:line="360" w:lineRule="auto"/>
              <w:ind w:left="0" w:right="0" w:firstLine="472" w:firstLineChars="200"/>
              <w:rPr>
                <w:rFonts w:hint="default" w:ascii="Times New Roman" w:hAnsi="Times New Roman" w:eastAsia="宋体" w:cs="Times New Roman"/>
                <w:b w:val="0"/>
                <w:bCs/>
                <w:color w:val="auto"/>
                <w:spacing w:val="-2"/>
                <w:sz w:val="24"/>
                <w:szCs w:val="24"/>
                <w:highlight w:val="none"/>
                <w:lang w:val="en-US" w:eastAsia="zh-CN"/>
              </w:rPr>
            </w:pPr>
            <w:r>
              <w:rPr>
                <w:rFonts w:hint="default" w:ascii="Times New Roman" w:hAnsi="Times New Roman" w:eastAsia="宋体" w:cs="Times New Roman"/>
                <w:b w:val="0"/>
                <w:bCs/>
                <w:color w:val="auto"/>
                <w:spacing w:val="-2"/>
                <w:sz w:val="24"/>
                <w:szCs w:val="24"/>
                <w:highlight w:val="none"/>
                <w:lang w:val="en-US" w:eastAsia="zh-CN"/>
              </w:rPr>
              <w:t>综上所述，本项目选址较为合理</w:t>
            </w:r>
            <w:r>
              <w:rPr>
                <w:rFonts w:hint="default" w:ascii="Times New Roman" w:hAnsi="Times New Roman" w:cs="Times New Roman"/>
                <w:b w:val="0"/>
                <w:bCs/>
                <w:color w:val="auto"/>
                <w:spacing w:val="-2"/>
                <w:sz w:val="24"/>
                <w:szCs w:val="24"/>
                <w:highlight w:val="none"/>
                <w:lang w:val="en-US" w:eastAsia="zh-CN"/>
              </w:rPr>
              <w:t>，项目选址符合</w:t>
            </w:r>
            <w:r>
              <w:rPr>
                <w:rFonts w:hint="default" w:ascii="Times New Roman" w:hAnsi="Times New Roman" w:eastAsia="宋体" w:cs="Times New Roman"/>
                <w:b w:val="0"/>
                <w:bCs/>
                <w:color w:val="auto"/>
                <w:spacing w:val="-2"/>
                <w:sz w:val="24"/>
                <w:szCs w:val="24"/>
                <w:highlight w:val="none"/>
                <w:lang w:val="en-US" w:eastAsia="zh-CN"/>
              </w:rPr>
              <w:t>《核医学辐射防护与安全要求》（HJ 1188-2021）</w:t>
            </w:r>
            <w:r>
              <w:rPr>
                <w:rFonts w:hint="default" w:ascii="Times New Roman" w:hAnsi="Times New Roman" w:cs="Times New Roman"/>
                <w:b w:val="0"/>
                <w:bCs/>
                <w:color w:val="auto"/>
                <w:spacing w:val="-2"/>
                <w:sz w:val="24"/>
                <w:szCs w:val="24"/>
                <w:highlight w:val="none"/>
                <w:lang w:val="en-US" w:eastAsia="zh-CN"/>
              </w:rPr>
              <w:t>和</w:t>
            </w:r>
            <w:r>
              <w:rPr>
                <w:rFonts w:hint="default" w:ascii="Times New Roman" w:hAnsi="Times New Roman" w:eastAsia="宋体" w:cs="Times New Roman"/>
                <w:b w:val="0"/>
                <w:bCs/>
                <w:color w:val="auto"/>
                <w:spacing w:val="-2"/>
                <w:sz w:val="24"/>
                <w:szCs w:val="24"/>
                <w:highlight w:val="none"/>
                <w:lang w:val="en-US" w:eastAsia="zh-CN"/>
              </w:rPr>
              <w:t>《核医学放射防护要求》（GBZ 120—2020）</w:t>
            </w:r>
            <w:r>
              <w:rPr>
                <w:rFonts w:hint="default" w:ascii="Times New Roman" w:hAnsi="Times New Roman" w:cs="Times New Roman"/>
                <w:b w:val="0"/>
                <w:bCs/>
                <w:color w:val="auto"/>
                <w:spacing w:val="-2"/>
                <w:sz w:val="24"/>
                <w:szCs w:val="24"/>
                <w:highlight w:val="none"/>
                <w:lang w:val="en-US" w:eastAsia="zh-CN"/>
              </w:rPr>
              <w:t>中的相关要求。</w:t>
            </w:r>
          </w:p>
          <w:p w14:paraId="151D19FF">
            <w:pPr>
              <w:pStyle w:val="43"/>
              <w:keepNext w:val="0"/>
              <w:keepLines w:val="0"/>
              <w:suppressLineNumbers w:val="0"/>
              <w:spacing w:before="34" w:beforeLines="0" w:beforeAutospacing="0" w:after="0" w:afterLines="0" w:afterAutospacing="0" w:line="360" w:lineRule="auto"/>
              <w:ind w:left="123" w:right="0"/>
              <w:rPr>
                <w:rFonts w:hint="default" w:ascii="Times New Roman" w:hAnsi="Times New Roman" w:eastAsia="宋体" w:cs="Times New Roman"/>
                <w:b/>
                <w:color w:val="auto"/>
                <w:spacing w:val="-2"/>
                <w:sz w:val="24"/>
                <w:szCs w:val="24"/>
                <w:highlight w:val="none"/>
                <w:lang w:val="en-US" w:eastAsia="zh-CN"/>
              </w:rPr>
            </w:pPr>
            <w:r>
              <w:rPr>
                <w:rFonts w:hint="default" w:ascii="Times New Roman" w:hAnsi="Times New Roman" w:eastAsia="宋体" w:cs="Times New Roman"/>
                <w:b/>
                <w:color w:val="auto"/>
                <w:spacing w:val="-2"/>
                <w:sz w:val="24"/>
                <w:szCs w:val="24"/>
                <w:highlight w:val="none"/>
                <w:lang w:val="en-US" w:eastAsia="zh-CN"/>
              </w:rPr>
              <w:t>1.3.3与生态环境分区管控相关政策文件符合性分析</w:t>
            </w:r>
          </w:p>
          <w:p w14:paraId="563A44A7">
            <w:pPr>
              <w:pStyle w:val="45"/>
              <w:keepNext w:val="0"/>
              <w:keepLines w:val="0"/>
              <w:suppressLineNumbers w:val="0"/>
              <w:bidi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kern w:val="0"/>
                <w:sz w:val="24"/>
                <w:szCs w:val="22"/>
                <w:highlight w:val="none"/>
                <w:lang w:val="en-US" w:eastAsia="zh-CN" w:bidi="ar-SA"/>
              </w:rPr>
              <w:t>（1）与“关于印发《新疆维吾尔自治区生态环境分区管控动态更新成果》的通知”(新环环评发〔2024〕157号)符合性分析</w:t>
            </w:r>
          </w:p>
          <w:p w14:paraId="5F5D5DB7">
            <w:pPr>
              <w:keepNext w:val="0"/>
              <w:keepLines w:val="0"/>
              <w:suppressLineNumbers w:val="0"/>
              <w:spacing w:before="0" w:beforeLines="0" w:beforeAutospacing="0" w:after="0" w:afterLines="0" w:afterAutospacing="0" w:line="360" w:lineRule="auto"/>
              <w:ind w:left="0" w:right="0" w:firstLine="482" w:firstLineChars="200"/>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表1-</w:t>
            </w:r>
            <w:r>
              <w:rPr>
                <w:rFonts w:hint="eastAsia" w:cs="Times New Roman"/>
                <w:b/>
                <w:color w:val="auto"/>
                <w:sz w:val="24"/>
                <w:szCs w:val="24"/>
                <w:highlight w:val="none"/>
                <w:lang w:val="en-US" w:eastAsia="zh-CN"/>
              </w:rPr>
              <w:t>9</w:t>
            </w:r>
            <w:r>
              <w:rPr>
                <w:rFonts w:hint="default" w:ascii="Times New Roman" w:hAnsi="Times New Roman" w:cs="Times New Roman"/>
                <w:b/>
                <w:color w:val="auto"/>
                <w:sz w:val="24"/>
                <w:szCs w:val="24"/>
                <w:highlight w:val="none"/>
                <w:lang w:val="en-US" w:eastAsia="zh-CN"/>
              </w:rPr>
              <w:t xml:space="preserve"> </w:t>
            </w:r>
            <w:r>
              <w:rPr>
                <w:rFonts w:hint="default" w:ascii="Times New Roman" w:hAnsi="Times New Roman" w:cs="Times New Roman"/>
                <w:b/>
                <w:color w:val="auto"/>
                <w:sz w:val="24"/>
                <w:szCs w:val="24"/>
                <w:highlight w:val="none"/>
              </w:rPr>
              <w:t xml:space="preserve"> 本项目与新环环评发〔2024〕157号相符性分析</w:t>
            </w:r>
          </w:p>
          <w:tbl>
            <w:tblPr>
              <w:tblStyle w:val="22"/>
              <w:tblW w:w="919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5195"/>
              <w:gridCol w:w="3286"/>
              <w:gridCol w:w="717"/>
            </w:tblGrid>
            <w:tr w14:paraId="2468F7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3" w:hRule="atLeast"/>
                <w:jc w:val="center"/>
              </w:trPr>
              <w:tc>
                <w:tcPr>
                  <w:tcW w:w="5195" w:type="dxa"/>
                  <w:tcBorders>
                    <w:top w:val="single" w:color="000000" w:sz="12" w:space="0"/>
                    <w:left w:val="single" w:color="000000" w:sz="12" w:space="0"/>
                    <w:bottom w:val="single" w:color="000000" w:sz="4" w:space="0"/>
                    <w:right w:val="single" w:color="000000" w:sz="4" w:space="0"/>
                    <w:tl2br w:val="nil"/>
                    <w:tr2bl w:val="nil"/>
                  </w:tcBorders>
                  <w:noWrap w:val="0"/>
                  <w:vAlign w:val="center"/>
                </w:tcPr>
                <w:p w14:paraId="7EC455A9">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新环环评发〔2024〕157号文要求</w:t>
                  </w:r>
                </w:p>
              </w:tc>
              <w:tc>
                <w:tcPr>
                  <w:tcW w:w="3286"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563DF7F2">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本项目</w:t>
                  </w:r>
                </w:p>
              </w:tc>
              <w:tc>
                <w:tcPr>
                  <w:tcW w:w="717" w:type="dxa"/>
                  <w:tcBorders>
                    <w:top w:val="single" w:color="000000" w:sz="12" w:space="0"/>
                    <w:left w:val="single" w:color="000000" w:sz="4" w:space="0"/>
                    <w:bottom w:val="single" w:color="000000" w:sz="4" w:space="0"/>
                    <w:right w:val="single" w:color="000000" w:sz="12" w:space="0"/>
                    <w:tl2br w:val="nil"/>
                    <w:tr2bl w:val="nil"/>
                  </w:tcBorders>
                  <w:noWrap w:val="0"/>
                  <w:vAlign w:val="center"/>
                </w:tcPr>
                <w:p w14:paraId="308A8435">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相符性</w:t>
                  </w:r>
                </w:p>
              </w:tc>
            </w:tr>
            <w:tr w14:paraId="5FDEA3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509" w:hRule="atLeast"/>
                <w:jc w:val="center"/>
              </w:trPr>
              <w:tc>
                <w:tcPr>
                  <w:tcW w:w="5195" w:type="dxa"/>
                  <w:tcBorders>
                    <w:top w:val="single" w:color="000000" w:sz="4" w:space="0"/>
                    <w:left w:val="single" w:color="000000" w:sz="12" w:space="0"/>
                    <w:bottom w:val="single" w:color="000000" w:sz="4" w:space="0"/>
                    <w:right w:val="single" w:color="000000" w:sz="4" w:space="0"/>
                    <w:tl2br w:val="nil"/>
                    <w:tr2bl w:val="nil"/>
                  </w:tcBorders>
                  <w:noWrap w:val="0"/>
                  <w:vAlign w:val="center"/>
                </w:tcPr>
                <w:p w14:paraId="47738F88">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空间布局约束：〔A1.1-1〕禁止新建、扩建《产业结构调整指导目录(2024年本)》中淘汰类项目。禁止引入《市场准入负面清单(2022年版)》禁止准入类事项。〔A1.1-2〕禁止建设不符合国家和自治区环境保护标准的项目。〔A1.2-2〕建设项目用地原则上不得占用永久基本农田，确需占用永久基本农田的建设项目须符合《中华人民共和国基本农田保护条例》中的相关要求，占用水浇地、林地或草地的建设项目须按照国家、自治区相关补偿要求进行补偿。〔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w:t>
                  </w:r>
                </w:p>
              </w:tc>
              <w:tc>
                <w:tcPr>
                  <w:tcW w:w="32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DC3EB7">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本项目使用核素用于临床诊断、治疗，符合国家发展和改革委员会《产业结构调整指导目录（2024年本）》中鼓励类项目（第六项核能，4．核技术应用，故本项目建设符合产业政策。本项目在已许可的医院北院区核医学楼和</w:t>
                  </w:r>
                  <w:r>
                    <w:rPr>
                      <w:rFonts w:hint="eastAsia" w:cs="Times New Roman"/>
                      <w:color w:val="auto"/>
                      <w:sz w:val="21"/>
                      <w:szCs w:val="24"/>
                      <w:highlight w:val="none"/>
                      <w:lang w:val="en-US" w:eastAsia="zh-CN"/>
                    </w:rPr>
                    <w:t>综合楼介入2室</w:t>
                  </w:r>
                  <w:r>
                    <w:rPr>
                      <w:rFonts w:hint="default" w:ascii="Times New Roman" w:hAnsi="Times New Roman" w:cs="Times New Roman"/>
                      <w:color w:val="auto"/>
                      <w:sz w:val="21"/>
                      <w:szCs w:val="24"/>
                      <w:highlight w:val="none"/>
                      <w:lang w:val="en-US" w:eastAsia="zh-CN"/>
                    </w:rPr>
                    <w:t>内建设，不占用农田，符合乌鲁木齐市国土空间规划。</w:t>
                  </w:r>
                </w:p>
              </w:tc>
              <w:tc>
                <w:tcPr>
                  <w:tcW w:w="717" w:type="dxa"/>
                  <w:tcBorders>
                    <w:top w:val="single" w:color="000000" w:sz="4" w:space="0"/>
                    <w:left w:val="single" w:color="000000" w:sz="4" w:space="0"/>
                    <w:bottom w:val="single" w:color="000000" w:sz="4" w:space="0"/>
                    <w:right w:val="single" w:color="000000" w:sz="12" w:space="0"/>
                    <w:tl2br w:val="nil"/>
                    <w:tr2bl w:val="nil"/>
                  </w:tcBorders>
                  <w:noWrap w:val="0"/>
                  <w:vAlign w:val="center"/>
                </w:tcPr>
                <w:p w14:paraId="3AF57E66">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符合</w:t>
                  </w:r>
                </w:p>
              </w:tc>
            </w:tr>
            <w:tr w14:paraId="3DFC24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37" w:hRule="atLeast"/>
                <w:jc w:val="center"/>
              </w:trPr>
              <w:tc>
                <w:tcPr>
                  <w:tcW w:w="5195" w:type="dxa"/>
                  <w:tcBorders>
                    <w:top w:val="single" w:color="000000" w:sz="4" w:space="0"/>
                    <w:left w:val="single" w:color="000000" w:sz="12" w:space="0"/>
                    <w:bottom w:val="single" w:color="000000" w:sz="4" w:space="0"/>
                    <w:right w:val="single" w:color="000000" w:sz="4" w:space="0"/>
                    <w:tl2br w:val="nil"/>
                    <w:tr2bl w:val="nil"/>
                  </w:tcBorders>
                  <w:noWrap w:val="0"/>
                  <w:vAlign w:val="center"/>
                </w:tcPr>
                <w:p w14:paraId="271823F1">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污染物排放管控：〔A2.1-1〕新、改、扩建重点行业建设项目应符合“三线一单”、产业政策、区域环评、规划环评和行业环境准入管控要求。重点区域的新、改、扩建重点行业建设项目应遵循重点重金属污染物排放“减量替代”原则。〔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w:t>
                  </w:r>
                </w:p>
              </w:tc>
              <w:tc>
                <w:tcPr>
                  <w:tcW w:w="32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A3C615F">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rPr>
                    <w:t>本项目为</w:t>
                  </w:r>
                  <w:r>
                    <w:rPr>
                      <w:rFonts w:hint="default" w:ascii="Times New Roman" w:hAnsi="Times New Roman" w:cs="Times New Roman"/>
                      <w:color w:val="auto"/>
                      <w:sz w:val="21"/>
                      <w:szCs w:val="24"/>
                      <w:highlight w:val="none"/>
                      <w:lang w:val="en-US" w:eastAsia="zh-CN"/>
                    </w:rPr>
                    <w:t>核技术利用项目</w:t>
                  </w:r>
                  <w:r>
                    <w:rPr>
                      <w:rFonts w:hint="default" w:ascii="Times New Roman" w:hAnsi="Times New Roman" w:cs="Times New Roman"/>
                      <w:color w:val="auto"/>
                      <w:sz w:val="21"/>
                      <w:szCs w:val="24"/>
                      <w:highlight w:val="none"/>
                    </w:rPr>
                    <w:t>，不涉及重金属污染物排放，也不涉及能源、钢铁、建材、有色、电力、化工等重点行业。</w:t>
                  </w:r>
                  <w:r>
                    <w:rPr>
                      <w:rFonts w:hint="default" w:ascii="Times New Roman" w:hAnsi="Times New Roman" w:cs="Times New Roman"/>
                      <w:color w:val="auto"/>
                      <w:sz w:val="21"/>
                      <w:szCs w:val="24"/>
                      <w:highlight w:val="none"/>
                      <w:lang w:val="en-US" w:eastAsia="zh-CN"/>
                    </w:rPr>
                    <w:t>本项目选用绿色节能设备，可以降低碳排放。</w:t>
                  </w:r>
                </w:p>
              </w:tc>
              <w:tc>
                <w:tcPr>
                  <w:tcW w:w="717" w:type="dxa"/>
                  <w:tcBorders>
                    <w:top w:val="single" w:color="000000" w:sz="4" w:space="0"/>
                    <w:left w:val="single" w:color="000000" w:sz="4" w:space="0"/>
                    <w:bottom w:val="single" w:color="000000" w:sz="4" w:space="0"/>
                    <w:right w:val="single" w:color="000000" w:sz="12" w:space="0"/>
                    <w:tl2br w:val="nil"/>
                    <w:tr2bl w:val="nil"/>
                  </w:tcBorders>
                  <w:noWrap w:val="0"/>
                  <w:vAlign w:val="center"/>
                </w:tcPr>
                <w:p w14:paraId="33BC5A83">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符合</w:t>
                  </w:r>
                </w:p>
              </w:tc>
            </w:tr>
            <w:tr w14:paraId="631F82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15" w:hRule="atLeast"/>
                <w:jc w:val="center"/>
              </w:trPr>
              <w:tc>
                <w:tcPr>
                  <w:tcW w:w="5195" w:type="dxa"/>
                  <w:tcBorders>
                    <w:top w:val="single" w:color="000000" w:sz="4" w:space="0"/>
                    <w:left w:val="single" w:color="000000" w:sz="12" w:space="0"/>
                    <w:bottom w:val="single" w:color="000000" w:sz="4" w:space="0"/>
                    <w:right w:val="single" w:color="000000" w:sz="4" w:space="0"/>
                    <w:tl2br w:val="nil"/>
                    <w:tr2bl w:val="nil"/>
                  </w:tcBorders>
                  <w:noWrap w:val="0"/>
                  <w:vAlign w:val="center"/>
                </w:tcPr>
                <w:p w14:paraId="0C877A5E">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环境风险防控：〔A3.2-2〕依法推行农用地分类管理制度，强化受污染水浇地安全利用和风险管控。因地制宜制定实施安全利用方案，鼓励采取种植结构调整等措施，确保受污染水浇地全部实现安全利用。〔A3.2-4〕加强环境风险预警防控。加强涉危险废物企业、涉重金属企业、化工园区、集中式饮用水水源地及重点流域环境风险调查评估，实施分类分级风险管控，协同推进重点区域、流域生态环境污染综合防治、风险防控与生态修复。</w:t>
                  </w:r>
                </w:p>
              </w:tc>
              <w:tc>
                <w:tcPr>
                  <w:tcW w:w="3286"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425C9CA">
                  <w:pPr>
                    <w:keepNext w:val="0"/>
                    <w:keepLines w:val="0"/>
                    <w:suppressLineNumbers w:val="0"/>
                    <w:spacing w:before="0" w:beforeLines="0" w:beforeAutospacing="0" w:after="0" w:afterLines="0" w:afterAutospacing="0"/>
                    <w:ind w:left="0" w:right="0"/>
                    <w:jc w:val="both"/>
                    <w:rPr>
                      <w:rFonts w:hint="default" w:ascii="Times New Roman" w:hAnsi="Times New Roman" w:eastAsia="宋体" w:cs="Times New Roman"/>
                      <w:color w:val="auto"/>
                      <w:sz w:val="21"/>
                      <w:szCs w:val="24"/>
                      <w:highlight w:val="none"/>
                      <w:lang w:val="en-US" w:eastAsia="zh-CN"/>
                    </w:rPr>
                  </w:pPr>
                  <w:r>
                    <w:rPr>
                      <w:rFonts w:hint="default" w:ascii="Times New Roman" w:hAnsi="Times New Roman" w:cs="Times New Roman"/>
                      <w:color w:val="auto"/>
                      <w:sz w:val="21"/>
                      <w:szCs w:val="24"/>
                      <w:highlight w:val="none"/>
                    </w:rPr>
                    <w:t>本项目用地类型为</w:t>
                  </w:r>
                  <w:r>
                    <w:rPr>
                      <w:rFonts w:hint="default" w:ascii="Times New Roman" w:hAnsi="Times New Roman" w:cs="Times New Roman"/>
                      <w:color w:val="auto"/>
                      <w:sz w:val="21"/>
                      <w:szCs w:val="24"/>
                      <w:highlight w:val="none"/>
                      <w:lang w:val="en-US" w:eastAsia="zh-CN"/>
                    </w:rPr>
                    <w:t>医疗卫生</w:t>
                  </w:r>
                  <w:r>
                    <w:rPr>
                      <w:rFonts w:hint="default" w:ascii="Times New Roman" w:hAnsi="Times New Roman" w:cs="Times New Roman"/>
                      <w:color w:val="auto"/>
                      <w:sz w:val="21"/>
                      <w:szCs w:val="24"/>
                      <w:highlight w:val="none"/>
                    </w:rPr>
                    <w:t>用地，</w:t>
                  </w:r>
                  <w:r>
                    <w:rPr>
                      <w:rFonts w:hint="default" w:ascii="Times New Roman" w:hAnsi="Times New Roman" w:cs="Times New Roman"/>
                      <w:color w:val="auto"/>
                      <w:sz w:val="21"/>
                      <w:szCs w:val="24"/>
                      <w:highlight w:val="none"/>
                      <w:lang w:val="en-US" w:eastAsia="zh-CN"/>
                    </w:rPr>
                    <w:t>在已许可的医院北院区核医学楼和</w:t>
                  </w:r>
                  <w:r>
                    <w:rPr>
                      <w:rFonts w:hint="eastAsia" w:cs="Times New Roman"/>
                      <w:color w:val="auto"/>
                      <w:sz w:val="21"/>
                      <w:szCs w:val="24"/>
                      <w:highlight w:val="none"/>
                      <w:lang w:val="en-US" w:eastAsia="zh-CN"/>
                    </w:rPr>
                    <w:t>综合楼介入2室</w:t>
                  </w:r>
                  <w:r>
                    <w:rPr>
                      <w:rFonts w:hint="default" w:ascii="Times New Roman" w:hAnsi="Times New Roman" w:cs="Times New Roman"/>
                      <w:color w:val="auto"/>
                      <w:sz w:val="21"/>
                      <w:szCs w:val="24"/>
                      <w:highlight w:val="none"/>
                      <w:lang w:val="en-US" w:eastAsia="zh-CN"/>
                    </w:rPr>
                    <w:t>内建设，本项目涉及的射线装置、核素经许可后才能使用，环境风险可控。</w:t>
                  </w:r>
                </w:p>
              </w:tc>
              <w:tc>
                <w:tcPr>
                  <w:tcW w:w="717" w:type="dxa"/>
                  <w:tcBorders>
                    <w:top w:val="single" w:color="000000" w:sz="4" w:space="0"/>
                    <w:left w:val="single" w:color="000000" w:sz="4" w:space="0"/>
                    <w:bottom w:val="single" w:color="000000" w:sz="4" w:space="0"/>
                    <w:right w:val="single" w:color="000000" w:sz="12" w:space="0"/>
                    <w:tl2br w:val="nil"/>
                    <w:tr2bl w:val="nil"/>
                  </w:tcBorders>
                  <w:noWrap w:val="0"/>
                  <w:vAlign w:val="center"/>
                </w:tcPr>
                <w:p w14:paraId="03350095">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符合</w:t>
                  </w:r>
                </w:p>
              </w:tc>
            </w:tr>
            <w:tr w14:paraId="1888DD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04" w:hRule="atLeast"/>
                <w:jc w:val="center"/>
              </w:trPr>
              <w:tc>
                <w:tcPr>
                  <w:tcW w:w="5195" w:type="dxa"/>
                  <w:tcBorders>
                    <w:top w:val="single" w:color="000000" w:sz="4" w:space="0"/>
                    <w:left w:val="single" w:color="000000" w:sz="12" w:space="0"/>
                    <w:bottom w:val="single" w:color="000000" w:sz="12" w:space="0"/>
                    <w:right w:val="single" w:color="000000" w:sz="4" w:space="0"/>
                    <w:tl2br w:val="nil"/>
                    <w:tr2bl w:val="nil"/>
                  </w:tcBorders>
                  <w:noWrap w:val="0"/>
                  <w:vAlign w:val="center"/>
                </w:tcPr>
                <w:p w14:paraId="7C0765E7">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资源利用要求：〔A4.1-4〕地下水资源利用实行总量控制和水位控制。取用地下水资源，应当按照国家和自治区有关规定申请取水许可。地下水利用应当以浅层地下水为主。〔A4.3-4〕鼓励使用清洁能源或电厂热力、工业余热等替代锅炉燃料用煤。</w:t>
                  </w:r>
                </w:p>
              </w:tc>
              <w:tc>
                <w:tcPr>
                  <w:tcW w:w="3286" w:type="dxa"/>
                  <w:tcBorders>
                    <w:top w:val="single" w:color="000000" w:sz="4" w:space="0"/>
                    <w:left w:val="single" w:color="000000" w:sz="4" w:space="0"/>
                    <w:bottom w:val="single" w:color="000000" w:sz="12" w:space="0"/>
                    <w:right w:val="single" w:color="000000" w:sz="4" w:space="0"/>
                    <w:tl2br w:val="nil"/>
                    <w:tr2bl w:val="nil"/>
                  </w:tcBorders>
                  <w:noWrap w:val="0"/>
                  <w:vAlign w:val="center"/>
                </w:tcPr>
                <w:p w14:paraId="3F4A1F5F">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本项目不涉及取用地下水资源。</w:t>
                  </w:r>
                </w:p>
              </w:tc>
              <w:tc>
                <w:tcPr>
                  <w:tcW w:w="717" w:type="dxa"/>
                  <w:tcBorders>
                    <w:top w:val="single" w:color="000000" w:sz="4" w:space="0"/>
                    <w:left w:val="single" w:color="000000" w:sz="4" w:space="0"/>
                    <w:bottom w:val="single" w:color="000000" w:sz="12" w:space="0"/>
                    <w:right w:val="single" w:color="000000" w:sz="12" w:space="0"/>
                    <w:tl2br w:val="nil"/>
                    <w:tr2bl w:val="nil"/>
                  </w:tcBorders>
                  <w:noWrap w:val="0"/>
                  <w:vAlign w:val="center"/>
                </w:tcPr>
                <w:p w14:paraId="6F7BBFFE">
                  <w:pPr>
                    <w:keepNext w:val="0"/>
                    <w:keepLines w:val="0"/>
                    <w:suppressLineNumbers w:val="0"/>
                    <w:spacing w:before="0" w:beforeLines="0" w:beforeAutospacing="0" w:after="0" w:afterLines="0" w:afterAutospacing="0"/>
                    <w:ind w:left="0" w:right="0"/>
                    <w:jc w:val="both"/>
                    <w:rPr>
                      <w:rFonts w:hint="default" w:ascii="Times New Roman" w:hAnsi="Times New Roman" w:cs="Times New Roman"/>
                      <w:color w:val="auto"/>
                      <w:sz w:val="21"/>
                      <w:szCs w:val="24"/>
                      <w:highlight w:val="none"/>
                    </w:rPr>
                  </w:pPr>
                  <w:r>
                    <w:rPr>
                      <w:rFonts w:hint="default" w:ascii="Times New Roman" w:hAnsi="Times New Roman" w:cs="Times New Roman"/>
                      <w:color w:val="auto"/>
                      <w:sz w:val="21"/>
                      <w:szCs w:val="24"/>
                      <w:highlight w:val="none"/>
                    </w:rPr>
                    <w:t>符合</w:t>
                  </w:r>
                </w:p>
              </w:tc>
            </w:tr>
          </w:tbl>
          <w:p w14:paraId="7F401BEC">
            <w:pPr>
              <w:pStyle w:val="45"/>
              <w:keepNext w:val="0"/>
              <w:keepLines w:val="0"/>
              <w:suppressLineNumbers w:val="0"/>
              <w:bidi w:val="0"/>
              <w:spacing w:before="0" w:beforeAutospacing="0" w:after="0" w:afterAutospacing="0" w:line="360" w:lineRule="auto"/>
              <w:ind w:left="0" w:right="0"/>
              <w:jc w:val="both"/>
              <w:rPr>
                <w:rFonts w:hint="default" w:ascii="Times New Roman" w:hAnsi="Times New Roman" w:eastAsia="宋体" w:cs="Times New Roman"/>
                <w:color w:val="auto"/>
                <w:kern w:val="0"/>
                <w:sz w:val="24"/>
                <w:szCs w:val="22"/>
                <w:highlight w:val="none"/>
                <w:lang w:val="en-US" w:eastAsia="zh-CN" w:bidi="ar-SA"/>
              </w:rPr>
            </w:pPr>
          </w:p>
          <w:p w14:paraId="2598E468">
            <w:pPr>
              <w:keepNext w:val="0"/>
              <w:keepLines w:val="0"/>
              <w:suppressLineNumbers w:val="0"/>
              <w:bidi w:val="0"/>
              <w:spacing w:before="0" w:beforeAutospacing="0" w:after="0" w:afterAutospacing="0" w:line="360" w:lineRule="auto"/>
              <w:ind w:left="0" w:right="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（2）与《关于发布乌鲁木齐市生态环境分区管控动态更新成果的通知》符合性分析</w:t>
            </w:r>
          </w:p>
          <w:p w14:paraId="7FC6ACC2">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根据《关于发布乌鲁木齐市生态环境分区管控动态更新成果的通知》，本项目属于高新区(新市区)城镇重点管控单元，环境管控单元代码为ZH65010420003。该单元生态环境准入清单管控要求及符合性分析见表1-</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w:t>
            </w:r>
          </w:p>
          <w:p w14:paraId="51A2BAD4">
            <w:pPr>
              <w:keepNext w:val="0"/>
              <w:keepLines w:val="0"/>
              <w:suppressLineNumbers w:val="0"/>
              <w:bidi w:val="0"/>
              <w:spacing w:before="0" w:beforeAutospacing="0" w:after="0" w:afterAutospacing="0" w:line="360" w:lineRule="auto"/>
              <w:ind w:left="0" w:right="0" w:firstLine="482" w:firstLineChars="20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表1-</w:t>
            </w:r>
            <w:r>
              <w:rPr>
                <w:rFonts w:hint="eastAsia" w:cs="Times New Roman"/>
                <w:b/>
                <w:bCs/>
                <w:color w:val="auto"/>
                <w:highlight w:val="none"/>
                <w:lang w:val="en-US" w:eastAsia="zh-CN"/>
              </w:rPr>
              <w:t>10</w:t>
            </w:r>
            <w:r>
              <w:rPr>
                <w:rFonts w:hint="default" w:ascii="Times New Roman" w:hAnsi="Times New Roman" w:cs="Times New Roman"/>
                <w:b/>
                <w:bCs/>
                <w:color w:val="auto"/>
                <w:highlight w:val="none"/>
                <w:lang w:val="en-US" w:eastAsia="zh-CN"/>
              </w:rPr>
              <w:t xml:space="preserve">  项目与生态环境准入清单管控要求及符合性分析</w:t>
            </w:r>
          </w:p>
          <w:tbl>
            <w:tblPr>
              <w:tblStyle w:val="22"/>
              <w:tblW w:w="488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88"/>
              <w:gridCol w:w="5644"/>
              <w:gridCol w:w="1875"/>
              <w:gridCol w:w="673"/>
            </w:tblGrid>
            <w:tr w14:paraId="091FF7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5000" w:type="pct"/>
                  <w:gridSpan w:val="4"/>
                  <w:tcBorders>
                    <w:tl2br w:val="nil"/>
                    <w:tr2bl w:val="nil"/>
                  </w:tcBorders>
                  <w:noWrap w:val="0"/>
                  <w:vAlign w:val="center"/>
                </w:tcPr>
                <w:p w14:paraId="7BCF392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总体要求</w:t>
                  </w:r>
                </w:p>
              </w:tc>
            </w:tr>
            <w:tr w14:paraId="5FE5E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8" w:type="pct"/>
                  <w:tcBorders>
                    <w:tl2br w:val="nil"/>
                    <w:tr2bl w:val="nil"/>
                  </w:tcBorders>
                  <w:noWrap w:val="0"/>
                  <w:vAlign w:val="center"/>
                </w:tcPr>
                <w:p w14:paraId="143EAF73">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管控维度</w:t>
                  </w:r>
                </w:p>
              </w:tc>
              <w:tc>
                <w:tcPr>
                  <w:tcW w:w="3107" w:type="pct"/>
                  <w:tcBorders>
                    <w:tl2br w:val="nil"/>
                    <w:tr2bl w:val="nil"/>
                  </w:tcBorders>
                  <w:noWrap w:val="0"/>
                  <w:vAlign w:val="center"/>
                </w:tcPr>
                <w:p w14:paraId="35FD832E">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管控内容</w:t>
                  </w:r>
                </w:p>
              </w:tc>
              <w:tc>
                <w:tcPr>
                  <w:tcW w:w="1032" w:type="pct"/>
                  <w:tcBorders>
                    <w:tl2br w:val="nil"/>
                    <w:tr2bl w:val="nil"/>
                  </w:tcBorders>
                  <w:noWrap w:val="0"/>
                  <w:vAlign w:val="center"/>
                </w:tcPr>
                <w:p w14:paraId="6546A8D6">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项目概况</w:t>
                  </w:r>
                </w:p>
              </w:tc>
              <w:tc>
                <w:tcPr>
                  <w:tcW w:w="370" w:type="pct"/>
                  <w:tcBorders>
                    <w:tl2br w:val="nil"/>
                    <w:tr2bl w:val="nil"/>
                  </w:tcBorders>
                  <w:noWrap w:val="0"/>
                  <w:vAlign w:val="center"/>
                </w:tcPr>
                <w:p w14:paraId="3016CF3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符合性</w:t>
                  </w:r>
                </w:p>
              </w:tc>
            </w:tr>
            <w:tr w14:paraId="1C8094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8" w:type="pct"/>
                  <w:tcBorders>
                    <w:tl2br w:val="nil"/>
                    <w:tr2bl w:val="nil"/>
                  </w:tcBorders>
                  <w:noWrap w:val="0"/>
                  <w:vAlign w:val="center"/>
                </w:tcPr>
                <w:p w14:paraId="697A5BA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空间布局约束</w:t>
                  </w:r>
                </w:p>
              </w:tc>
              <w:tc>
                <w:tcPr>
                  <w:tcW w:w="3107" w:type="pct"/>
                  <w:tcBorders>
                    <w:tl2br w:val="nil"/>
                    <w:tr2bl w:val="nil"/>
                  </w:tcBorders>
                  <w:noWrap w:val="0"/>
                  <w:vAlign w:val="center"/>
                </w:tcPr>
                <w:p w14:paraId="324BBE6D">
                  <w:pPr>
                    <w:keepNext w:val="0"/>
                    <w:keepLines w:val="0"/>
                    <w:widowControl/>
                    <w:numPr>
                      <w:ilvl w:val="1"/>
                      <w:numId w:val="1"/>
                    </w:numPr>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执行乌鲁木齐市空间布局约束准入要求。1．机场噪声影响区域内执行以下管控要求：</w:t>
                  </w:r>
                </w:p>
                <w:p w14:paraId="46F06A8E">
                  <w:pPr>
                    <w:keepNext w:val="0"/>
                    <w:keepLines w:val="0"/>
                    <w:widowControl/>
                    <w:numPr>
                      <w:ilvl w:val="0"/>
                      <w:numId w:val="0"/>
                    </w:numPr>
                    <w:suppressLineNumbers w:val="0"/>
                    <w:spacing w:before="0" w:beforeAutospacing="0" w:after="0" w:afterAutospacing="0"/>
                    <w:ind w:left="0" w:leftChars="0" w:right="0" w:rightChars="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1.2）飞机噪声大于75dB（计权等效连续感觉噪声级）的机场周围区域，不得规划新建住宅、学校及幼儿园、医院等噪声敏感建筑物。飞机噪声大于70小于75dB，应按照当地政府对该二类区域内国土空间规划的要求确定可否新建住宅、学校等建筑。</w:t>
                  </w:r>
                </w:p>
                <w:p w14:paraId="54F0F855">
                  <w:pPr>
                    <w:keepNext w:val="0"/>
                    <w:keepLines w:val="0"/>
                    <w:widowControl/>
                    <w:numPr>
                      <w:ilvl w:val="0"/>
                      <w:numId w:val="0"/>
                    </w:numPr>
                    <w:suppressLineNumbers w:val="0"/>
                    <w:spacing w:before="0" w:beforeAutospacing="0" w:after="0" w:afterAutospacing="0"/>
                    <w:ind w:left="0" w:leftChars="0" w:right="0" w:rightChars="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2．农用地优先管控区区域内执行以下管控要求：（1.3）永久基本农田一经划定，必须严格落实《基本农田保护条例》要求，严格占用永久基本农田建设项目的审查论证，涉及占用永久基本农田的，报国务院审批。</w:t>
                  </w:r>
                </w:p>
              </w:tc>
              <w:tc>
                <w:tcPr>
                  <w:tcW w:w="1032" w:type="pct"/>
                  <w:tcBorders>
                    <w:tl2br w:val="nil"/>
                    <w:tr2bl w:val="nil"/>
                  </w:tcBorders>
                  <w:noWrap w:val="0"/>
                  <w:vAlign w:val="center"/>
                </w:tcPr>
                <w:p w14:paraId="1AF0BB94">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本项目已许可的医院北院区核医学楼和</w:t>
                  </w:r>
                  <w:r>
                    <w:rPr>
                      <w:rFonts w:hint="eastAsia" w:cs="Times New Roman"/>
                      <w:color w:val="auto"/>
                      <w:sz w:val="21"/>
                      <w:szCs w:val="21"/>
                      <w:highlight w:val="none"/>
                      <w:lang w:val="en-US" w:eastAsia="zh-CN"/>
                    </w:rPr>
                    <w:t>综合楼介入2室</w:t>
                  </w:r>
                  <w:r>
                    <w:rPr>
                      <w:rFonts w:hint="default" w:ascii="Times New Roman" w:hAnsi="Times New Roman" w:cs="Times New Roman"/>
                      <w:color w:val="auto"/>
                      <w:sz w:val="21"/>
                      <w:szCs w:val="21"/>
                      <w:highlight w:val="none"/>
                      <w:lang w:val="en-US" w:eastAsia="zh-CN"/>
                    </w:rPr>
                    <w:t>内建设，符合乌鲁木齐市空间布局约束准入要求，项目不占用基本农田。</w:t>
                  </w:r>
                </w:p>
              </w:tc>
              <w:tc>
                <w:tcPr>
                  <w:tcW w:w="370" w:type="pct"/>
                  <w:tcBorders>
                    <w:tl2br w:val="nil"/>
                    <w:tr2bl w:val="nil"/>
                  </w:tcBorders>
                  <w:noWrap w:val="0"/>
                  <w:vAlign w:val="center"/>
                </w:tcPr>
                <w:p w14:paraId="1698EB92">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AEAB6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04" w:hRule="atLeast"/>
              </w:trPr>
              <w:tc>
                <w:tcPr>
                  <w:tcW w:w="488" w:type="pct"/>
                  <w:tcBorders>
                    <w:tl2br w:val="nil"/>
                    <w:tr2bl w:val="nil"/>
                  </w:tcBorders>
                  <w:noWrap w:val="0"/>
                  <w:vAlign w:val="center"/>
                </w:tcPr>
                <w:p w14:paraId="5099927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污染物排放</w:t>
                  </w:r>
                </w:p>
              </w:tc>
              <w:tc>
                <w:tcPr>
                  <w:tcW w:w="3107" w:type="pct"/>
                  <w:tcBorders>
                    <w:tl2br w:val="nil"/>
                    <w:tr2bl w:val="nil"/>
                  </w:tcBorders>
                  <w:noWrap w:val="0"/>
                  <w:vAlign w:val="center"/>
                </w:tcPr>
                <w:p w14:paraId="773EF543">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（2.1）执行乌鲁木齐市污染物排放管控要求。</w:t>
                  </w:r>
                </w:p>
                <w:p w14:paraId="57F02806">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1．单元内工业企业执行以下管控要求：</w:t>
                  </w:r>
                </w:p>
                <w:p w14:paraId="60630DDF">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（2.2）全面加强配套管网建设。新建污水处理设施的配套管网应同步设计、同步建设、同步投运。</w:t>
                  </w:r>
                </w:p>
                <w:p w14:paraId="14EF1AD5">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2．临空经济区和机场噪声影响区域内执行以下管控要求：</w:t>
                  </w:r>
                </w:p>
                <w:p w14:paraId="22300BAE">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2.3）临空经济区部分区域落实声环境敏感目标拆迁、安装隔声窗等各项噪声污染防治措施，加强对交通噪声、生产噪声、建筑施工噪声的管理，尽可能减少商业性和生活性的噪声源、建筑噪声和交通噪声。增大绿化面积，设置绿化缓冲带，隔离噪声的影响。对厂界噪声无法达到相应区域要求的，企业应对车间内设备进一步降噪，使其达到相应要求。</w:t>
                  </w:r>
                </w:p>
                <w:p w14:paraId="3E67795A">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3．大气环境受体敏感区区域内执行以下管控要求：</w:t>
                  </w:r>
                </w:p>
                <w:p w14:paraId="5627127A">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2.4）实施大气环境分区管控，严禁新（扩）建“三高”项目及淘汰类、限制类化工项目，禁止新增钢铁、电解铝、水泥、平板玻璃（光伏压延玻璃除外）、轮胎等产能严重过剩行业项目。对已建设投产的项目，深入挖掘节能减排潜力，积极推进节能减排改造。加大移动源污染防治力度，提升城市精细化管理水平，严格建筑施工扬尘管控。（2.5）防止已关停取缔的“散乱污”企业死灰复燃。运用网格化环境监管体系，加强区域巡查，坚决防止出现反弹；充分发挥群众监督作用，确保整治效果。</w:t>
                  </w:r>
                </w:p>
              </w:tc>
              <w:tc>
                <w:tcPr>
                  <w:tcW w:w="1032" w:type="pct"/>
                  <w:tcBorders>
                    <w:tl2br w:val="nil"/>
                    <w:tr2bl w:val="nil"/>
                  </w:tcBorders>
                  <w:noWrap w:val="0"/>
                  <w:vAlign w:val="center"/>
                </w:tcPr>
                <w:p w14:paraId="5692EECB">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本项目产生的医疗废水排入核医学科楼内预留管道，经衰变池处理后排入医院污水处理厂。本项目不属于“三高”项目及淘汰类、限制类化工项目。</w:t>
                  </w:r>
                </w:p>
              </w:tc>
              <w:tc>
                <w:tcPr>
                  <w:tcW w:w="370" w:type="pct"/>
                  <w:tcBorders>
                    <w:tl2br w:val="nil"/>
                    <w:tr2bl w:val="nil"/>
                  </w:tcBorders>
                  <w:noWrap w:val="0"/>
                  <w:vAlign w:val="center"/>
                </w:tcPr>
                <w:p w14:paraId="22B2E518">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0797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488" w:type="pct"/>
                  <w:tcBorders>
                    <w:tl2br w:val="nil"/>
                    <w:tr2bl w:val="nil"/>
                  </w:tcBorders>
                  <w:noWrap w:val="0"/>
                  <w:vAlign w:val="center"/>
                </w:tcPr>
                <w:p w14:paraId="5A5322AB">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环境风险</w:t>
                  </w:r>
                </w:p>
              </w:tc>
              <w:tc>
                <w:tcPr>
                  <w:tcW w:w="3107" w:type="pct"/>
                  <w:tcBorders>
                    <w:tl2br w:val="nil"/>
                    <w:tr2bl w:val="nil"/>
                  </w:tcBorders>
                  <w:noWrap w:val="0"/>
                  <w:vAlign w:val="center"/>
                </w:tcPr>
                <w:p w14:paraId="626FF9B2">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（3.1）执行乌鲁木齐市环境风险防控准入要求。</w:t>
                  </w:r>
                </w:p>
                <w:p w14:paraId="2DF2C9E0">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1．农用地优先管控区区域内执行以下管控要求：</w:t>
                  </w:r>
                </w:p>
                <w:p w14:paraId="2CFD72CE">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（3.2）确保耕地土壤环境安全，严控重金属类污染物和挥发性有机污染物等有毒物质排放。</w:t>
                  </w:r>
                </w:p>
                <w:p w14:paraId="1FB3B7A7">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（3.3）提高高风险地块关注度，企业应加强土壤环境监管，如果停产应被列为疑似污染地块进行管理。</w:t>
                  </w:r>
                </w:p>
                <w:p w14:paraId="162C53E1">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2．疑似污染地块执行以下管控要求：</w:t>
                  </w:r>
                </w:p>
                <w:p w14:paraId="3AA01566">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（3.4）疑似污染地块应当根据保守原则确定污染物的检测项目。疑似污染地块内可能存在的污染物及其在环境中转化或降解产物均应当考虑纳入检测</w:t>
                  </w:r>
                  <w:r>
                    <w:rPr>
                      <w:rFonts w:hint="eastAsia" w:cs="Times New Roman"/>
                      <w:color w:val="auto"/>
                      <w:sz w:val="21"/>
                      <w:szCs w:val="21"/>
                      <w:highlight w:val="none"/>
                      <w:lang w:val="en-US" w:eastAsia="zh-CN"/>
                    </w:rPr>
                    <w:t>范畴。</w:t>
                  </w:r>
                </w:p>
              </w:tc>
              <w:tc>
                <w:tcPr>
                  <w:tcW w:w="1032" w:type="pct"/>
                  <w:tcBorders>
                    <w:tl2br w:val="nil"/>
                    <w:tr2bl w:val="nil"/>
                  </w:tcBorders>
                  <w:noWrap w:val="0"/>
                  <w:vAlign w:val="center"/>
                </w:tcPr>
                <w:p w14:paraId="2625F31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本项目不属于危险化学品生产项目；</w:t>
                  </w:r>
                  <w:r>
                    <w:rPr>
                      <w:rFonts w:hint="default" w:ascii="Times New Roman" w:hAnsi="Times New Roman" w:cs="Times New Roman"/>
                      <w:color w:val="auto"/>
                      <w:sz w:val="21"/>
                      <w:szCs w:val="21"/>
                      <w:highlight w:val="none"/>
                      <w:lang w:val="en-US" w:eastAsia="zh-CN"/>
                    </w:rPr>
                    <w:t>本项目涉及的射线装置、核素经许可后才能使用，环境风险可控。</w:t>
                  </w:r>
                </w:p>
              </w:tc>
              <w:tc>
                <w:tcPr>
                  <w:tcW w:w="370" w:type="pct"/>
                  <w:tcBorders>
                    <w:tl2br w:val="nil"/>
                    <w:tr2bl w:val="nil"/>
                  </w:tcBorders>
                  <w:noWrap w:val="0"/>
                  <w:vAlign w:val="center"/>
                </w:tcPr>
                <w:p w14:paraId="4CF30EC9">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7EFEF6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51" w:hRule="atLeast"/>
              </w:trPr>
              <w:tc>
                <w:tcPr>
                  <w:tcW w:w="488" w:type="pct"/>
                  <w:tcBorders>
                    <w:tl2br w:val="nil"/>
                    <w:tr2bl w:val="nil"/>
                  </w:tcBorders>
                  <w:noWrap w:val="0"/>
                  <w:vAlign w:val="center"/>
                </w:tcPr>
                <w:p w14:paraId="0F5515BF">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资源利用效率</w:t>
                  </w:r>
                </w:p>
              </w:tc>
              <w:tc>
                <w:tcPr>
                  <w:tcW w:w="3107" w:type="pct"/>
                  <w:tcBorders>
                    <w:tl2br w:val="nil"/>
                    <w:tr2bl w:val="nil"/>
                  </w:tcBorders>
                  <w:noWrap w:val="0"/>
                  <w:vAlign w:val="center"/>
                </w:tcPr>
                <w:p w14:paraId="23DCCFBF">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（4.1）执行乌鲁木齐市资源利用效率要求。 </w:t>
                  </w:r>
                </w:p>
                <w:p w14:paraId="7DDC66CD">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1．临空经济区和机场噪声影响区域内执行以下管控要求： </w:t>
                  </w:r>
                </w:p>
                <w:p w14:paraId="0D1E813C">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（4.2）加强工业水循环利用：在高耗水行业开展试点示范，筛选具有明显经 </w:t>
                  </w:r>
                </w:p>
                <w:p w14:paraId="6C733903">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济效益的节水治污技术。工业生产、城区绿化、道路清扫、车辆冲洗、建筑 施工以及生态景观等用水，优先使用再生水。 </w:t>
                  </w:r>
                </w:p>
                <w:p w14:paraId="3E833E3E">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2．地下水限采区、禁采区执行以下管控要求： </w:t>
                  </w:r>
                </w:p>
                <w:p w14:paraId="31D2168F">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（4.3）加强地下水超采区管控，落实超采区管控要求。 </w:t>
                  </w:r>
                </w:p>
                <w:p w14:paraId="74A039B6">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 xml:space="preserve">3．大气环境受体敏感区区域内执行以下管控要求： </w:t>
                  </w:r>
                </w:p>
                <w:p w14:paraId="58DFA4FD">
                  <w:pPr>
                    <w:keepNext w:val="0"/>
                    <w:keepLines w:val="0"/>
                    <w:widowControl/>
                    <w:suppressLineNumbers w:val="0"/>
                    <w:spacing w:before="0" w:beforeAutospacing="0" w:after="0" w:afterAutospacing="0"/>
                    <w:ind w:left="0" w:right="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（4.4）强化资源环保准入约束，严禁新建、扩建使用燃煤等高污染燃料项目。</w:t>
                  </w:r>
                </w:p>
              </w:tc>
              <w:tc>
                <w:tcPr>
                  <w:tcW w:w="1032" w:type="pct"/>
                  <w:tcBorders>
                    <w:tl2br w:val="nil"/>
                    <w:tr2bl w:val="nil"/>
                  </w:tcBorders>
                  <w:noWrap w:val="0"/>
                  <w:vAlign w:val="center"/>
                </w:tcPr>
                <w:p w14:paraId="5DD123C2">
                  <w:pPr>
                    <w:keepNext w:val="0"/>
                    <w:keepLines w:val="0"/>
                    <w:widowControl/>
                    <w:suppressLineNumbers w:val="0"/>
                    <w:spacing w:before="0" w:beforeAutospacing="0" w:after="0" w:afterAutospacing="0"/>
                    <w:ind w:left="0" w:right="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本项目不开采地下水，本项目设备选型采用节能设备。</w:t>
                  </w:r>
                </w:p>
              </w:tc>
              <w:tc>
                <w:tcPr>
                  <w:tcW w:w="370" w:type="pct"/>
                  <w:tcBorders>
                    <w:tl2br w:val="nil"/>
                    <w:tr2bl w:val="nil"/>
                  </w:tcBorders>
                  <w:noWrap w:val="0"/>
                  <w:vAlign w:val="center"/>
                </w:tcPr>
                <w:p w14:paraId="08BB5C2D">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2216E10E">
            <w:pPr>
              <w:pStyle w:val="45"/>
              <w:keepNext w:val="0"/>
              <w:keepLines w:val="0"/>
              <w:suppressLineNumbers w:val="0"/>
              <w:bidi w:val="0"/>
              <w:spacing w:before="0" w:beforeAutospacing="0" w:after="0" w:afterAutospacing="0"/>
              <w:ind w:left="0" w:right="0"/>
              <w:rPr>
                <w:rFonts w:hint="default" w:ascii="Times New Roman" w:hAnsi="Times New Roman" w:eastAsia="宋体" w:cs="Times New Roman"/>
                <w:color w:val="auto"/>
                <w:highlight w:val="none"/>
                <w:lang w:val="en-US" w:eastAsia="zh-CN"/>
              </w:rPr>
            </w:pPr>
          </w:p>
          <w:p w14:paraId="3F1B8329">
            <w:pPr>
              <w:pStyle w:val="19"/>
              <w:keepNext w:val="0"/>
              <w:keepLines w:val="0"/>
              <w:widowControl w:val="0"/>
              <w:suppressLineNumbers w:val="0"/>
              <w:autoSpaceDE w:val="0"/>
              <w:autoSpaceDN w:val="0"/>
              <w:spacing w:before="0" w:beforeLines="50" w:beforeAutospacing="0" w:after="0" w:afterAutospacing="0" w:line="360" w:lineRule="auto"/>
              <w:ind w:left="0" w:right="120" w:rightChars="50" w:firstLine="482" w:firstLineChars="200"/>
              <w:jc w:val="left"/>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kern w:val="0"/>
                <w:sz w:val="24"/>
                <w:szCs w:val="24"/>
                <w:highlight w:val="none"/>
                <w:lang w:val="en-US" w:eastAsia="zh-CN" w:bidi="ar"/>
              </w:rPr>
              <w:t>1.3核技术利用项目许可情况</w:t>
            </w:r>
          </w:p>
          <w:p w14:paraId="344954B2">
            <w:pPr>
              <w:pStyle w:val="19"/>
              <w:keepNext w:val="0"/>
              <w:keepLines w:val="0"/>
              <w:widowControl w:val="0"/>
              <w:suppressLineNumbers w:val="0"/>
              <w:autoSpaceDE w:val="0"/>
              <w:autoSpaceDN w:val="0"/>
              <w:spacing w:before="0" w:beforeAutospacing="0" w:after="0" w:afterAutospacing="0" w:line="360" w:lineRule="auto"/>
              <w:ind w:left="0" w:right="120" w:rightChars="50" w:firstLine="482" w:firstLineChars="200"/>
              <w:jc w:val="both"/>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kern w:val="0"/>
                <w:sz w:val="24"/>
                <w:szCs w:val="24"/>
                <w:highlight w:val="none"/>
                <w:lang w:val="en-US" w:eastAsia="zh-CN" w:bidi="ar"/>
              </w:rPr>
              <w:t>1.3.1核技术利用现状</w:t>
            </w:r>
          </w:p>
          <w:p w14:paraId="2629D5CA">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lang w:val="en-US" w:eastAsia="zh-CN" w:bidi="ar-SA"/>
              </w:rPr>
            </w:pPr>
            <w:r>
              <w:rPr>
                <w:rFonts w:hint="default" w:ascii="Times New Roman" w:hAnsi="Times New Roman" w:cs="Times New Roman"/>
                <w:color w:val="auto"/>
                <w:sz w:val="24"/>
                <w:szCs w:val="22"/>
                <w:highlight w:val="none"/>
                <w:lang w:val="en-US" w:eastAsia="zh-CN" w:bidi="ar-SA"/>
              </w:rPr>
              <w:t>新疆医科大学附属肿瘤医院</w:t>
            </w:r>
            <w:r>
              <w:rPr>
                <w:rFonts w:hint="default" w:ascii="Times New Roman" w:hAnsi="Times New Roman" w:eastAsia="宋体" w:cs="Times New Roman"/>
                <w:color w:val="auto"/>
                <w:sz w:val="24"/>
                <w:szCs w:val="22"/>
                <w:highlight w:val="none"/>
                <w:lang w:val="en-US" w:eastAsia="zh-CN" w:bidi="ar-SA"/>
              </w:rPr>
              <w:t>已开展放射诊疗、放射治疗业务多年</w:t>
            </w:r>
            <w:r>
              <w:rPr>
                <w:rFonts w:hint="default" w:ascii="Times New Roman" w:hAnsi="Times New Roman" w:cs="Times New Roman"/>
                <w:color w:val="auto"/>
                <w:sz w:val="24"/>
                <w:szCs w:val="22"/>
                <w:highlight w:val="none"/>
                <w:lang w:val="en-US" w:eastAsia="zh-CN" w:bidi="ar-SA"/>
              </w:rPr>
              <w:t>。医院于2026年9月16日重新申领了辐射安全许可证，证书编号</w:t>
            </w:r>
            <w:r>
              <w:rPr>
                <w:rFonts w:hint="eastAsia" w:cs="Times New Roman"/>
                <w:color w:val="auto"/>
                <w:sz w:val="24"/>
                <w:szCs w:val="22"/>
                <w:highlight w:val="none"/>
                <w:lang w:val="en-US" w:eastAsia="zh-CN" w:bidi="ar-SA"/>
              </w:rPr>
              <w:t>：</w:t>
            </w:r>
            <w:r>
              <w:rPr>
                <w:rFonts w:hint="default" w:ascii="Times New Roman" w:hAnsi="Times New Roman" w:cs="Times New Roman"/>
                <w:color w:val="auto"/>
                <w:sz w:val="24"/>
                <w:szCs w:val="22"/>
                <w:highlight w:val="none"/>
                <w:lang w:val="en-US" w:eastAsia="zh-CN" w:bidi="ar-SA"/>
              </w:rPr>
              <w:t>新环辐证[00096]。许可的种类和范围：使用Ⅲ类、V类放射源；使用Ⅱ类、Ⅲ类射线装置；生产、使用非密封放射性物质，乙级、丙级非密封放射性物质工作场所。</w:t>
            </w:r>
          </w:p>
          <w:p w14:paraId="7C38E14D">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cs="Times New Roman"/>
                <w:color w:val="auto"/>
                <w:sz w:val="24"/>
                <w:szCs w:val="22"/>
                <w:highlight w:val="none"/>
                <w:lang w:val="en-US" w:eastAsia="zh-CN" w:bidi="ar-SA"/>
              </w:rPr>
            </w:pPr>
            <w:r>
              <w:rPr>
                <w:rFonts w:hint="default" w:ascii="Times New Roman" w:hAnsi="Times New Roman" w:cs="Times New Roman"/>
                <w:color w:val="auto"/>
                <w:sz w:val="24"/>
                <w:szCs w:val="22"/>
                <w:highlight w:val="none"/>
                <w:lang w:val="en-US" w:eastAsia="zh-CN" w:bidi="ar-SA"/>
              </w:rPr>
              <w:t>医院现取得许可的辐射源项和场所有：2枚Ⅲ类放射源，2枚V类放射源，2处非密封放射性物质乙级场所，2处非密封放射性物质丙级场所，12台II类射线装置、29台III类射线装置。</w:t>
            </w:r>
            <w:r>
              <w:rPr>
                <w:rFonts w:hint="eastAsia" w:cs="Times New Roman"/>
                <w:color w:val="auto"/>
                <w:sz w:val="24"/>
                <w:szCs w:val="22"/>
                <w:highlight w:val="none"/>
                <w:lang w:val="en-US" w:eastAsia="zh-CN" w:bidi="ar-SA"/>
              </w:rPr>
              <w:t>经查验，</w:t>
            </w:r>
            <w:r>
              <w:rPr>
                <w:rFonts w:hint="default" w:ascii="Times New Roman" w:hAnsi="Times New Roman" w:cs="Times New Roman"/>
                <w:color w:val="auto"/>
                <w:sz w:val="24"/>
                <w:szCs w:val="22"/>
                <w:highlight w:val="none"/>
                <w:lang w:val="en-US" w:eastAsia="zh-CN" w:bidi="ar-SA"/>
              </w:rPr>
              <w:t>医院现有核技术利用建设项目</w:t>
            </w:r>
            <w:r>
              <w:rPr>
                <w:rFonts w:hint="eastAsia" w:cs="Times New Roman"/>
                <w:color w:val="auto"/>
                <w:sz w:val="24"/>
                <w:szCs w:val="22"/>
                <w:highlight w:val="none"/>
                <w:lang w:val="en-US" w:eastAsia="zh-CN" w:bidi="ar-SA"/>
              </w:rPr>
              <w:t>环保</w:t>
            </w:r>
            <w:r>
              <w:rPr>
                <w:rFonts w:hint="default" w:ascii="Times New Roman" w:hAnsi="Times New Roman" w:cs="Times New Roman"/>
                <w:color w:val="auto"/>
                <w:sz w:val="24"/>
                <w:szCs w:val="22"/>
                <w:highlight w:val="none"/>
                <w:lang w:val="en-US" w:eastAsia="zh-CN" w:bidi="ar-SA"/>
              </w:rPr>
              <w:t>手续齐全、合法上证。</w:t>
            </w:r>
          </w:p>
          <w:p w14:paraId="45374BA2">
            <w:pPr>
              <w:keepNext w:val="0"/>
              <w:keepLines w:val="0"/>
              <w:suppressLineNumbers w:val="0"/>
              <w:bidi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cs="Times New Roman"/>
                <w:color w:val="auto"/>
                <w:sz w:val="24"/>
                <w:szCs w:val="22"/>
                <w:highlight w:val="none"/>
                <w:lang w:val="en-US" w:eastAsia="zh-CN" w:bidi="ar-SA"/>
              </w:rPr>
              <w:t>医院涉源情况见下表1-</w:t>
            </w:r>
            <w:r>
              <w:rPr>
                <w:rFonts w:hint="eastAsia" w:cs="Times New Roman"/>
                <w:color w:val="auto"/>
                <w:sz w:val="24"/>
                <w:szCs w:val="22"/>
                <w:highlight w:val="none"/>
                <w:lang w:val="en-US" w:eastAsia="zh-CN" w:bidi="ar-SA"/>
              </w:rPr>
              <w:t>11</w:t>
            </w:r>
            <w:r>
              <w:rPr>
                <w:rFonts w:hint="default" w:ascii="Times New Roman" w:hAnsi="Times New Roman" w:cs="Times New Roman"/>
                <w:color w:val="auto"/>
                <w:sz w:val="24"/>
                <w:szCs w:val="22"/>
                <w:highlight w:val="none"/>
                <w:lang w:val="en-US" w:eastAsia="zh-CN" w:bidi="ar-SA"/>
              </w:rPr>
              <w:t>~表1-</w:t>
            </w:r>
            <w:r>
              <w:rPr>
                <w:rFonts w:hint="eastAsia" w:cs="Times New Roman"/>
                <w:color w:val="auto"/>
                <w:sz w:val="24"/>
                <w:szCs w:val="22"/>
                <w:highlight w:val="none"/>
                <w:lang w:val="en-US" w:eastAsia="zh-CN" w:bidi="ar-SA"/>
              </w:rPr>
              <w:t>13</w:t>
            </w:r>
            <w:r>
              <w:rPr>
                <w:rFonts w:hint="default" w:ascii="Times New Roman" w:hAnsi="Times New Roman" w:cs="Times New Roman"/>
                <w:color w:val="auto"/>
                <w:sz w:val="24"/>
                <w:szCs w:val="22"/>
                <w:highlight w:val="none"/>
                <w:lang w:val="en-US" w:eastAsia="zh-CN" w:bidi="ar-SA"/>
              </w:rPr>
              <w:t>。医院辐射安全许可证及已许可的非密封放射性物质工作场所环保手续见附件2。</w:t>
            </w:r>
          </w:p>
          <w:p w14:paraId="5FFC56A2">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b/>
                <w:color w:val="auto"/>
                <w:sz w:val="24"/>
                <w:szCs w:val="22"/>
                <w:highlight w:val="none"/>
                <w:lang w:val="en-US" w:eastAsia="zh-CN" w:bidi="ar-SA"/>
              </w:rPr>
            </w:pPr>
            <w:r>
              <w:rPr>
                <w:rFonts w:hint="default" w:ascii="Times New Roman" w:hAnsi="Times New Roman" w:eastAsia="宋体" w:cs="Times New Roman"/>
                <w:b/>
                <w:color w:val="auto"/>
                <w:sz w:val="24"/>
                <w:szCs w:val="22"/>
                <w:highlight w:val="none"/>
                <w:lang w:val="en-US" w:eastAsia="zh-CN" w:bidi="ar-SA"/>
              </w:rPr>
              <w:t>表1-</w:t>
            </w:r>
            <w:r>
              <w:rPr>
                <w:rFonts w:hint="eastAsia" w:cs="Times New Roman"/>
                <w:b/>
                <w:color w:val="auto"/>
                <w:sz w:val="24"/>
                <w:szCs w:val="22"/>
                <w:highlight w:val="none"/>
                <w:lang w:val="en-US" w:eastAsia="zh-CN" w:bidi="ar-SA"/>
              </w:rPr>
              <w:t>11</w:t>
            </w:r>
            <w:r>
              <w:rPr>
                <w:rFonts w:hint="default" w:ascii="Times New Roman" w:hAnsi="Times New Roman" w:eastAsia="宋体" w:cs="Times New Roman"/>
                <w:b/>
                <w:color w:val="auto"/>
                <w:sz w:val="24"/>
                <w:szCs w:val="22"/>
                <w:highlight w:val="none"/>
                <w:lang w:val="en-US" w:eastAsia="zh-CN" w:bidi="ar-SA"/>
              </w:rPr>
              <w:t xml:space="preserve">  医院已许可使用的放射源</w:t>
            </w:r>
          </w:p>
          <w:tbl>
            <w:tblPr>
              <w:tblStyle w:val="30"/>
              <w:tblW w:w="883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15"/>
              <w:gridCol w:w="2540"/>
              <w:gridCol w:w="1400"/>
              <w:gridCol w:w="658"/>
              <w:gridCol w:w="533"/>
              <w:gridCol w:w="3086"/>
            </w:tblGrid>
            <w:tr w14:paraId="65C4B0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6" w:hRule="atLeast"/>
                <w:jc w:val="center"/>
              </w:trPr>
              <w:tc>
                <w:tcPr>
                  <w:tcW w:w="615" w:type="dxa"/>
                  <w:vMerge w:val="restart"/>
                  <w:tcBorders>
                    <w:tl2br w:val="nil"/>
                    <w:tr2bl w:val="nil"/>
                  </w:tcBorders>
                  <w:vAlign w:val="center"/>
                </w:tcPr>
                <w:p w14:paraId="566B2EC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序号</w:t>
                  </w:r>
                </w:p>
              </w:tc>
              <w:tc>
                <w:tcPr>
                  <w:tcW w:w="8217" w:type="dxa"/>
                  <w:gridSpan w:val="5"/>
                  <w:tcBorders>
                    <w:tl2br w:val="nil"/>
                    <w:tr2bl w:val="nil"/>
                  </w:tcBorders>
                  <w:vAlign w:val="center"/>
                </w:tcPr>
                <w:p w14:paraId="61A1845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活动种类和范围</w:t>
                  </w:r>
                </w:p>
              </w:tc>
            </w:tr>
            <w:tr w14:paraId="21618C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6" w:hRule="atLeast"/>
                <w:jc w:val="center"/>
              </w:trPr>
              <w:tc>
                <w:tcPr>
                  <w:tcW w:w="615" w:type="dxa"/>
                  <w:vMerge w:val="continue"/>
                  <w:tcBorders>
                    <w:tl2br w:val="nil"/>
                    <w:tr2bl w:val="nil"/>
                  </w:tcBorders>
                  <w:vAlign w:val="center"/>
                </w:tcPr>
                <w:p w14:paraId="5BD96DF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p>
              </w:tc>
              <w:tc>
                <w:tcPr>
                  <w:tcW w:w="2540" w:type="dxa"/>
                  <w:tcBorders>
                    <w:tl2br w:val="nil"/>
                    <w:tr2bl w:val="nil"/>
                  </w:tcBorders>
                  <w:vAlign w:val="center"/>
                </w:tcPr>
                <w:p w14:paraId="20131EE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辐射活动场所名称</w:t>
                  </w:r>
                </w:p>
              </w:tc>
              <w:tc>
                <w:tcPr>
                  <w:tcW w:w="1400" w:type="dxa"/>
                  <w:tcBorders>
                    <w:tl2br w:val="nil"/>
                    <w:tr2bl w:val="nil"/>
                  </w:tcBorders>
                  <w:vAlign w:val="center"/>
                </w:tcPr>
                <w:p w14:paraId="40D2EDD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核素</w:t>
                  </w:r>
                </w:p>
              </w:tc>
              <w:tc>
                <w:tcPr>
                  <w:tcW w:w="658" w:type="dxa"/>
                  <w:tcBorders>
                    <w:tl2br w:val="nil"/>
                    <w:tr2bl w:val="nil"/>
                  </w:tcBorders>
                  <w:vAlign w:val="center"/>
                </w:tcPr>
                <w:p w14:paraId="233E8A4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类别</w:t>
                  </w:r>
                </w:p>
              </w:tc>
              <w:tc>
                <w:tcPr>
                  <w:tcW w:w="533" w:type="dxa"/>
                  <w:tcBorders>
                    <w:tl2br w:val="nil"/>
                    <w:tr2bl w:val="nil"/>
                  </w:tcBorders>
                  <w:vAlign w:val="center"/>
                </w:tcPr>
                <w:p w14:paraId="150E0A3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活动种类</w:t>
                  </w:r>
                </w:p>
              </w:tc>
              <w:tc>
                <w:tcPr>
                  <w:tcW w:w="3086" w:type="dxa"/>
                  <w:tcBorders>
                    <w:tl2br w:val="nil"/>
                    <w:tr2bl w:val="nil"/>
                  </w:tcBorders>
                  <w:vAlign w:val="center"/>
                </w:tcPr>
                <w:p w14:paraId="6DF1C2F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总活度(贝可)/活度(贝可)×枚数</w:t>
                  </w:r>
                </w:p>
              </w:tc>
            </w:tr>
            <w:tr w14:paraId="2FCE2E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6" w:hRule="atLeast"/>
                <w:jc w:val="center"/>
              </w:trPr>
              <w:tc>
                <w:tcPr>
                  <w:tcW w:w="615" w:type="dxa"/>
                  <w:tcBorders>
                    <w:tl2br w:val="nil"/>
                    <w:tr2bl w:val="nil"/>
                  </w:tcBorders>
                  <w:vAlign w:val="center"/>
                </w:tcPr>
                <w:p w14:paraId="2935C25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1</w:t>
                  </w:r>
                </w:p>
              </w:tc>
              <w:tc>
                <w:tcPr>
                  <w:tcW w:w="2540" w:type="dxa"/>
                  <w:tcBorders>
                    <w:tl2br w:val="nil"/>
                    <w:tr2bl w:val="nil"/>
                  </w:tcBorders>
                  <w:vAlign w:val="center"/>
                </w:tcPr>
                <w:p w14:paraId="67F23D8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放疗楼负二层PET/CT室</w:t>
                  </w:r>
                </w:p>
              </w:tc>
              <w:tc>
                <w:tcPr>
                  <w:tcW w:w="1400" w:type="dxa"/>
                  <w:tcBorders>
                    <w:tl2br w:val="nil"/>
                    <w:tr2bl w:val="nil"/>
                  </w:tcBorders>
                  <w:vAlign w:val="center"/>
                </w:tcPr>
                <w:p w14:paraId="27B46C4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Na-22</w:t>
                  </w:r>
                </w:p>
              </w:tc>
              <w:tc>
                <w:tcPr>
                  <w:tcW w:w="658" w:type="dxa"/>
                  <w:tcBorders>
                    <w:tl2br w:val="nil"/>
                    <w:tr2bl w:val="nil"/>
                  </w:tcBorders>
                  <w:vAlign w:val="center"/>
                </w:tcPr>
                <w:p w14:paraId="7851387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V类</w:t>
                  </w:r>
                </w:p>
              </w:tc>
              <w:tc>
                <w:tcPr>
                  <w:tcW w:w="533" w:type="dxa"/>
                  <w:tcBorders>
                    <w:tl2br w:val="nil"/>
                    <w:tr2bl w:val="nil"/>
                  </w:tcBorders>
                  <w:vAlign w:val="center"/>
                </w:tcPr>
                <w:p w14:paraId="78ADB51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使用</w:t>
                  </w:r>
                </w:p>
              </w:tc>
              <w:tc>
                <w:tcPr>
                  <w:tcW w:w="3086" w:type="dxa"/>
                  <w:tcBorders>
                    <w:tl2br w:val="nil"/>
                    <w:tr2bl w:val="nil"/>
                  </w:tcBorders>
                  <w:vAlign w:val="center"/>
                </w:tcPr>
                <w:p w14:paraId="65842C1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3</w:t>
                  </w:r>
                  <w:r>
                    <w:rPr>
                      <w:rFonts w:hint="eastAsia" w:cs="Times New Roman"/>
                      <w:color w:val="auto"/>
                      <w:sz w:val="21"/>
                      <w:szCs w:val="20"/>
                      <w:highlight w:val="none"/>
                      <w:lang w:val="en-US" w:eastAsia="zh-CN"/>
                    </w:rPr>
                    <w:t>.</w:t>
                  </w:r>
                  <w:r>
                    <w:rPr>
                      <w:rFonts w:hint="default" w:ascii="Times New Roman" w:hAnsi="Times New Roman" w:cs="Times New Roman"/>
                      <w:color w:val="auto"/>
                      <w:sz w:val="21"/>
                      <w:szCs w:val="20"/>
                      <w:highlight w:val="none"/>
                    </w:rPr>
                    <w:t>7E+6*1</w:t>
                  </w:r>
                </w:p>
              </w:tc>
            </w:tr>
            <w:tr w14:paraId="3E35F9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6" w:hRule="atLeast"/>
                <w:jc w:val="center"/>
              </w:trPr>
              <w:tc>
                <w:tcPr>
                  <w:tcW w:w="615" w:type="dxa"/>
                  <w:tcBorders>
                    <w:tl2br w:val="nil"/>
                    <w:tr2bl w:val="nil"/>
                  </w:tcBorders>
                  <w:vAlign w:val="center"/>
                </w:tcPr>
                <w:p w14:paraId="3529B19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2</w:t>
                  </w:r>
                </w:p>
              </w:tc>
              <w:tc>
                <w:tcPr>
                  <w:tcW w:w="2540" w:type="dxa"/>
                  <w:tcBorders>
                    <w:tl2br w:val="nil"/>
                    <w:tr2bl w:val="nil"/>
                  </w:tcBorders>
                  <w:vAlign w:val="center"/>
                </w:tcPr>
                <w:p w14:paraId="45F7B54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放疗楼负二楼后装室2室</w:t>
                  </w:r>
                </w:p>
              </w:tc>
              <w:tc>
                <w:tcPr>
                  <w:tcW w:w="1400" w:type="dxa"/>
                  <w:tcBorders>
                    <w:tl2br w:val="nil"/>
                    <w:tr2bl w:val="nil"/>
                  </w:tcBorders>
                  <w:vAlign w:val="center"/>
                </w:tcPr>
                <w:p w14:paraId="7F9A05D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Ir-192</w:t>
                  </w:r>
                </w:p>
              </w:tc>
              <w:tc>
                <w:tcPr>
                  <w:tcW w:w="658" w:type="dxa"/>
                  <w:tcBorders>
                    <w:tl2br w:val="nil"/>
                    <w:tr2bl w:val="nil"/>
                  </w:tcBorders>
                  <w:vAlign w:val="center"/>
                </w:tcPr>
                <w:p w14:paraId="12244CA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Ⅲ类</w:t>
                  </w:r>
                </w:p>
              </w:tc>
              <w:tc>
                <w:tcPr>
                  <w:tcW w:w="533" w:type="dxa"/>
                  <w:tcBorders>
                    <w:tl2br w:val="nil"/>
                    <w:tr2bl w:val="nil"/>
                  </w:tcBorders>
                  <w:vAlign w:val="center"/>
                </w:tcPr>
                <w:p w14:paraId="34D3D4E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使用</w:t>
                  </w:r>
                </w:p>
              </w:tc>
              <w:tc>
                <w:tcPr>
                  <w:tcW w:w="3086" w:type="dxa"/>
                  <w:tcBorders>
                    <w:tl2br w:val="nil"/>
                    <w:tr2bl w:val="nil"/>
                  </w:tcBorders>
                  <w:vAlign w:val="center"/>
                </w:tcPr>
                <w:p w14:paraId="64D8C9F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3.7E+11*2</w:t>
                  </w:r>
                </w:p>
              </w:tc>
            </w:tr>
            <w:tr w14:paraId="1FF56F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1" w:hRule="atLeast"/>
                <w:jc w:val="center"/>
              </w:trPr>
              <w:tc>
                <w:tcPr>
                  <w:tcW w:w="615" w:type="dxa"/>
                  <w:tcBorders>
                    <w:tl2br w:val="nil"/>
                    <w:tr2bl w:val="nil"/>
                  </w:tcBorders>
                  <w:vAlign w:val="center"/>
                </w:tcPr>
                <w:p w14:paraId="1BC9729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3</w:t>
                  </w:r>
                </w:p>
              </w:tc>
              <w:tc>
                <w:tcPr>
                  <w:tcW w:w="2540" w:type="dxa"/>
                  <w:tcBorders>
                    <w:tl2br w:val="nil"/>
                    <w:tr2bl w:val="nil"/>
                  </w:tcBorders>
                  <w:vAlign w:val="center"/>
                </w:tcPr>
                <w:p w14:paraId="08CD19A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核医学楼一层敷贴室</w:t>
                  </w:r>
                </w:p>
              </w:tc>
              <w:tc>
                <w:tcPr>
                  <w:tcW w:w="1400" w:type="dxa"/>
                  <w:tcBorders>
                    <w:tl2br w:val="nil"/>
                    <w:tr2bl w:val="nil"/>
                  </w:tcBorders>
                  <w:vAlign w:val="center"/>
                </w:tcPr>
                <w:p w14:paraId="69A2C6D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Sr-90(Y-90)</w:t>
                  </w:r>
                </w:p>
              </w:tc>
              <w:tc>
                <w:tcPr>
                  <w:tcW w:w="658" w:type="dxa"/>
                  <w:tcBorders>
                    <w:tl2br w:val="nil"/>
                    <w:tr2bl w:val="nil"/>
                  </w:tcBorders>
                  <w:vAlign w:val="center"/>
                </w:tcPr>
                <w:p w14:paraId="3B6A764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V类</w:t>
                  </w:r>
                </w:p>
              </w:tc>
              <w:tc>
                <w:tcPr>
                  <w:tcW w:w="533" w:type="dxa"/>
                  <w:tcBorders>
                    <w:tl2br w:val="nil"/>
                    <w:tr2bl w:val="nil"/>
                  </w:tcBorders>
                  <w:vAlign w:val="center"/>
                </w:tcPr>
                <w:p w14:paraId="0FCCBDA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使用</w:t>
                  </w:r>
                </w:p>
              </w:tc>
              <w:tc>
                <w:tcPr>
                  <w:tcW w:w="3086" w:type="dxa"/>
                  <w:tcBorders>
                    <w:tl2br w:val="nil"/>
                    <w:tr2bl w:val="nil"/>
                  </w:tcBorders>
                  <w:vAlign w:val="center"/>
                </w:tcPr>
                <w:p w14:paraId="5DD85E5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1.48E+8*1</w:t>
                  </w:r>
                </w:p>
              </w:tc>
            </w:tr>
          </w:tbl>
          <w:p w14:paraId="11C90AC4">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b/>
                <w:color w:val="auto"/>
                <w:sz w:val="24"/>
                <w:szCs w:val="22"/>
                <w:highlight w:val="none"/>
              </w:rPr>
            </w:pPr>
          </w:p>
          <w:p w14:paraId="09CD7F62">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b/>
                <w:color w:val="auto"/>
                <w:sz w:val="24"/>
                <w:szCs w:val="22"/>
                <w:highlight w:val="none"/>
              </w:rPr>
            </w:pPr>
            <w:r>
              <w:rPr>
                <w:rFonts w:hint="default" w:ascii="Times New Roman" w:hAnsi="Times New Roman" w:eastAsia="宋体" w:cs="Times New Roman"/>
                <w:b/>
                <w:color w:val="auto"/>
                <w:sz w:val="24"/>
                <w:szCs w:val="22"/>
                <w:highlight w:val="none"/>
              </w:rPr>
              <w:t>表1-</w:t>
            </w:r>
            <w:r>
              <w:rPr>
                <w:rFonts w:hint="eastAsia" w:cs="Times New Roman"/>
                <w:b/>
                <w:color w:val="auto"/>
                <w:sz w:val="24"/>
                <w:szCs w:val="22"/>
                <w:highlight w:val="none"/>
                <w:lang w:val="en-US" w:eastAsia="zh-CN"/>
              </w:rPr>
              <w:t>12</w:t>
            </w:r>
            <w:r>
              <w:rPr>
                <w:rFonts w:hint="default" w:ascii="Times New Roman" w:hAnsi="Times New Roman" w:cs="Times New Roman"/>
                <w:b/>
                <w:color w:val="auto"/>
                <w:sz w:val="24"/>
                <w:szCs w:val="22"/>
                <w:highlight w:val="none"/>
              </w:rPr>
              <w:t xml:space="preserve">  </w:t>
            </w:r>
            <w:r>
              <w:rPr>
                <w:rFonts w:hint="default" w:ascii="Times New Roman" w:hAnsi="Times New Roman" w:eastAsia="宋体" w:cs="Times New Roman"/>
                <w:b/>
                <w:color w:val="auto"/>
                <w:sz w:val="24"/>
                <w:szCs w:val="22"/>
                <w:highlight w:val="none"/>
              </w:rPr>
              <w:t>医院已许可使用的非密封放射性物质工作场所</w:t>
            </w:r>
          </w:p>
          <w:tbl>
            <w:tblPr>
              <w:tblStyle w:val="22"/>
              <w:tblW w:w="9136" w:type="dxa"/>
              <w:tblInd w:w="88"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443"/>
              <w:gridCol w:w="1039"/>
              <w:gridCol w:w="822"/>
              <w:gridCol w:w="1616"/>
              <w:gridCol w:w="1014"/>
              <w:gridCol w:w="1586"/>
              <w:gridCol w:w="1071"/>
              <w:gridCol w:w="1545"/>
            </w:tblGrid>
            <w:tr w14:paraId="651A6D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21" w:hRule="atLeast"/>
              </w:trPr>
              <w:tc>
                <w:tcPr>
                  <w:tcW w:w="443" w:type="dxa"/>
                  <w:tcBorders>
                    <w:tl2br w:val="nil"/>
                    <w:tr2bl w:val="nil"/>
                  </w:tcBorders>
                  <w:shd w:val="clear" w:color="auto" w:fill="auto"/>
                  <w:vAlign w:val="center"/>
                </w:tcPr>
                <w:p w14:paraId="7E709D5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序号</w:t>
                  </w:r>
                </w:p>
              </w:tc>
              <w:tc>
                <w:tcPr>
                  <w:tcW w:w="1039" w:type="dxa"/>
                  <w:tcBorders>
                    <w:tl2br w:val="nil"/>
                    <w:tr2bl w:val="nil"/>
                  </w:tcBorders>
                  <w:shd w:val="clear" w:color="auto" w:fill="auto"/>
                  <w:vAlign w:val="center"/>
                </w:tcPr>
                <w:p w14:paraId="607623D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辐射活动场所名称</w:t>
                  </w:r>
                </w:p>
              </w:tc>
              <w:tc>
                <w:tcPr>
                  <w:tcW w:w="822" w:type="dxa"/>
                  <w:tcBorders>
                    <w:tl2br w:val="nil"/>
                    <w:tr2bl w:val="nil"/>
                  </w:tcBorders>
                  <w:shd w:val="clear" w:color="auto" w:fill="auto"/>
                  <w:vAlign w:val="center"/>
                </w:tcPr>
                <w:p w14:paraId="7ED6521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场所等级</w:t>
                  </w:r>
                </w:p>
              </w:tc>
              <w:tc>
                <w:tcPr>
                  <w:tcW w:w="1616" w:type="dxa"/>
                  <w:tcBorders>
                    <w:tl2br w:val="nil"/>
                    <w:tr2bl w:val="nil"/>
                  </w:tcBorders>
                  <w:shd w:val="clear" w:color="auto" w:fill="auto"/>
                  <w:vAlign w:val="center"/>
                </w:tcPr>
                <w:p w14:paraId="795F6E1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核素</w:t>
                  </w:r>
                </w:p>
              </w:tc>
              <w:tc>
                <w:tcPr>
                  <w:tcW w:w="1014" w:type="dxa"/>
                  <w:tcBorders>
                    <w:tl2br w:val="nil"/>
                    <w:tr2bl w:val="nil"/>
                  </w:tcBorders>
                  <w:shd w:val="clear" w:color="auto" w:fill="auto"/>
                  <w:vAlign w:val="center"/>
                </w:tcPr>
                <w:p w14:paraId="307EACB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物理状态</w:t>
                  </w:r>
                </w:p>
              </w:tc>
              <w:tc>
                <w:tcPr>
                  <w:tcW w:w="1586" w:type="dxa"/>
                  <w:tcBorders>
                    <w:tl2br w:val="nil"/>
                    <w:tr2bl w:val="nil"/>
                  </w:tcBorders>
                  <w:shd w:val="clear" w:color="auto" w:fill="auto"/>
                  <w:vAlign w:val="center"/>
                </w:tcPr>
                <w:p w14:paraId="3BC1FF4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日最大操作量（贝可）</w:t>
                  </w:r>
                </w:p>
              </w:tc>
              <w:tc>
                <w:tcPr>
                  <w:tcW w:w="1071" w:type="dxa"/>
                  <w:tcBorders>
                    <w:tl2br w:val="nil"/>
                    <w:tr2bl w:val="nil"/>
                  </w:tcBorders>
                  <w:shd w:val="clear" w:color="auto" w:fill="auto"/>
                  <w:vAlign w:val="center"/>
                </w:tcPr>
                <w:p w14:paraId="7BB868C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日等效最大操作量（贝可）</w:t>
                  </w:r>
                </w:p>
              </w:tc>
              <w:tc>
                <w:tcPr>
                  <w:tcW w:w="1545" w:type="dxa"/>
                  <w:tcBorders>
                    <w:tl2br w:val="nil"/>
                    <w:tr2bl w:val="nil"/>
                  </w:tcBorders>
                  <w:shd w:val="clear" w:color="auto" w:fill="auto"/>
                  <w:vAlign w:val="center"/>
                </w:tcPr>
                <w:p w14:paraId="6282A99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备注</w:t>
                  </w:r>
                </w:p>
              </w:tc>
            </w:tr>
            <w:tr w14:paraId="15E992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60342F1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w:t>
                  </w:r>
                </w:p>
              </w:tc>
              <w:tc>
                <w:tcPr>
                  <w:tcW w:w="1039" w:type="dxa"/>
                  <w:vMerge w:val="restart"/>
                  <w:tcBorders>
                    <w:tl2br w:val="nil"/>
                    <w:tr2bl w:val="nil"/>
                  </w:tcBorders>
                  <w:shd w:val="clear" w:color="auto" w:fill="auto"/>
                  <w:vAlign w:val="center"/>
                </w:tcPr>
                <w:p w14:paraId="1BDF33A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放疗楼核医学科</w:t>
                  </w:r>
                </w:p>
              </w:tc>
              <w:tc>
                <w:tcPr>
                  <w:tcW w:w="822" w:type="dxa"/>
                  <w:vMerge w:val="restart"/>
                  <w:tcBorders>
                    <w:tl2br w:val="nil"/>
                    <w:tr2bl w:val="nil"/>
                  </w:tcBorders>
                  <w:shd w:val="clear" w:color="auto" w:fill="auto"/>
                  <w:vAlign w:val="center"/>
                </w:tcPr>
                <w:p w14:paraId="213CD8C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乙级</w:t>
                  </w:r>
                </w:p>
              </w:tc>
              <w:tc>
                <w:tcPr>
                  <w:tcW w:w="1616" w:type="dxa"/>
                  <w:tcBorders>
                    <w:tl2br w:val="nil"/>
                    <w:tr2bl w:val="nil"/>
                  </w:tcBorders>
                  <w:shd w:val="clear" w:color="auto" w:fill="auto"/>
                  <w:vAlign w:val="center"/>
                </w:tcPr>
                <w:p w14:paraId="062FCBC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C-11</w:t>
                  </w:r>
                </w:p>
              </w:tc>
              <w:tc>
                <w:tcPr>
                  <w:tcW w:w="1014" w:type="dxa"/>
                  <w:tcBorders>
                    <w:tl2br w:val="nil"/>
                    <w:tr2bl w:val="nil"/>
                  </w:tcBorders>
                  <w:shd w:val="clear" w:color="auto" w:fill="auto"/>
                  <w:vAlign w:val="center"/>
                </w:tcPr>
                <w:p w14:paraId="17958D0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气态</w:t>
                  </w:r>
                </w:p>
              </w:tc>
              <w:tc>
                <w:tcPr>
                  <w:tcW w:w="1586" w:type="dxa"/>
                  <w:tcBorders>
                    <w:tl2br w:val="nil"/>
                    <w:tr2bl w:val="nil"/>
                  </w:tcBorders>
                  <w:shd w:val="clear" w:color="auto" w:fill="auto"/>
                  <w:vAlign w:val="center"/>
                </w:tcPr>
                <w:p w14:paraId="6C4AB5A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1.48E+8</w:t>
                  </w:r>
                </w:p>
              </w:tc>
              <w:tc>
                <w:tcPr>
                  <w:tcW w:w="1071" w:type="dxa"/>
                  <w:tcBorders>
                    <w:tl2br w:val="nil"/>
                    <w:tr2bl w:val="nil"/>
                  </w:tcBorders>
                  <w:shd w:val="clear" w:color="auto" w:fill="auto"/>
                  <w:vAlign w:val="center"/>
                </w:tcPr>
                <w:p w14:paraId="351F9C4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1.48E+8</w:t>
                  </w:r>
                </w:p>
              </w:tc>
              <w:tc>
                <w:tcPr>
                  <w:tcW w:w="1545" w:type="dxa"/>
                  <w:vMerge w:val="restart"/>
                  <w:tcBorders>
                    <w:tl2br w:val="nil"/>
                    <w:tr2bl w:val="nil"/>
                  </w:tcBorders>
                  <w:shd w:val="clear" w:color="auto" w:fill="auto"/>
                  <w:vAlign w:val="center"/>
                </w:tcPr>
                <w:p w14:paraId="3522BE09">
                  <w:pPr>
                    <w:keepNext w:val="0"/>
                    <w:keepLines w:val="0"/>
                    <w:suppressLineNumbers w:val="0"/>
                    <w:autoSpaceDE w:val="0"/>
                    <w:autoSpaceDN w:val="0"/>
                    <w:bidi w:val="0"/>
                    <w:spacing w:before="0" w:beforeAutospacing="0" w:after="0" w:afterAutospacing="0"/>
                    <w:ind w:left="0" w:right="0" w:firstLine="0" w:firstLineChars="0"/>
                    <w:jc w:val="left"/>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2013年11月19日环评批复（新环核函〔2013〕1064号）；2018年9月26日验收。</w:t>
                  </w:r>
                </w:p>
              </w:tc>
            </w:tr>
            <w:tr w14:paraId="21DD8C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21446E8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w:t>
                  </w:r>
                </w:p>
              </w:tc>
              <w:tc>
                <w:tcPr>
                  <w:tcW w:w="1039" w:type="dxa"/>
                  <w:vMerge w:val="continue"/>
                  <w:tcBorders>
                    <w:tl2br w:val="nil"/>
                    <w:tr2bl w:val="nil"/>
                  </w:tcBorders>
                  <w:shd w:val="clear" w:color="auto" w:fill="auto"/>
                  <w:vAlign w:val="center"/>
                </w:tcPr>
                <w:p w14:paraId="52FC727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24DAD52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4393A2A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vertAlign w:val="baseline"/>
                      <w:lang w:val="en-US" w:eastAsia="zh-CN"/>
                    </w:rPr>
                    <w:t>F-18</w:t>
                  </w:r>
                </w:p>
              </w:tc>
              <w:tc>
                <w:tcPr>
                  <w:tcW w:w="1014" w:type="dxa"/>
                  <w:tcBorders>
                    <w:tl2br w:val="nil"/>
                    <w:tr2bl w:val="nil"/>
                  </w:tcBorders>
                  <w:shd w:val="clear" w:color="auto" w:fill="auto"/>
                  <w:vAlign w:val="center"/>
                </w:tcPr>
                <w:p w14:paraId="17191D6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0F77099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3.7E+10</w:t>
                  </w:r>
                </w:p>
              </w:tc>
              <w:tc>
                <w:tcPr>
                  <w:tcW w:w="1071" w:type="dxa"/>
                  <w:tcBorders>
                    <w:tl2br w:val="nil"/>
                    <w:tr2bl w:val="nil"/>
                  </w:tcBorders>
                  <w:shd w:val="clear" w:color="auto" w:fill="auto"/>
                  <w:vAlign w:val="center"/>
                </w:tcPr>
                <w:p w14:paraId="491078E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3.7E+8</w:t>
                  </w:r>
                </w:p>
              </w:tc>
              <w:tc>
                <w:tcPr>
                  <w:tcW w:w="1545" w:type="dxa"/>
                  <w:vMerge w:val="continue"/>
                  <w:tcBorders>
                    <w:tl2br w:val="nil"/>
                    <w:tr2bl w:val="nil"/>
                  </w:tcBorders>
                  <w:shd w:val="clear" w:color="auto" w:fill="auto"/>
                  <w:vAlign w:val="center"/>
                </w:tcPr>
                <w:p w14:paraId="505F71B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1EF9CF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5" w:hRule="atLeast"/>
              </w:trPr>
              <w:tc>
                <w:tcPr>
                  <w:tcW w:w="443" w:type="dxa"/>
                  <w:tcBorders>
                    <w:tl2br w:val="nil"/>
                    <w:tr2bl w:val="nil"/>
                  </w:tcBorders>
                  <w:shd w:val="clear" w:color="auto" w:fill="auto"/>
                  <w:vAlign w:val="center"/>
                </w:tcPr>
                <w:p w14:paraId="18AF053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w:t>
                  </w:r>
                </w:p>
              </w:tc>
              <w:tc>
                <w:tcPr>
                  <w:tcW w:w="1039" w:type="dxa"/>
                  <w:vMerge w:val="continue"/>
                  <w:tcBorders>
                    <w:tl2br w:val="nil"/>
                    <w:tr2bl w:val="nil"/>
                  </w:tcBorders>
                  <w:shd w:val="clear" w:color="auto" w:fill="auto"/>
                  <w:vAlign w:val="center"/>
                </w:tcPr>
                <w:p w14:paraId="045E9DE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239E655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6D47F0A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I-125(粒子源)</w:t>
                  </w:r>
                </w:p>
              </w:tc>
              <w:tc>
                <w:tcPr>
                  <w:tcW w:w="1014" w:type="dxa"/>
                  <w:tcBorders>
                    <w:tl2br w:val="nil"/>
                    <w:tr2bl w:val="nil"/>
                  </w:tcBorders>
                  <w:shd w:val="clear" w:color="auto" w:fill="auto"/>
                  <w:vAlign w:val="center"/>
                </w:tcPr>
                <w:p w14:paraId="2746C2A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固态</w:t>
                  </w:r>
                </w:p>
              </w:tc>
              <w:tc>
                <w:tcPr>
                  <w:tcW w:w="1586" w:type="dxa"/>
                  <w:tcBorders>
                    <w:tl2br w:val="nil"/>
                    <w:tr2bl w:val="nil"/>
                  </w:tcBorders>
                  <w:shd w:val="clear" w:color="auto" w:fill="auto"/>
                  <w:vAlign w:val="center"/>
                </w:tcPr>
                <w:p w14:paraId="0211C84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1.07E+10</w:t>
                  </w:r>
                </w:p>
              </w:tc>
              <w:tc>
                <w:tcPr>
                  <w:tcW w:w="1071" w:type="dxa"/>
                  <w:tcBorders>
                    <w:tl2br w:val="nil"/>
                    <w:tr2bl w:val="nil"/>
                  </w:tcBorders>
                  <w:shd w:val="clear" w:color="auto" w:fill="auto"/>
                  <w:vAlign w:val="center"/>
                </w:tcPr>
                <w:p w14:paraId="33C5B0F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1.07E+7</w:t>
                  </w:r>
                </w:p>
              </w:tc>
              <w:tc>
                <w:tcPr>
                  <w:tcW w:w="1545" w:type="dxa"/>
                  <w:vMerge w:val="continue"/>
                  <w:tcBorders>
                    <w:tl2br w:val="nil"/>
                    <w:tr2bl w:val="nil"/>
                  </w:tcBorders>
                  <w:shd w:val="clear" w:color="auto" w:fill="auto"/>
                  <w:vAlign w:val="center"/>
                </w:tcPr>
                <w:p w14:paraId="0DD23A1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18D151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5ABD2C5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4</w:t>
                  </w:r>
                </w:p>
              </w:tc>
              <w:tc>
                <w:tcPr>
                  <w:tcW w:w="1039" w:type="dxa"/>
                  <w:vMerge w:val="continue"/>
                  <w:tcBorders>
                    <w:tl2br w:val="nil"/>
                    <w:tr2bl w:val="nil"/>
                  </w:tcBorders>
                  <w:shd w:val="clear" w:color="auto" w:fill="auto"/>
                  <w:vAlign w:val="center"/>
                </w:tcPr>
                <w:p w14:paraId="7DB2333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63B911A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021A44E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vertAlign w:val="baseline"/>
                      <w:lang w:val="en-US" w:eastAsia="zh-CN"/>
                    </w:rPr>
                    <w:t>I-131</w:t>
                  </w:r>
                </w:p>
              </w:tc>
              <w:tc>
                <w:tcPr>
                  <w:tcW w:w="1014" w:type="dxa"/>
                  <w:tcBorders>
                    <w:tl2br w:val="nil"/>
                    <w:tr2bl w:val="nil"/>
                  </w:tcBorders>
                  <w:shd w:val="clear" w:color="auto" w:fill="auto"/>
                  <w:vAlign w:val="center"/>
                </w:tcPr>
                <w:p w14:paraId="265C1E8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48E33C6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2.96E+10</w:t>
                  </w:r>
                </w:p>
              </w:tc>
              <w:tc>
                <w:tcPr>
                  <w:tcW w:w="1071" w:type="dxa"/>
                  <w:tcBorders>
                    <w:tl2br w:val="nil"/>
                    <w:tr2bl w:val="nil"/>
                  </w:tcBorders>
                  <w:shd w:val="clear" w:color="auto" w:fill="auto"/>
                  <w:vAlign w:val="center"/>
                </w:tcPr>
                <w:p w14:paraId="752BCCF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2.96E+9</w:t>
                  </w:r>
                </w:p>
              </w:tc>
              <w:tc>
                <w:tcPr>
                  <w:tcW w:w="1545" w:type="dxa"/>
                  <w:vMerge w:val="continue"/>
                  <w:tcBorders>
                    <w:tl2br w:val="nil"/>
                    <w:tr2bl w:val="nil"/>
                  </w:tcBorders>
                  <w:shd w:val="clear" w:color="auto" w:fill="auto"/>
                  <w:vAlign w:val="center"/>
                </w:tcPr>
                <w:p w14:paraId="3EF83B3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699CFF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443" w:type="dxa"/>
                  <w:tcBorders>
                    <w:tl2br w:val="nil"/>
                    <w:tr2bl w:val="nil"/>
                  </w:tcBorders>
                  <w:shd w:val="clear" w:color="auto" w:fill="auto"/>
                  <w:vAlign w:val="center"/>
                </w:tcPr>
                <w:p w14:paraId="7F1B0E5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5</w:t>
                  </w:r>
                </w:p>
              </w:tc>
              <w:tc>
                <w:tcPr>
                  <w:tcW w:w="1039" w:type="dxa"/>
                  <w:vMerge w:val="continue"/>
                  <w:tcBorders>
                    <w:tl2br w:val="nil"/>
                    <w:tr2bl w:val="nil"/>
                  </w:tcBorders>
                  <w:shd w:val="clear" w:color="auto" w:fill="auto"/>
                  <w:vAlign w:val="center"/>
                </w:tcPr>
                <w:p w14:paraId="6D40072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2C6A489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66E5D1A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Mo-99(Tc-99m)</w:t>
                  </w:r>
                </w:p>
              </w:tc>
              <w:tc>
                <w:tcPr>
                  <w:tcW w:w="1014" w:type="dxa"/>
                  <w:tcBorders>
                    <w:tl2br w:val="nil"/>
                    <w:tr2bl w:val="nil"/>
                  </w:tcBorders>
                  <w:shd w:val="clear" w:color="auto" w:fill="auto"/>
                  <w:vAlign w:val="center"/>
                </w:tcPr>
                <w:p w14:paraId="37D060C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6559A2B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3.7E+10</w:t>
                  </w:r>
                </w:p>
              </w:tc>
              <w:tc>
                <w:tcPr>
                  <w:tcW w:w="1071" w:type="dxa"/>
                  <w:tcBorders>
                    <w:tl2br w:val="nil"/>
                    <w:tr2bl w:val="nil"/>
                  </w:tcBorders>
                  <w:shd w:val="clear" w:color="auto" w:fill="auto"/>
                  <w:vAlign w:val="center"/>
                </w:tcPr>
                <w:p w14:paraId="6A2BC8C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3.7E+7</w:t>
                  </w:r>
                </w:p>
              </w:tc>
              <w:tc>
                <w:tcPr>
                  <w:tcW w:w="1545" w:type="dxa"/>
                  <w:vMerge w:val="continue"/>
                  <w:tcBorders>
                    <w:tl2br w:val="nil"/>
                    <w:tr2bl w:val="nil"/>
                  </w:tcBorders>
                  <w:shd w:val="clear" w:color="auto" w:fill="auto"/>
                  <w:vAlign w:val="center"/>
                </w:tcPr>
                <w:p w14:paraId="5BFEEC2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5E0161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14D83FE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6</w:t>
                  </w:r>
                </w:p>
              </w:tc>
              <w:tc>
                <w:tcPr>
                  <w:tcW w:w="1039" w:type="dxa"/>
                  <w:vMerge w:val="continue"/>
                  <w:tcBorders>
                    <w:tl2br w:val="nil"/>
                    <w:tr2bl w:val="nil"/>
                  </w:tcBorders>
                  <w:shd w:val="clear" w:color="auto" w:fill="auto"/>
                  <w:vAlign w:val="center"/>
                </w:tcPr>
                <w:p w14:paraId="1F27307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585D2CF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4672C2A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N-13</w:t>
                  </w:r>
                </w:p>
              </w:tc>
              <w:tc>
                <w:tcPr>
                  <w:tcW w:w="1014" w:type="dxa"/>
                  <w:tcBorders>
                    <w:tl2br w:val="nil"/>
                    <w:tr2bl w:val="nil"/>
                  </w:tcBorders>
                  <w:shd w:val="clear" w:color="auto" w:fill="auto"/>
                  <w:vAlign w:val="center"/>
                </w:tcPr>
                <w:p w14:paraId="487535D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3CBA26B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3.7E+9</w:t>
                  </w:r>
                </w:p>
              </w:tc>
              <w:tc>
                <w:tcPr>
                  <w:tcW w:w="1071" w:type="dxa"/>
                  <w:tcBorders>
                    <w:tl2br w:val="nil"/>
                    <w:tr2bl w:val="nil"/>
                  </w:tcBorders>
                  <w:shd w:val="clear" w:color="auto" w:fill="auto"/>
                  <w:vAlign w:val="center"/>
                </w:tcPr>
                <w:p w14:paraId="14E9342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3.7E+7</w:t>
                  </w:r>
                </w:p>
              </w:tc>
              <w:tc>
                <w:tcPr>
                  <w:tcW w:w="1545" w:type="dxa"/>
                  <w:vMerge w:val="continue"/>
                  <w:tcBorders>
                    <w:tl2br w:val="nil"/>
                    <w:tr2bl w:val="nil"/>
                  </w:tcBorders>
                  <w:shd w:val="clear" w:color="auto" w:fill="auto"/>
                  <w:vAlign w:val="center"/>
                </w:tcPr>
                <w:p w14:paraId="7DD7215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740BE6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4FFC728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7</w:t>
                  </w:r>
                </w:p>
              </w:tc>
              <w:tc>
                <w:tcPr>
                  <w:tcW w:w="1039" w:type="dxa"/>
                  <w:vMerge w:val="continue"/>
                  <w:tcBorders>
                    <w:tl2br w:val="nil"/>
                    <w:tr2bl w:val="nil"/>
                  </w:tcBorders>
                  <w:shd w:val="clear" w:color="auto" w:fill="auto"/>
                  <w:vAlign w:val="center"/>
                </w:tcPr>
                <w:p w14:paraId="480DA83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3D10C41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0882958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Sr-89</w:t>
                  </w:r>
                </w:p>
              </w:tc>
              <w:tc>
                <w:tcPr>
                  <w:tcW w:w="1014" w:type="dxa"/>
                  <w:tcBorders>
                    <w:tl2br w:val="nil"/>
                    <w:tr2bl w:val="nil"/>
                  </w:tcBorders>
                  <w:shd w:val="clear" w:color="auto" w:fill="auto"/>
                  <w:vAlign w:val="center"/>
                </w:tcPr>
                <w:p w14:paraId="265BB8A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78A9526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1.48E+8</w:t>
                  </w:r>
                </w:p>
              </w:tc>
              <w:tc>
                <w:tcPr>
                  <w:tcW w:w="1071" w:type="dxa"/>
                  <w:tcBorders>
                    <w:tl2br w:val="nil"/>
                    <w:tr2bl w:val="nil"/>
                  </w:tcBorders>
                  <w:shd w:val="clear" w:color="auto" w:fill="auto"/>
                  <w:vAlign w:val="center"/>
                </w:tcPr>
                <w:p w14:paraId="16B355C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1.48E+7</w:t>
                  </w:r>
                </w:p>
              </w:tc>
              <w:tc>
                <w:tcPr>
                  <w:tcW w:w="1545" w:type="dxa"/>
                  <w:vMerge w:val="continue"/>
                  <w:tcBorders>
                    <w:tl2br w:val="nil"/>
                    <w:tr2bl w:val="nil"/>
                  </w:tcBorders>
                  <w:shd w:val="clear" w:color="auto" w:fill="auto"/>
                  <w:vAlign w:val="center"/>
                </w:tcPr>
                <w:p w14:paraId="120738A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7B3FED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484C98A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8</w:t>
                  </w:r>
                </w:p>
              </w:tc>
              <w:tc>
                <w:tcPr>
                  <w:tcW w:w="1039" w:type="dxa"/>
                  <w:vMerge w:val="continue"/>
                  <w:tcBorders>
                    <w:tl2br w:val="nil"/>
                    <w:tr2bl w:val="nil"/>
                  </w:tcBorders>
                  <w:shd w:val="clear" w:color="auto" w:fill="auto"/>
                  <w:vAlign w:val="center"/>
                </w:tcPr>
                <w:p w14:paraId="087CD8B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5369FD0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436EAFE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Tc-99m</w:t>
                  </w:r>
                </w:p>
              </w:tc>
              <w:tc>
                <w:tcPr>
                  <w:tcW w:w="1014" w:type="dxa"/>
                  <w:tcBorders>
                    <w:tl2br w:val="nil"/>
                    <w:tr2bl w:val="nil"/>
                  </w:tcBorders>
                  <w:shd w:val="clear" w:color="auto" w:fill="auto"/>
                  <w:vAlign w:val="center"/>
                </w:tcPr>
                <w:p w14:paraId="5EB4EA3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36D1266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3.07E+10</w:t>
                  </w:r>
                </w:p>
              </w:tc>
              <w:tc>
                <w:tcPr>
                  <w:tcW w:w="1071" w:type="dxa"/>
                  <w:tcBorders>
                    <w:tl2br w:val="nil"/>
                    <w:tr2bl w:val="nil"/>
                  </w:tcBorders>
                  <w:shd w:val="clear" w:color="auto" w:fill="auto"/>
                  <w:vAlign w:val="center"/>
                </w:tcPr>
                <w:p w14:paraId="550EBC5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3.07E+8</w:t>
                  </w:r>
                </w:p>
              </w:tc>
              <w:tc>
                <w:tcPr>
                  <w:tcW w:w="1545" w:type="dxa"/>
                  <w:vMerge w:val="continue"/>
                  <w:tcBorders>
                    <w:tl2br w:val="nil"/>
                    <w:tr2bl w:val="nil"/>
                  </w:tcBorders>
                  <w:shd w:val="clear" w:color="auto" w:fill="auto"/>
                  <w:vAlign w:val="center"/>
                </w:tcPr>
                <w:p w14:paraId="44F0B06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74F0BB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13" w:hRule="atLeast"/>
              </w:trPr>
              <w:tc>
                <w:tcPr>
                  <w:tcW w:w="443" w:type="dxa"/>
                  <w:tcBorders>
                    <w:tl2br w:val="nil"/>
                    <w:tr2bl w:val="nil"/>
                  </w:tcBorders>
                  <w:shd w:val="clear" w:color="auto" w:fill="auto"/>
                  <w:vAlign w:val="center"/>
                </w:tcPr>
                <w:p w14:paraId="4CB5F0E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9</w:t>
                  </w:r>
                </w:p>
              </w:tc>
              <w:tc>
                <w:tcPr>
                  <w:tcW w:w="1039" w:type="dxa"/>
                  <w:tcBorders>
                    <w:tl2br w:val="nil"/>
                    <w:tr2bl w:val="nil"/>
                  </w:tcBorders>
                  <w:shd w:val="clear" w:color="auto" w:fill="auto"/>
                  <w:vAlign w:val="center"/>
                </w:tcPr>
                <w:p w14:paraId="78642F1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放疗楼一层4号机房</w:t>
                  </w:r>
                </w:p>
              </w:tc>
              <w:tc>
                <w:tcPr>
                  <w:tcW w:w="822" w:type="dxa"/>
                  <w:tcBorders>
                    <w:tl2br w:val="nil"/>
                    <w:tr2bl w:val="nil"/>
                  </w:tcBorders>
                  <w:shd w:val="clear" w:color="auto" w:fill="auto"/>
                  <w:vAlign w:val="center"/>
                </w:tcPr>
                <w:p w14:paraId="45DF66F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丙级</w:t>
                  </w:r>
                </w:p>
              </w:tc>
              <w:tc>
                <w:tcPr>
                  <w:tcW w:w="1616" w:type="dxa"/>
                  <w:tcBorders>
                    <w:tl2br w:val="nil"/>
                    <w:tr2bl w:val="nil"/>
                  </w:tcBorders>
                  <w:shd w:val="clear" w:color="auto" w:fill="auto"/>
                  <w:vAlign w:val="center"/>
                </w:tcPr>
                <w:p w14:paraId="2B5607F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I-125(粒子源)</w:t>
                  </w:r>
                </w:p>
              </w:tc>
              <w:tc>
                <w:tcPr>
                  <w:tcW w:w="1014" w:type="dxa"/>
                  <w:tcBorders>
                    <w:tl2br w:val="nil"/>
                    <w:tr2bl w:val="nil"/>
                  </w:tcBorders>
                  <w:shd w:val="clear" w:color="auto" w:fill="auto"/>
                  <w:vAlign w:val="center"/>
                </w:tcPr>
                <w:p w14:paraId="1385DFA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固态</w:t>
                  </w:r>
                </w:p>
              </w:tc>
              <w:tc>
                <w:tcPr>
                  <w:tcW w:w="1586" w:type="dxa"/>
                  <w:tcBorders>
                    <w:tl2br w:val="nil"/>
                    <w:tr2bl w:val="nil"/>
                  </w:tcBorders>
                  <w:shd w:val="clear" w:color="auto" w:fill="auto"/>
                  <w:vAlign w:val="center"/>
                </w:tcPr>
                <w:p w14:paraId="4DFE219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1.07E+10</w:t>
                  </w:r>
                </w:p>
              </w:tc>
              <w:tc>
                <w:tcPr>
                  <w:tcW w:w="1071" w:type="dxa"/>
                  <w:tcBorders>
                    <w:tl2br w:val="nil"/>
                    <w:tr2bl w:val="nil"/>
                  </w:tcBorders>
                  <w:shd w:val="clear" w:color="auto" w:fill="auto"/>
                  <w:vAlign w:val="center"/>
                </w:tcPr>
                <w:p w14:paraId="0377AC4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1.07E+7</w:t>
                  </w:r>
                </w:p>
              </w:tc>
              <w:tc>
                <w:tcPr>
                  <w:tcW w:w="1545" w:type="dxa"/>
                  <w:tcBorders>
                    <w:tl2br w:val="nil"/>
                    <w:tr2bl w:val="nil"/>
                  </w:tcBorders>
                  <w:shd w:val="clear" w:color="auto" w:fill="auto"/>
                  <w:vAlign w:val="center"/>
                </w:tcPr>
                <w:p w14:paraId="6747B22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2025年8月8日完成备案，备案号</w:t>
                  </w:r>
                  <w:r>
                    <w:rPr>
                      <w:rFonts w:hint="eastAsia" w:cs="Times New Roman"/>
                      <w:color w:val="auto"/>
                      <w:kern w:val="0"/>
                      <w:sz w:val="18"/>
                      <w:szCs w:val="16"/>
                      <w:highlight w:val="none"/>
                      <w:lang w:val="en-US" w:eastAsia="zh-CN"/>
                    </w:rPr>
                    <w:t>：</w:t>
                  </w:r>
                  <w:r>
                    <w:rPr>
                      <w:rFonts w:hint="default" w:ascii="Times New Roman" w:hAnsi="Times New Roman" w:cs="Times New Roman"/>
                      <w:color w:val="auto"/>
                      <w:kern w:val="0"/>
                      <w:sz w:val="18"/>
                      <w:szCs w:val="16"/>
                      <w:highlight w:val="none"/>
                      <w:lang w:val="en-US" w:eastAsia="zh-CN"/>
                    </w:rPr>
                    <w:t>202565010400000093</w:t>
                  </w:r>
                </w:p>
              </w:tc>
            </w:tr>
            <w:tr w14:paraId="54EFD0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3CC72E8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10</w:t>
                  </w:r>
                </w:p>
              </w:tc>
              <w:tc>
                <w:tcPr>
                  <w:tcW w:w="1039" w:type="dxa"/>
                  <w:vMerge w:val="restart"/>
                  <w:tcBorders>
                    <w:tl2br w:val="nil"/>
                    <w:tr2bl w:val="nil"/>
                  </w:tcBorders>
                  <w:shd w:val="clear" w:color="auto" w:fill="auto"/>
                  <w:vAlign w:val="center"/>
                </w:tcPr>
                <w:p w14:paraId="15B2701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放射性药物小动物实验室</w:t>
                  </w:r>
                </w:p>
              </w:tc>
              <w:tc>
                <w:tcPr>
                  <w:tcW w:w="822" w:type="dxa"/>
                  <w:vMerge w:val="restart"/>
                  <w:tcBorders>
                    <w:tl2br w:val="nil"/>
                    <w:tr2bl w:val="nil"/>
                  </w:tcBorders>
                  <w:shd w:val="clear" w:color="auto" w:fill="auto"/>
                  <w:vAlign w:val="center"/>
                </w:tcPr>
                <w:p w14:paraId="4FD5C69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丙级</w:t>
                  </w:r>
                </w:p>
              </w:tc>
              <w:tc>
                <w:tcPr>
                  <w:tcW w:w="1616" w:type="dxa"/>
                  <w:tcBorders>
                    <w:tl2br w:val="nil"/>
                    <w:tr2bl w:val="nil"/>
                  </w:tcBorders>
                  <w:shd w:val="clear" w:color="auto" w:fill="auto"/>
                  <w:vAlign w:val="center"/>
                </w:tcPr>
                <w:p w14:paraId="0351E38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vertAlign w:val="baseline"/>
                      <w:lang w:val="en-US" w:eastAsia="zh-CN"/>
                    </w:rPr>
                    <w:t>F-18</w:t>
                  </w:r>
                </w:p>
              </w:tc>
              <w:tc>
                <w:tcPr>
                  <w:tcW w:w="1014" w:type="dxa"/>
                  <w:tcBorders>
                    <w:tl2br w:val="nil"/>
                    <w:tr2bl w:val="nil"/>
                  </w:tcBorders>
                  <w:shd w:val="clear" w:color="auto" w:fill="auto"/>
                  <w:vAlign w:val="center"/>
                </w:tcPr>
                <w:p w14:paraId="5DC3618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7734697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2.22E+8</w:t>
                  </w:r>
                </w:p>
              </w:tc>
              <w:tc>
                <w:tcPr>
                  <w:tcW w:w="1071" w:type="dxa"/>
                  <w:tcBorders>
                    <w:tl2br w:val="nil"/>
                    <w:tr2bl w:val="nil"/>
                  </w:tcBorders>
                  <w:shd w:val="clear" w:color="auto" w:fill="auto"/>
                  <w:vAlign w:val="center"/>
                </w:tcPr>
                <w:p w14:paraId="3A22677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2.22E+5</w:t>
                  </w:r>
                </w:p>
              </w:tc>
              <w:tc>
                <w:tcPr>
                  <w:tcW w:w="1545" w:type="dxa"/>
                  <w:vMerge w:val="restart"/>
                  <w:tcBorders>
                    <w:tl2br w:val="nil"/>
                    <w:tr2bl w:val="nil"/>
                  </w:tcBorders>
                  <w:shd w:val="clear" w:color="auto" w:fill="auto"/>
                  <w:vAlign w:val="center"/>
                </w:tcPr>
                <w:p w14:paraId="28DBEB0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2026年4月27日环评批复；2026年9月20日取得辐射安全许可证，暂未验收</w:t>
                  </w:r>
                </w:p>
              </w:tc>
            </w:tr>
            <w:tr w14:paraId="4F47DF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0EB5EA4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11</w:t>
                  </w:r>
                </w:p>
              </w:tc>
              <w:tc>
                <w:tcPr>
                  <w:tcW w:w="1039" w:type="dxa"/>
                  <w:vMerge w:val="continue"/>
                  <w:tcBorders>
                    <w:tl2br w:val="nil"/>
                    <w:tr2bl w:val="nil"/>
                  </w:tcBorders>
                  <w:shd w:val="clear" w:color="auto" w:fill="auto"/>
                  <w:vAlign w:val="center"/>
                </w:tcPr>
                <w:p w14:paraId="7268B16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44BE7A9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1829D0D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Ga-68</w:t>
                  </w:r>
                </w:p>
              </w:tc>
              <w:tc>
                <w:tcPr>
                  <w:tcW w:w="1014" w:type="dxa"/>
                  <w:tcBorders>
                    <w:tl2br w:val="nil"/>
                    <w:tr2bl w:val="nil"/>
                  </w:tcBorders>
                  <w:shd w:val="clear" w:color="auto" w:fill="auto"/>
                  <w:vAlign w:val="center"/>
                </w:tcPr>
                <w:p w14:paraId="06CC971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75F2F0E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2.22E+8</w:t>
                  </w:r>
                </w:p>
              </w:tc>
              <w:tc>
                <w:tcPr>
                  <w:tcW w:w="1071" w:type="dxa"/>
                  <w:tcBorders>
                    <w:tl2br w:val="nil"/>
                    <w:tr2bl w:val="nil"/>
                  </w:tcBorders>
                  <w:shd w:val="clear" w:color="auto" w:fill="auto"/>
                  <w:vAlign w:val="center"/>
                </w:tcPr>
                <w:p w14:paraId="0AD45C1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2.22E+5</w:t>
                  </w:r>
                </w:p>
              </w:tc>
              <w:tc>
                <w:tcPr>
                  <w:tcW w:w="1545" w:type="dxa"/>
                  <w:vMerge w:val="continue"/>
                  <w:tcBorders>
                    <w:tl2br w:val="nil"/>
                    <w:tr2bl w:val="nil"/>
                  </w:tcBorders>
                  <w:shd w:val="clear" w:color="auto" w:fill="auto"/>
                  <w:vAlign w:val="center"/>
                </w:tcPr>
                <w:p w14:paraId="78E33E9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7DD869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2B52DBB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12</w:t>
                  </w:r>
                </w:p>
              </w:tc>
              <w:tc>
                <w:tcPr>
                  <w:tcW w:w="1039" w:type="dxa"/>
                  <w:vMerge w:val="continue"/>
                  <w:tcBorders>
                    <w:tl2br w:val="nil"/>
                    <w:tr2bl w:val="nil"/>
                  </w:tcBorders>
                  <w:shd w:val="clear" w:color="auto" w:fill="auto"/>
                  <w:vAlign w:val="center"/>
                </w:tcPr>
                <w:p w14:paraId="6F7C94E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672005E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74834BA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vertAlign w:val="baseline"/>
                      <w:lang w:val="en-US" w:eastAsia="zh-CN"/>
                    </w:rPr>
                    <w:t>Lu-177</w:t>
                  </w:r>
                </w:p>
              </w:tc>
              <w:tc>
                <w:tcPr>
                  <w:tcW w:w="1014" w:type="dxa"/>
                  <w:tcBorders>
                    <w:tl2br w:val="nil"/>
                    <w:tr2bl w:val="nil"/>
                  </w:tcBorders>
                  <w:shd w:val="clear" w:color="auto" w:fill="auto"/>
                  <w:vAlign w:val="center"/>
                </w:tcPr>
                <w:p w14:paraId="5FB2E0C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3E8C494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1.85E+8</w:t>
                  </w:r>
                </w:p>
              </w:tc>
              <w:tc>
                <w:tcPr>
                  <w:tcW w:w="1071" w:type="dxa"/>
                  <w:tcBorders>
                    <w:tl2br w:val="nil"/>
                    <w:tr2bl w:val="nil"/>
                  </w:tcBorders>
                  <w:shd w:val="clear" w:color="auto" w:fill="auto"/>
                  <w:vAlign w:val="center"/>
                </w:tcPr>
                <w:p w14:paraId="1027129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1.85E+7</w:t>
                  </w:r>
                </w:p>
              </w:tc>
              <w:tc>
                <w:tcPr>
                  <w:tcW w:w="1545" w:type="dxa"/>
                  <w:vMerge w:val="continue"/>
                  <w:tcBorders>
                    <w:tl2br w:val="nil"/>
                    <w:tr2bl w:val="nil"/>
                  </w:tcBorders>
                  <w:shd w:val="clear" w:color="auto" w:fill="auto"/>
                  <w:vAlign w:val="center"/>
                </w:tcPr>
                <w:p w14:paraId="05FB3F0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19606A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257AB1B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13</w:t>
                  </w:r>
                </w:p>
              </w:tc>
              <w:tc>
                <w:tcPr>
                  <w:tcW w:w="1039" w:type="dxa"/>
                  <w:vMerge w:val="continue"/>
                  <w:tcBorders>
                    <w:tl2br w:val="nil"/>
                    <w:tr2bl w:val="nil"/>
                  </w:tcBorders>
                  <w:shd w:val="clear" w:color="auto" w:fill="auto"/>
                  <w:vAlign w:val="center"/>
                </w:tcPr>
                <w:p w14:paraId="32BED98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6884D6D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260197C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Tc-99m</w:t>
                  </w:r>
                </w:p>
              </w:tc>
              <w:tc>
                <w:tcPr>
                  <w:tcW w:w="1014" w:type="dxa"/>
                  <w:tcBorders>
                    <w:tl2br w:val="nil"/>
                    <w:tr2bl w:val="nil"/>
                  </w:tcBorders>
                  <w:shd w:val="clear" w:color="auto" w:fill="auto"/>
                  <w:vAlign w:val="center"/>
                </w:tcPr>
                <w:p w14:paraId="2789917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666F374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7.4E+7</w:t>
                  </w:r>
                </w:p>
              </w:tc>
              <w:tc>
                <w:tcPr>
                  <w:tcW w:w="1071" w:type="dxa"/>
                  <w:tcBorders>
                    <w:tl2br w:val="nil"/>
                    <w:tr2bl w:val="nil"/>
                  </w:tcBorders>
                  <w:shd w:val="clear" w:color="auto" w:fill="auto"/>
                  <w:vAlign w:val="center"/>
                </w:tcPr>
                <w:p w14:paraId="6D44D3D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7.4E+4</w:t>
                  </w:r>
                </w:p>
              </w:tc>
              <w:tc>
                <w:tcPr>
                  <w:tcW w:w="1545" w:type="dxa"/>
                  <w:vMerge w:val="continue"/>
                  <w:tcBorders>
                    <w:tl2br w:val="nil"/>
                    <w:tr2bl w:val="nil"/>
                  </w:tcBorders>
                  <w:shd w:val="clear" w:color="auto" w:fill="auto"/>
                  <w:vAlign w:val="center"/>
                </w:tcPr>
                <w:p w14:paraId="5D5FE3B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15CC19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74EDF71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14</w:t>
                  </w:r>
                </w:p>
              </w:tc>
              <w:tc>
                <w:tcPr>
                  <w:tcW w:w="1039" w:type="dxa"/>
                  <w:vMerge w:val="restart"/>
                  <w:tcBorders>
                    <w:tl2br w:val="nil"/>
                    <w:tr2bl w:val="nil"/>
                  </w:tcBorders>
                  <w:shd w:val="clear" w:color="auto" w:fill="auto"/>
                  <w:vAlign w:val="center"/>
                </w:tcPr>
                <w:p w14:paraId="4DCBEB9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核医学楼</w:t>
                  </w:r>
                </w:p>
              </w:tc>
              <w:tc>
                <w:tcPr>
                  <w:tcW w:w="822" w:type="dxa"/>
                  <w:vMerge w:val="restart"/>
                  <w:tcBorders>
                    <w:tl2br w:val="nil"/>
                    <w:tr2bl w:val="nil"/>
                  </w:tcBorders>
                  <w:shd w:val="clear" w:color="auto" w:fill="auto"/>
                  <w:vAlign w:val="center"/>
                </w:tcPr>
                <w:p w14:paraId="0667BEE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乙级</w:t>
                  </w:r>
                </w:p>
              </w:tc>
              <w:tc>
                <w:tcPr>
                  <w:tcW w:w="1616" w:type="dxa"/>
                  <w:tcBorders>
                    <w:tl2br w:val="nil"/>
                    <w:tr2bl w:val="nil"/>
                  </w:tcBorders>
                  <w:shd w:val="clear" w:color="auto" w:fill="auto"/>
                  <w:vAlign w:val="center"/>
                </w:tcPr>
                <w:p w14:paraId="05794D1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vertAlign w:val="baseline"/>
                      <w:lang w:val="en-US" w:eastAsia="zh-CN"/>
                    </w:rPr>
                    <w:t>F-18</w:t>
                  </w:r>
                </w:p>
              </w:tc>
              <w:tc>
                <w:tcPr>
                  <w:tcW w:w="1014" w:type="dxa"/>
                  <w:tcBorders>
                    <w:tl2br w:val="nil"/>
                    <w:tr2bl w:val="nil"/>
                  </w:tcBorders>
                  <w:shd w:val="clear" w:color="auto" w:fill="auto"/>
                  <w:vAlign w:val="center"/>
                </w:tcPr>
                <w:p w14:paraId="7BE19BA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15389CB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9.99E+9</w:t>
                  </w:r>
                </w:p>
              </w:tc>
              <w:tc>
                <w:tcPr>
                  <w:tcW w:w="1071" w:type="dxa"/>
                  <w:tcBorders>
                    <w:tl2br w:val="nil"/>
                    <w:tr2bl w:val="nil"/>
                  </w:tcBorders>
                  <w:shd w:val="clear" w:color="auto" w:fill="auto"/>
                  <w:vAlign w:val="center"/>
                </w:tcPr>
                <w:p w14:paraId="4F6154E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9.99E+7</w:t>
                  </w:r>
                </w:p>
              </w:tc>
              <w:tc>
                <w:tcPr>
                  <w:tcW w:w="1545" w:type="dxa"/>
                  <w:vMerge w:val="restart"/>
                  <w:tcBorders>
                    <w:tl2br w:val="nil"/>
                    <w:tr2bl w:val="nil"/>
                  </w:tcBorders>
                  <w:shd w:val="clear" w:color="auto" w:fill="auto"/>
                  <w:vAlign w:val="center"/>
                </w:tcPr>
                <w:p w14:paraId="4ED39E9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2023年8月2日环评批复（新环审〔2023〕169号），2025年11月17日取得辐射安全许可证，未完全验收</w:t>
                  </w:r>
                  <w:r>
                    <w:rPr>
                      <w:rFonts w:hint="eastAsia" w:cs="Times New Roman"/>
                      <w:color w:val="auto"/>
                      <w:kern w:val="0"/>
                      <w:sz w:val="18"/>
                      <w:szCs w:val="16"/>
                      <w:highlight w:val="none"/>
                      <w:lang w:val="en-US" w:eastAsia="zh-CN"/>
                    </w:rPr>
                    <w:t>。</w:t>
                  </w:r>
                </w:p>
              </w:tc>
            </w:tr>
            <w:tr w14:paraId="3D114C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3FD550B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15</w:t>
                  </w:r>
                </w:p>
              </w:tc>
              <w:tc>
                <w:tcPr>
                  <w:tcW w:w="1039" w:type="dxa"/>
                  <w:vMerge w:val="continue"/>
                  <w:tcBorders>
                    <w:tl2br w:val="nil"/>
                    <w:tr2bl w:val="nil"/>
                  </w:tcBorders>
                  <w:shd w:val="clear" w:color="auto" w:fill="auto"/>
                  <w:vAlign w:val="center"/>
                </w:tcPr>
                <w:p w14:paraId="0384319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0D1F4BB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3FB147A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Ga-68</w:t>
                  </w:r>
                </w:p>
              </w:tc>
              <w:tc>
                <w:tcPr>
                  <w:tcW w:w="1014" w:type="dxa"/>
                  <w:tcBorders>
                    <w:tl2br w:val="nil"/>
                    <w:tr2bl w:val="nil"/>
                  </w:tcBorders>
                  <w:shd w:val="clear" w:color="auto" w:fill="auto"/>
                  <w:vAlign w:val="center"/>
                </w:tcPr>
                <w:p w14:paraId="387EE81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14752E2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1.11E+9</w:t>
                  </w:r>
                </w:p>
              </w:tc>
              <w:tc>
                <w:tcPr>
                  <w:tcW w:w="1071" w:type="dxa"/>
                  <w:tcBorders>
                    <w:tl2br w:val="nil"/>
                    <w:tr2bl w:val="nil"/>
                  </w:tcBorders>
                  <w:shd w:val="clear" w:color="auto" w:fill="auto"/>
                  <w:vAlign w:val="center"/>
                </w:tcPr>
                <w:p w14:paraId="2F79E8B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1.11E+7</w:t>
                  </w:r>
                </w:p>
              </w:tc>
              <w:tc>
                <w:tcPr>
                  <w:tcW w:w="1545" w:type="dxa"/>
                  <w:vMerge w:val="continue"/>
                  <w:tcBorders>
                    <w:tl2br w:val="nil"/>
                    <w:tr2bl w:val="nil"/>
                  </w:tcBorders>
                  <w:shd w:val="clear" w:color="auto" w:fill="auto"/>
                  <w:vAlign w:val="center"/>
                </w:tcPr>
                <w:p w14:paraId="2A78F8A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5C00CF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15" w:hRule="atLeast"/>
              </w:trPr>
              <w:tc>
                <w:tcPr>
                  <w:tcW w:w="443" w:type="dxa"/>
                  <w:tcBorders>
                    <w:tl2br w:val="nil"/>
                    <w:tr2bl w:val="nil"/>
                  </w:tcBorders>
                  <w:shd w:val="clear" w:color="auto" w:fill="auto"/>
                  <w:vAlign w:val="center"/>
                </w:tcPr>
                <w:p w14:paraId="0B602B5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16</w:t>
                  </w:r>
                </w:p>
              </w:tc>
              <w:tc>
                <w:tcPr>
                  <w:tcW w:w="1039" w:type="dxa"/>
                  <w:vMerge w:val="continue"/>
                  <w:tcBorders>
                    <w:tl2br w:val="nil"/>
                    <w:tr2bl w:val="nil"/>
                  </w:tcBorders>
                  <w:shd w:val="clear" w:color="auto" w:fill="auto"/>
                  <w:vAlign w:val="center"/>
                </w:tcPr>
                <w:p w14:paraId="56717CE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39C83CE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2670289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vertAlign w:val="baseline"/>
                      <w:lang w:val="en-US" w:eastAsia="zh-CN"/>
                    </w:rPr>
                    <w:t>I-131</w:t>
                  </w:r>
                </w:p>
              </w:tc>
              <w:tc>
                <w:tcPr>
                  <w:tcW w:w="1014" w:type="dxa"/>
                  <w:tcBorders>
                    <w:tl2br w:val="nil"/>
                    <w:tr2bl w:val="nil"/>
                  </w:tcBorders>
                  <w:shd w:val="clear" w:color="auto" w:fill="auto"/>
                  <w:vAlign w:val="center"/>
                </w:tcPr>
                <w:p w14:paraId="56E6303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3C72E44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2.96E+10</w:t>
                  </w:r>
                </w:p>
              </w:tc>
              <w:tc>
                <w:tcPr>
                  <w:tcW w:w="1071" w:type="dxa"/>
                  <w:tcBorders>
                    <w:tl2br w:val="nil"/>
                    <w:tr2bl w:val="nil"/>
                  </w:tcBorders>
                  <w:shd w:val="clear" w:color="auto" w:fill="auto"/>
                  <w:vAlign w:val="center"/>
                </w:tcPr>
                <w:p w14:paraId="4077ECB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2.96E+9</w:t>
                  </w:r>
                </w:p>
              </w:tc>
              <w:tc>
                <w:tcPr>
                  <w:tcW w:w="1545" w:type="dxa"/>
                  <w:vMerge w:val="continue"/>
                  <w:tcBorders>
                    <w:tl2br w:val="nil"/>
                    <w:tr2bl w:val="nil"/>
                  </w:tcBorders>
                  <w:shd w:val="clear" w:color="auto" w:fill="auto"/>
                  <w:vAlign w:val="center"/>
                </w:tcPr>
                <w:p w14:paraId="118A570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3ED721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466F7EC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17</w:t>
                  </w:r>
                </w:p>
              </w:tc>
              <w:tc>
                <w:tcPr>
                  <w:tcW w:w="1039" w:type="dxa"/>
                  <w:vMerge w:val="continue"/>
                  <w:tcBorders>
                    <w:tl2br w:val="nil"/>
                    <w:tr2bl w:val="nil"/>
                  </w:tcBorders>
                  <w:shd w:val="clear" w:color="auto" w:fill="auto"/>
                  <w:vAlign w:val="center"/>
                </w:tcPr>
                <w:p w14:paraId="3F26972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7DDE79D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7DEE924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vertAlign w:val="baseline"/>
                      <w:lang w:val="en-US" w:eastAsia="zh-CN"/>
                    </w:rPr>
                    <w:t>I-131</w:t>
                  </w:r>
                </w:p>
              </w:tc>
              <w:tc>
                <w:tcPr>
                  <w:tcW w:w="1014" w:type="dxa"/>
                  <w:tcBorders>
                    <w:tl2br w:val="nil"/>
                    <w:tr2bl w:val="nil"/>
                  </w:tcBorders>
                  <w:shd w:val="clear" w:color="auto" w:fill="auto"/>
                  <w:vAlign w:val="center"/>
                </w:tcPr>
                <w:p w14:paraId="6B0480B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61DF3A0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1.48E+9</w:t>
                  </w:r>
                </w:p>
              </w:tc>
              <w:tc>
                <w:tcPr>
                  <w:tcW w:w="1071" w:type="dxa"/>
                  <w:tcBorders>
                    <w:tl2br w:val="nil"/>
                    <w:tr2bl w:val="nil"/>
                  </w:tcBorders>
                  <w:shd w:val="clear" w:color="auto" w:fill="auto"/>
                  <w:vAlign w:val="center"/>
                </w:tcPr>
                <w:p w14:paraId="4D82CCA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1.48E+8</w:t>
                  </w:r>
                </w:p>
              </w:tc>
              <w:tc>
                <w:tcPr>
                  <w:tcW w:w="1545" w:type="dxa"/>
                  <w:vMerge w:val="continue"/>
                  <w:tcBorders>
                    <w:tl2br w:val="nil"/>
                    <w:tr2bl w:val="nil"/>
                  </w:tcBorders>
                  <w:shd w:val="clear" w:color="auto" w:fill="auto"/>
                  <w:vAlign w:val="center"/>
                </w:tcPr>
                <w:p w14:paraId="0BC48F3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5CB653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71A52CD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18</w:t>
                  </w:r>
                </w:p>
              </w:tc>
              <w:tc>
                <w:tcPr>
                  <w:tcW w:w="1039" w:type="dxa"/>
                  <w:vMerge w:val="continue"/>
                  <w:tcBorders>
                    <w:tl2br w:val="nil"/>
                    <w:tr2bl w:val="nil"/>
                  </w:tcBorders>
                  <w:shd w:val="clear" w:color="auto" w:fill="auto"/>
                  <w:vAlign w:val="center"/>
                </w:tcPr>
                <w:p w14:paraId="0F01DD3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2417C0A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780EA15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vertAlign w:val="baseline"/>
                      <w:lang w:val="en-US" w:eastAsia="zh-CN"/>
                    </w:rPr>
                    <w:t>Lu-177</w:t>
                  </w:r>
                </w:p>
              </w:tc>
              <w:tc>
                <w:tcPr>
                  <w:tcW w:w="1014" w:type="dxa"/>
                  <w:tcBorders>
                    <w:tl2br w:val="nil"/>
                    <w:tr2bl w:val="nil"/>
                  </w:tcBorders>
                  <w:shd w:val="clear" w:color="auto" w:fill="auto"/>
                  <w:vAlign w:val="center"/>
                </w:tcPr>
                <w:p w14:paraId="0484D56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7840376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3.7E+9</w:t>
                  </w:r>
                </w:p>
              </w:tc>
              <w:tc>
                <w:tcPr>
                  <w:tcW w:w="1071" w:type="dxa"/>
                  <w:tcBorders>
                    <w:tl2br w:val="nil"/>
                    <w:tr2bl w:val="nil"/>
                  </w:tcBorders>
                  <w:shd w:val="clear" w:color="auto" w:fill="auto"/>
                  <w:vAlign w:val="center"/>
                </w:tcPr>
                <w:p w14:paraId="6947339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3.7E+8</w:t>
                  </w:r>
                </w:p>
              </w:tc>
              <w:tc>
                <w:tcPr>
                  <w:tcW w:w="1545" w:type="dxa"/>
                  <w:vMerge w:val="continue"/>
                  <w:tcBorders>
                    <w:tl2br w:val="nil"/>
                    <w:tr2bl w:val="nil"/>
                  </w:tcBorders>
                  <w:shd w:val="clear" w:color="auto" w:fill="auto"/>
                  <w:vAlign w:val="center"/>
                </w:tcPr>
                <w:p w14:paraId="60C6DFD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6543EF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5545CDC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19</w:t>
                  </w:r>
                </w:p>
              </w:tc>
              <w:tc>
                <w:tcPr>
                  <w:tcW w:w="1039" w:type="dxa"/>
                  <w:vMerge w:val="continue"/>
                  <w:tcBorders>
                    <w:tl2br w:val="nil"/>
                    <w:tr2bl w:val="nil"/>
                  </w:tcBorders>
                  <w:shd w:val="clear" w:color="auto" w:fill="auto"/>
                  <w:vAlign w:val="center"/>
                </w:tcPr>
                <w:p w14:paraId="4EE8171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5289665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6ABDE02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Mo-99(Tc-99m)</w:t>
                  </w:r>
                </w:p>
              </w:tc>
              <w:tc>
                <w:tcPr>
                  <w:tcW w:w="1014" w:type="dxa"/>
                  <w:tcBorders>
                    <w:tl2br w:val="nil"/>
                    <w:tr2bl w:val="nil"/>
                  </w:tcBorders>
                  <w:shd w:val="clear" w:color="auto" w:fill="auto"/>
                  <w:vAlign w:val="center"/>
                </w:tcPr>
                <w:p w14:paraId="4DFE20D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287EF1B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3.70E+10</w:t>
                  </w:r>
                </w:p>
              </w:tc>
              <w:tc>
                <w:tcPr>
                  <w:tcW w:w="1071" w:type="dxa"/>
                  <w:tcBorders>
                    <w:tl2br w:val="nil"/>
                    <w:tr2bl w:val="nil"/>
                  </w:tcBorders>
                  <w:shd w:val="clear" w:color="auto" w:fill="auto"/>
                  <w:vAlign w:val="center"/>
                </w:tcPr>
                <w:p w14:paraId="23CE5C3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3.70E+7</w:t>
                  </w:r>
                </w:p>
              </w:tc>
              <w:tc>
                <w:tcPr>
                  <w:tcW w:w="1545" w:type="dxa"/>
                  <w:vMerge w:val="continue"/>
                  <w:tcBorders>
                    <w:tl2br w:val="nil"/>
                    <w:tr2bl w:val="nil"/>
                  </w:tcBorders>
                  <w:shd w:val="clear" w:color="auto" w:fill="auto"/>
                  <w:vAlign w:val="center"/>
                </w:tcPr>
                <w:p w14:paraId="209B567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25059D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18F1136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20</w:t>
                  </w:r>
                </w:p>
              </w:tc>
              <w:tc>
                <w:tcPr>
                  <w:tcW w:w="1039" w:type="dxa"/>
                  <w:vMerge w:val="continue"/>
                  <w:tcBorders>
                    <w:tl2br w:val="nil"/>
                    <w:tr2bl w:val="nil"/>
                  </w:tcBorders>
                  <w:shd w:val="clear" w:color="auto" w:fill="auto"/>
                  <w:vAlign w:val="center"/>
                </w:tcPr>
                <w:p w14:paraId="4033971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49BCF7E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004670F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vertAlign w:val="baseline"/>
                      <w:lang w:val="en-US" w:eastAsia="zh-CN"/>
                    </w:rPr>
                    <w:t>Ra-223</w:t>
                  </w:r>
                </w:p>
              </w:tc>
              <w:tc>
                <w:tcPr>
                  <w:tcW w:w="1014" w:type="dxa"/>
                  <w:tcBorders>
                    <w:tl2br w:val="nil"/>
                    <w:tr2bl w:val="nil"/>
                  </w:tcBorders>
                  <w:shd w:val="clear" w:color="auto" w:fill="auto"/>
                  <w:vAlign w:val="center"/>
                </w:tcPr>
                <w:p w14:paraId="7212DB4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3AF753F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3.3E+6</w:t>
                  </w:r>
                </w:p>
              </w:tc>
              <w:tc>
                <w:tcPr>
                  <w:tcW w:w="1071" w:type="dxa"/>
                  <w:tcBorders>
                    <w:tl2br w:val="nil"/>
                    <w:tr2bl w:val="nil"/>
                  </w:tcBorders>
                  <w:shd w:val="clear" w:color="auto" w:fill="auto"/>
                  <w:vAlign w:val="center"/>
                </w:tcPr>
                <w:p w14:paraId="5E33EF6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3.3E+7</w:t>
                  </w:r>
                </w:p>
              </w:tc>
              <w:tc>
                <w:tcPr>
                  <w:tcW w:w="1545" w:type="dxa"/>
                  <w:vMerge w:val="continue"/>
                  <w:tcBorders>
                    <w:tl2br w:val="nil"/>
                    <w:tr2bl w:val="nil"/>
                  </w:tcBorders>
                  <w:shd w:val="clear" w:color="auto" w:fill="auto"/>
                  <w:vAlign w:val="center"/>
                </w:tcPr>
                <w:p w14:paraId="48CF88B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25942B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50" w:hRule="atLeast"/>
              </w:trPr>
              <w:tc>
                <w:tcPr>
                  <w:tcW w:w="443" w:type="dxa"/>
                  <w:tcBorders>
                    <w:tl2br w:val="nil"/>
                    <w:tr2bl w:val="nil"/>
                  </w:tcBorders>
                  <w:shd w:val="clear" w:color="auto" w:fill="auto"/>
                  <w:vAlign w:val="center"/>
                </w:tcPr>
                <w:p w14:paraId="6F8118B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21</w:t>
                  </w:r>
                </w:p>
              </w:tc>
              <w:tc>
                <w:tcPr>
                  <w:tcW w:w="1039" w:type="dxa"/>
                  <w:vMerge w:val="continue"/>
                  <w:tcBorders>
                    <w:tl2br w:val="nil"/>
                    <w:tr2bl w:val="nil"/>
                  </w:tcBorders>
                  <w:shd w:val="clear" w:color="auto" w:fill="auto"/>
                  <w:vAlign w:val="center"/>
                </w:tcPr>
                <w:p w14:paraId="3BA84C0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17AA86E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2B6A199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Sr-89</w:t>
                  </w:r>
                </w:p>
              </w:tc>
              <w:tc>
                <w:tcPr>
                  <w:tcW w:w="1014" w:type="dxa"/>
                  <w:tcBorders>
                    <w:tl2br w:val="nil"/>
                    <w:tr2bl w:val="nil"/>
                  </w:tcBorders>
                  <w:shd w:val="clear" w:color="auto" w:fill="auto"/>
                  <w:vAlign w:val="center"/>
                </w:tcPr>
                <w:p w14:paraId="435D066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70B622E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2.96E+8</w:t>
                  </w:r>
                </w:p>
              </w:tc>
              <w:tc>
                <w:tcPr>
                  <w:tcW w:w="1071" w:type="dxa"/>
                  <w:tcBorders>
                    <w:tl2br w:val="nil"/>
                    <w:tr2bl w:val="nil"/>
                  </w:tcBorders>
                  <w:shd w:val="clear" w:color="auto" w:fill="auto"/>
                  <w:vAlign w:val="center"/>
                </w:tcPr>
                <w:p w14:paraId="79A4663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2.96E+7</w:t>
                  </w:r>
                </w:p>
              </w:tc>
              <w:tc>
                <w:tcPr>
                  <w:tcW w:w="1545" w:type="dxa"/>
                  <w:vMerge w:val="continue"/>
                  <w:tcBorders>
                    <w:tl2br w:val="nil"/>
                    <w:tr2bl w:val="nil"/>
                  </w:tcBorders>
                  <w:shd w:val="clear" w:color="auto" w:fill="auto"/>
                  <w:vAlign w:val="center"/>
                </w:tcPr>
                <w:p w14:paraId="55E2507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22615D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90" w:hRule="atLeast"/>
              </w:trPr>
              <w:tc>
                <w:tcPr>
                  <w:tcW w:w="443" w:type="dxa"/>
                  <w:tcBorders>
                    <w:tl2br w:val="nil"/>
                    <w:tr2bl w:val="nil"/>
                  </w:tcBorders>
                  <w:shd w:val="clear" w:color="auto" w:fill="auto"/>
                  <w:vAlign w:val="center"/>
                </w:tcPr>
                <w:p w14:paraId="7E97D5F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22</w:t>
                  </w:r>
                </w:p>
              </w:tc>
              <w:tc>
                <w:tcPr>
                  <w:tcW w:w="1039" w:type="dxa"/>
                  <w:vMerge w:val="continue"/>
                  <w:tcBorders>
                    <w:tl2br w:val="nil"/>
                    <w:tr2bl w:val="nil"/>
                  </w:tcBorders>
                  <w:shd w:val="clear" w:color="auto" w:fill="auto"/>
                  <w:vAlign w:val="center"/>
                </w:tcPr>
                <w:p w14:paraId="59C26DE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822" w:type="dxa"/>
                  <w:vMerge w:val="continue"/>
                  <w:tcBorders>
                    <w:tl2br w:val="nil"/>
                    <w:tr2bl w:val="nil"/>
                  </w:tcBorders>
                  <w:shd w:val="clear" w:color="auto" w:fill="auto"/>
                  <w:vAlign w:val="center"/>
                </w:tcPr>
                <w:p w14:paraId="7EF5FB2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c>
                <w:tcPr>
                  <w:tcW w:w="1616" w:type="dxa"/>
                  <w:tcBorders>
                    <w:tl2br w:val="nil"/>
                    <w:tr2bl w:val="nil"/>
                  </w:tcBorders>
                  <w:shd w:val="clear" w:color="auto" w:fill="auto"/>
                  <w:vAlign w:val="center"/>
                </w:tcPr>
                <w:p w14:paraId="33049D8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Tc-99m</w:t>
                  </w:r>
                </w:p>
              </w:tc>
              <w:tc>
                <w:tcPr>
                  <w:tcW w:w="1014" w:type="dxa"/>
                  <w:tcBorders>
                    <w:tl2br w:val="nil"/>
                    <w:tr2bl w:val="nil"/>
                  </w:tcBorders>
                  <w:shd w:val="clear" w:color="auto" w:fill="auto"/>
                  <w:vAlign w:val="center"/>
                </w:tcPr>
                <w:p w14:paraId="441E32A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液态</w:t>
                  </w:r>
                </w:p>
              </w:tc>
              <w:tc>
                <w:tcPr>
                  <w:tcW w:w="1586" w:type="dxa"/>
                  <w:tcBorders>
                    <w:tl2br w:val="nil"/>
                    <w:tr2bl w:val="nil"/>
                  </w:tcBorders>
                  <w:shd w:val="clear" w:color="auto" w:fill="auto"/>
                  <w:vAlign w:val="center"/>
                </w:tcPr>
                <w:p w14:paraId="2440FF8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3.07E+10</w:t>
                  </w:r>
                </w:p>
              </w:tc>
              <w:tc>
                <w:tcPr>
                  <w:tcW w:w="1071" w:type="dxa"/>
                  <w:tcBorders>
                    <w:tl2br w:val="nil"/>
                    <w:tr2bl w:val="nil"/>
                  </w:tcBorders>
                  <w:shd w:val="clear" w:color="auto" w:fill="auto"/>
                  <w:vAlign w:val="center"/>
                </w:tcPr>
                <w:p w14:paraId="3D95D0F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r>
                    <w:rPr>
                      <w:rFonts w:hint="default" w:ascii="Times New Roman" w:hAnsi="Times New Roman" w:cs="Times New Roman"/>
                      <w:color w:val="auto"/>
                      <w:kern w:val="0"/>
                      <w:sz w:val="18"/>
                      <w:szCs w:val="16"/>
                      <w:highlight w:val="none"/>
                      <w:lang w:val="en-US" w:eastAsia="zh-CN"/>
                    </w:rPr>
                    <w:t>3.07E+8</w:t>
                  </w:r>
                </w:p>
              </w:tc>
              <w:tc>
                <w:tcPr>
                  <w:tcW w:w="1545" w:type="dxa"/>
                  <w:vMerge w:val="continue"/>
                  <w:tcBorders>
                    <w:tl2br w:val="nil"/>
                    <w:tr2bl w:val="nil"/>
                  </w:tcBorders>
                  <w:shd w:val="clear" w:color="auto" w:fill="auto"/>
                  <w:vAlign w:val="center"/>
                </w:tcPr>
                <w:p w14:paraId="57891E4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cs="Times New Roman"/>
                      <w:color w:val="auto"/>
                      <w:kern w:val="0"/>
                      <w:sz w:val="18"/>
                      <w:szCs w:val="16"/>
                      <w:highlight w:val="none"/>
                      <w:lang w:val="en-US" w:eastAsia="zh-CN"/>
                    </w:rPr>
                  </w:pPr>
                </w:p>
              </w:tc>
            </w:tr>
            <w:tr w14:paraId="1E495D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122" w:hRule="atLeast"/>
              </w:trPr>
              <w:tc>
                <w:tcPr>
                  <w:tcW w:w="9136" w:type="dxa"/>
                  <w:gridSpan w:val="8"/>
                  <w:tcBorders>
                    <w:tl2br w:val="nil"/>
                    <w:tr2bl w:val="nil"/>
                  </w:tcBorders>
                  <w:shd w:val="clear" w:color="auto" w:fill="auto"/>
                  <w:vAlign w:val="center"/>
                </w:tcPr>
                <w:p w14:paraId="53A9F2CC">
                  <w:pPr>
                    <w:keepNext w:val="0"/>
                    <w:keepLines w:val="0"/>
                    <w:suppressLineNumbers w:val="0"/>
                    <w:autoSpaceDE w:val="0"/>
                    <w:autoSpaceDN w:val="0"/>
                    <w:bidi w:val="0"/>
                    <w:spacing w:before="0" w:beforeAutospacing="0" w:after="0" w:afterAutospacing="0"/>
                    <w:ind w:left="0" w:right="0" w:firstLine="0" w:firstLineChars="0"/>
                    <w:jc w:val="both"/>
                    <w:rPr>
                      <w:rFonts w:hint="default" w:ascii="Times New Roman" w:hAnsi="Times New Roman" w:cs="Times New Roman"/>
                      <w:color w:val="auto"/>
                      <w:kern w:val="0"/>
                      <w:sz w:val="18"/>
                      <w:szCs w:val="16"/>
                      <w:highlight w:val="none"/>
                      <w:lang w:val="en-US" w:eastAsia="zh-CN"/>
                    </w:rPr>
                  </w:pPr>
                  <w:r>
                    <w:rPr>
                      <w:rFonts w:hint="eastAsia" w:cs="Times New Roman"/>
                      <w:color w:val="auto"/>
                      <w:kern w:val="0"/>
                      <w:sz w:val="18"/>
                      <w:szCs w:val="16"/>
                      <w:highlight w:val="none"/>
                      <w:lang w:val="en-US" w:eastAsia="zh-CN"/>
                    </w:rPr>
                    <w:t>注：根据《新疆医科大学中亚肿瘤医学中心项目一标段核医学中心项目(单光子诊疗区域和核素治疗区域)竣工环境保护验收监测报告表》及《验收意见》，核医学楼内：负三层衰变池、负一层单光子生产场所、一层SPECT 显像诊断场所、三层</w:t>
                  </w:r>
                  <w:r>
                    <w:rPr>
                      <w:rFonts w:hint="eastAsia" w:cs="Times New Roman"/>
                      <w:color w:val="auto"/>
                      <w:kern w:val="0"/>
                      <w:sz w:val="18"/>
                      <w:szCs w:val="16"/>
                      <w:highlight w:val="none"/>
                      <w:vertAlign w:val="baseline"/>
                      <w:lang w:val="en-US" w:eastAsia="zh-CN"/>
                    </w:rPr>
                    <w:t>I-131</w:t>
                  </w:r>
                  <w:r>
                    <w:rPr>
                      <w:rFonts w:hint="eastAsia" w:cs="Times New Roman"/>
                      <w:color w:val="auto"/>
                      <w:kern w:val="0"/>
                      <w:sz w:val="18"/>
                      <w:szCs w:val="16"/>
                      <w:highlight w:val="none"/>
                      <w:lang w:val="en-US" w:eastAsia="zh-CN"/>
                    </w:rPr>
                    <w:t>核素治疗场所，新增使用2台SPECT/CT 设备;使用</w:t>
                  </w:r>
                  <w:r>
                    <w:rPr>
                      <w:rFonts w:hint="eastAsia" w:cs="Times New Roman"/>
                      <w:color w:val="auto"/>
                      <w:kern w:val="0"/>
                      <w:sz w:val="18"/>
                      <w:szCs w:val="16"/>
                      <w:highlight w:val="none"/>
                      <w:vertAlign w:val="superscript"/>
                      <w:lang w:val="en-US" w:eastAsia="zh-CN"/>
                    </w:rPr>
                    <w:t>99</w:t>
                  </w:r>
                  <w:r>
                    <w:rPr>
                      <w:rFonts w:hint="eastAsia" w:cs="Times New Roman"/>
                      <w:color w:val="auto"/>
                      <w:kern w:val="0"/>
                      <w:sz w:val="18"/>
                      <w:szCs w:val="16"/>
                      <w:highlight w:val="none"/>
                      <w:lang w:val="en-US" w:eastAsia="zh-CN"/>
                    </w:rPr>
                    <w:t>Mo-</w:t>
                  </w:r>
                  <w:r>
                    <w:rPr>
                      <w:rFonts w:hint="eastAsia" w:cs="Times New Roman"/>
                      <w:color w:val="auto"/>
                      <w:kern w:val="0"/>
                      <w:sz w:val="18"/>
                      <w:szCs w:val="16"/>
                      <w:highlight w:val="none"/>
                      <w:vertAlign w:val="superscript"/>
                      <w:lang w:val="en-US" w:eastAsia="zh-CN"/>
                    </w:rPr>
                    <w:t>99m</w:t>
                  </w:r>
                  <w:r>
                    <w:rPr>
                      <w:rFonts w:hint="eastAsia" w:cs="Times New Roman"/>
                      <w:color w:val="auto"/>
                      <w:kern w:val="0"/>
                      <w:sz w:val="18"/>
                      <w:szCs w:val="16"/>
                      <w:highlight w:val="none"/>
                      <w:lang w:val="en-US" w:eastAsia="zh-CN"/>
                    </w:rPr>
                    <w:t>Tc发生器用于淋洗放射性药物</w:t>
                  </w:r>
                  <w:r>
                    <w:rPr>
                      <w:rFonts w:hint="eastAsia" w:cs="Times New Roman"/>
                      <w:color w:val="auto"/>
                      <w:kern w:val="0"/>
                      <w:sz w:val="18"/>
                      <w:szCs w:val="16"/>
                      <w:highlight w:val="none"/>
                      <w:vertAlign w:val="superscript"/>
                      <w:lang w:val="en-US" w:eastAsia="zh-CN"/>
                    </w:rPr>
                    <w:t>99m</w:t>
                  </w:r>
                  <w:r>
                    <w:rPr>
                      <w:rFonts w:hint="eastAsia" w:cs="Times New Roman"/>
                      <w:color w:val="auto"/>
                      <w:kern w:val="0"/>
                      <w:sz w:val="18"/>
                      <w:szCs w:val="16"/>
                      <w:highlight w:val="none"/>
                      <w:lang w:val="en-US" w:eastAsia="zh-CN"/>
                    </w:rPr>
                    <w:t>Tc、使用放射性药物</w:t>
                  </w:r>
                  <w:r>
                    <w:rPr>
                      <w:rFonts w:hint="eastAsia" w:cs="Times New Roman"/>
                      <w:color w:val="auto"/>
                      <w:kern w:val="0"/>
                      <w:sz w:val="18"/>
                      <w:szCs w:val="16"/>
                      <w:highlight w:val="none"/>
                      <w:vertAlign w:val="superscript"/>
                      <w:lang w:val="en-US" w:eastAsia="zh-CN"/>
                    </w:rPr>
                    <w:t>99m</w:t>
                  </w:r>
                  <w:r>
                    <w:rPr>
                      <w:rFonts w:hint="eastAsia" w:cs="Times New Roman"/>
                      <w:color w:val="auto"/>
                      <w:kern w:val="0"/>
                      <w:sz w:val="18"/>
                      <w:szCs w:val="16"/>
                      <w:highlight w:val="none"/>
                      <w:lang w:val="en-US" w:eastAsia="zh-CN"/>
                    </w:rPr>
                    <w:t>Tc、</w:t>
                  </w:r>
                  <w:r>
                    <w:rPr>
                      <w:rFonts w:hint="eastAsia" w:cs="Times New Roman"/>
                      <w:color w:val="auto"/>
                      <w:kern w:val="0"/>
                      <w:sz w:val="18"/>
                      <w:szCs w:val="16"/>
                      <w:highlight w:val="none"/>
                      <w:vertAlign w:val="baseline"/>
                      <w:lang w:val="en-US" w:eastAsia="zh-CN"/>
                    </w:rPr>
                    <w:t>I-131</w:t>
                  </w:r>
                  <w:r>
                    <w:rPr>
                      <w:rFonts w:hint="eastAsia" w:cs="Times New Roman"/>
                      <w:color w:val="auto"/>
                      <w:kern w:val="0"/>
                      <w:sz w:val="18"/>
                      <w:szCs w:val="16"/>
                      <w:highlight w:val="none"/>
                      <w:lang w:val="en-US" w:eastAsia="zh-CN"/>
                    </w:rPr>
                    <w:t>用于SPECT显像诊断;使用放射性药物</w:t>
                  </w:r>
                  <w:r>
                    <w:rPr>
                      <w:rFonts w:hint="eastAsia" w:cs="Times New Roman"/>
                      <w:color w:val="auto"/>
                      <w:kern w:val="0"/>
                      <w:sz w:val="18"/>
                      <w:szCs w:val="16"/>
                      <w:highlight w:val="none"/>
                      <w:vertAlign w:val="baseline"/>
                      <w:lang w:val="en-US" w:eastAsia="zh-CN"/>
                    </w:rPr>
                    <w:t>I-131</w:t>
                  </w:r>
                  <w:r>
                    <w:rPr>
                      <w:rFonts w:hint="eastAsia" w:cs="Times New Roman"/>
                      <w:color w:val="auto"/>
                      <w:kern w:val="0"/>
                      <w:sz w:val="18"/>
                      <w:szCs w:val="16"/>
                      <w:highlight w:val="none"/>
                      <w:lang w:val="en-US" w:eastAsia="zh-CN"/>
                    </w:rPr>
                    <w:t>用于甲癌治疗。以上内容已完成竣工环保验收。</w:t>
                  </w:r>
                </w:p>
              </w:tc>
            </w:tr>
          </w:tbl>
          <w:p w14:paraId="4B0AA0C5">
            <w:pPr>
              <w:pStyle w:val="32"/>
              <w:keepNext w:val="0"/>
              <w:keepLines w:val="0"/>
              <w:suppressLineNumbers w:val="0"/>
              <w:tabs>
                <w:tab w:val="left" w:pos="1190"/>
              </w:tabs>
              <w:spacing w:before="0" w:beforeAutospacing="0" w:after="0" w:afterAutospacing="0" w:line="360" w:lineRule="auto"/>
              <w:ind w:left="0" w:right="0" w:firstLine="482" w:firstLineChars="200"/>
              <w:jc w:val="center"/>
              <w:rPr>
                <w:rFonts w:hint="default" w:ascii="Times New Roman" w:hAnsi="Times New Roman" w:eastAsia="宋体" w:cs="Times New Roman"/>
                <w:b/>
                <w:color w:val="auto"/>
                <w:sz w:val="24"/>
                <w:szCs w:val="22"/>
                <w:highlight w:val="none"/>
              </w:rPr>
            </w:pPr>
            <w:r>
              <w:rPr>
                <w:rFonts w:hint="default" w:ascii="Times New Roman" w:hAnsi="Times New Roman" w:eastAsia="宋体" w:cs="Times New Roman"/>
                <w:b/>
                <w:color w:val="auto"/>
                <w:sz w:val="24"/>
                <w:szCs w:val="22"/>
                <w:highlight w:val="none"/>
              </w:rPr>
              <w:t>表1-</w:t>
            </w:r>
            <w:r>
              <w:rPr>
                <w:rFonts w:hint="eastAsia" w:cs="Times New Roman"/>
                <w:b/>
                <w:color w:val="auto"/>
                <w:sz w:val="24"/>
                <w:szCs w:val="22"/>
                <w:highlight w:val="none"/>
                <w:lang w:val="en-US" w:eastAsia="zh-CN"/>
              </w:rPr>
              <w:t>13</w:t>
            </w:r>
            <w:r>
              <w:rPr>
                <w:rFonts w:hint="default" w:ascii="Times New Roman" w:hAnsi="Times New Roman" w:eastAsia="宋体" w:cs="Times New Roman"/>
                <w:b/>
                <w:color w:val="auto"/>
                <w:sz w:val="24"/>
                <w:szCs w:val="22"/>
                <w:highlight w:val="none"/>
              </w:rPr>
              <w:t xml:space="preserve">  医院已许可使用的射线装置</w:t>
            </w:r>
          </w:p>
          <w:tbl>
            <w:tblPr>
              <w:tblStyle w:val="22"/>
              <w:tblW w:w="4886"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fixed"/>
              <w:tblCellMar>
                <w:top w:w="0" w:type="dxa"/>
                <w:left w:w="108" w:type="dxa"/>
                <w:bottom w:w="0" w:type="dxa"/>
                <w:right w:w="108" w:type="dxa"/>
              </w:tblCellMar>
            </w:tblPr>
            <w:tblGrid>
              <w:gridCol w:w="459"/>
              <w:gridCol w:w="2072"/>
              <w:gridCol w:w="713"/>
              <w:gridCol w:w="1748"/>
              <w:gridCol w:w="1384"/>
              <w:gridCol w:w="2060"/>
              <w:gridCol w:w="640"/>
            </w:tblGrid>
            <w:tr w14:paraId="5A86B1C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35" w:hRule="atLeast"/>
                <w:jc w:val="center"/>
              </w:trPr>
              <w:tc>
                <w:tcPr>
                  <w:tcW w:w="252" w:type="pct"/>
                  <w:tcBorders>
                    <w:tl2br w:val="nil"/>
                    <w:tr2bl w:val="nil"/>
                  </w:tcBorders>
                  <w:shd w:val="clear" w:color="auto" w:fill="auto"/>
                  <w:noWrap/>
                  <w:vAlign w:val="center"/>
                </w:tcPr>
                <w:p w14:paraId="1663AEA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序号</w:t>
                  </w:r>
                </w:p>
              </w:tc>
              <w:tc>
                <w:tcPr>
                  <w:tcW w:w="1141" w:type="pct"/>
                  <w:tcBorders>
                    <w:tl2br w:val="nil"/>
                    <w:tr2bl w:val="nil"/>
                  </w:tcBorders>
                  <w:shd w:val="clear" w:color="auto" w:fill="auto"/>
                  <w:noWrap/>
                  <w:vAlign w:val="center"/>
                </w:tcPr>
                <w:p w14:paraId="4523F5C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机房名称</w:t>
                  </w:r>
                </w:p>
              </w:tc>
              <w:tc>
                <w:tcPr>
                  <w:tcW w:w="392" w:type="pct"/>
                  <w:tcBorders>
                    <w:tl2br w:val="nil"/>
                    <w:tr2bl w:val="nil"/>
                  </w:tcBorders>
                  <w:shd w:val="clear" w:color="auto" w:fill="auto"/>
                  <w:noWrap/>
                  <w:vAlign w:val="center"/>
                </w:tcPr>
                <w:p w14:paraId="4F36167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装置类别</w:t>
                  </w:r>
                </w:p>
              </w:tc>
              <w:tc>
                <w:tcPr>
                  <w:tcW w:w="962" w:type="pct"/>
                  <w:tcBorders>
                    <w:tl2br w:val="nil"/>
                    <w:tr2bl w:val="nil"/>
                  </w:tcBorders>
                  <w:shd w:val="clear" w:color="auto" w:fill="auto"/>
                  <w:noWrap/>
                  <w:vAlign w:val="center"/>
                </w:tcPr>
                <w:p w14:paraId="3A9F3A2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设备名称</w:t>
                  </w:r>
                </w:p>
              </w:tc>
              <w:tc>
                <w:tcPr>
                  <w:tcW w:w="762" w:type="pct"/>
                  <w:tcBorders>
                    <w:tl2br w:val="nil"/>
                    <w:tr2bl w:val="nil"/>
                  </w:tcBorders>
                  <w:shd w:val="clear" w:color="auto" w:fill="auto"/>
                  <w:noWrap/>
                  <w:vAlign w:val="center"/>
                </w:tcPr>
                <w:p w14:paraId="604E08E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型号</w:t>
                  </w:r>
                </w:p>
              </w:tc>
              <w:tc>
                <w:tcPr>
                  <w:tcW w:w="1134" w:type="pct"/>
                  <w:tcBorders>
                    <w:tl2br w:val="nil"/>
                    <w:tr2bl w:val="nil"/>
                  </w:tcBorders>
                  <w:shd w:val="clear" w:color="auto" w:fill="auto"/>
                  <w:noWrap/>
                  <w:vAlign w:val="center"/>
                </w:tcPr>
                <w:p w14:paraId="16229E8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参数</w:t>
                  </w:r>
                </w:p>
              </w:tc>
              <w:tc>
                <w:tcPr>
                  <w:tcW w:w="352" w:type="pct"/>
                  <w:tcBorders>
                    <w:tl2br w:val="nil"/>
                    <w:tr2bl w:val="nil"/>
                  </w:tcBorders>
                  <w:shd w:val="clear" w:color="auto" w:fill="FFFFFF"/>
                  <w:noWrap/>
                  <w:vAlign w:val="center"/>
                </w:tcPr>
                <w:p w14:paraId="6F2B9C0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数量</w:t>
                  </w:r>
                </w:p>
              </w:tc>
            </w:tr>
            <w:tr w14:paraId="317EBC5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11E6034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c>
                <w:tcPr>
                  <w:tcW w:w="1141" w:type="pct"/>
                  <w:tcBorders>
                    <w:tl2br w:val="nil"/>
                    <w:tr2bl w:val="nil"/>
                  </w:tcBorders>
                  <w:shd w:val="clear" w:color="auto" w:fill="auto"/>
                  <w:noWrap/>
                  <w:vAlign w:val="center"/>
                </w:tcPr>
                <w:p w14:paraId="2AD4EF5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发热门诊一层CT室</w:t>
                  </w:r>
                </w:p>
              </w:tc>
              <w:tc>
                <w:tcPr>
                  <w:tcW w:w="392" w:type="pct"/>
                  <w:tcBorders>
                    <w:tl2br w:val="nil"/>
                    <w:tr2bl w:val="nil"/>
                  </w:tcBorders>
                  <w:shd w:val="clear" w:color="auto" w:fill="auto"/>
                  <w:noWrap/>
                  <w:vAlign w:val="center"/>
                </w:tcPr>
                <w:p w14:paraId="50F660D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1B4B9F2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全身X射线计算机断层扫描系统</w:t>
                  </w:r>
                </w:p>
              </w:tc>
              <w:tc>
                <w:tcPr>
                  <w:tcW w:w="762" w:type="pct"/>
                  <w:tcBorders>
                    <w:tl2br w:val="nil"/>
                    <w:tr2bl w:val="nil"/>
                  </w:tcBorders>
                  <w:shd w:val="clear" w:color="auto" w:fill="auto"/>
                  <w:noWrap/>
                  <w:vAlign w:val="center"/>
                </w:tcPr>
                <w:p w14:paraId="0912931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uCT520</w:t>
                  </w:r>
                </w:p>
              </w:tc>
              <w:tc>
                <w:tcPr>
                  <w:tcW w:w="1134" w:type="pct"/>
                  <w:tcBorders>
                    <w:tl2br w:val="nil"/>
                    <w:tr2bl w:val="nil"/>
                  </w:tcBorders>
                  <w:shd w:val="clear" w:color="auto" w:fill="auto"/>
                  <w:noWrap/>
                  <w:vAlign w:val="center"/>
                </w:tcPr>
                <w:p w14:paraId="3255E6D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管电压120kV管电流350mA</w:t>
                  </w:r>
                </w:p>
              </w:tc>
              <w:tc>
                <w:tcPr>
                  <w:tcW w:w="352" w:type="pct"/>
                  <w:tcBorders>
                    <w:tl2br w:val="nil"/>
                    <w:tr2bl w:val="nil"/>
                  </w:tcBorders>
                  <w:shd w:val="clear" w:color="auto" w:fill="FFFFFF"/>
                  <w:noWrap/>
                  <w:vAlign w:val="center"/>
                </w:tcPr>
                <w:p w14:paraId="58BF810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7FBBAC6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30" w:hRule="atLeast"/>
                <w:jc w:val="center"/>
              </w:trPr>
              <w:tc>
                <w:tcPr>
                  <w:tcW w:w="252" w:type="pct"/>
                  <w:tcBorders>
                    <w:tl2br w:val="nil"/>
                    <w:tr2bl w:val="nil"/>
                  </w:tcBorders>
                  <w:shd w:val="clear" w:color="auto" w:fill="auto"/>
                  <w:noWrap/>
                  <w:vAlign w:val="center"/>
                </w:tcPr>
                <w:p w14:paraId="3C6C3A3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2</w:t>
                  </w:r>
                </w:p>
              </w:tc>
              <w:tc>
                <w:tcPr>
                  <w:tcW w:w="1141" w:type="pct"/>
                  <w:tcBorders>
                    <w:tl2br w:val="nil"/>
                    <w:tr2bl w:val="nil"/>
                  </w:tcBorders>
                  <w:shd w:val="clear" w:color="auto" w:fill="auto"/>
                  <w:noWrap/>
                  <w:vAlign w:val="center"/>
                </w:tcPr>
                <w:p w14:paraId="4331780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放疗楼负二层PET/CT室</w:t>
                  </w:r>
                </w:p>
              </w:tc>
              <w:tc>
                <w:tcPr>
                  <w:tcW w:w="392" w:type="pct"/>
                  <w:tcBorders>
                    <w:tl2br w:val="nil"/>
                    <w:tr2bl w:val="nil"/>
                  </w:tcBorders>
                  <w:shd w:val="clear" w:color="auto" w:fill="auto"/>
                  <w:noWrap/>
                  <w:vAlign w:val="center"/>
                </w:tcPr>
                <w:p w14:paraId="1BCAF06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5F39EC5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PET/CT</w:t>
                  </w:r>
                </w:p>
              </w:tc>
              <w:tc>
                <w:tcPr>
                  <w:tcW w:w="762" w:type="pct"/>
                  <w:tcBorders>
                    <w:tl2br w:val="nil"/>
                    <w:tr2bl w:val="nil"/>
                  </w:tcBorders>
                  <w:shd w:val="clear" w:color="auto" w:fill="auto"/>
                  <w:noWrap/>
                  <w:vAlign w:val="center"/>
                </w:tcPr>
                <w:p w14:paraId="1077546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IngenuityTF</w:t>
                  </w:r>
                </w:p>
              </w:tc>
              <w:tc>
                <w:tcPr>
                  <w:tcW w:w="1134" w:type="pct"/>
                  <w:tcBorders>
                    <w:tl2br w:val="nil"/>
                    <w:tr2bl w:val="nil"/>
                  </w:tcBorders>
                  <w:shd w:val="clear" w:color="auto" w:fill="auto"/>
                  <w:noWrap/>
                  <w:vAlign w:val="center"/>
                </w:tcPr>
                <w:p w14:paraId="594BD35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管电压140kV管电流665mA</w:t>
                  </w:r>
                </w:p>
              </w:tc>
              <w:tc>
                <w:tcPr>
                  <w:tcW w:w="352" w:type="pct"/>
                  <w:tcBorders>
                    <w:tl2br w:val="nil"/>
                    <w:tr2bl w:val="nil"/>
                  </w:tcBorders>
                  <w:shd w:val="clear" w:color="auto" w:fill="FFFFFF"/>
                  <w:noWrap/>
                  <w:vAlign w:val="center"/>
                </w:tcPr>
                <w:p w14:paraId="7F73C0A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428AF29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62" w:hRule="atLeast"/>
                <w:jc w:val="center"/>
              </w:trPr>
              <w:tc>
                <w:tcPr>
                  <w:tcW w:w="252" w:type="pct"/>
                  <w:tcBorders>
                    <w:tl2br w:val="nil"/>
                    <w:tr2bl w:val="nil"/>
                  </w:tcBorders>
                  <w:shd w:val="clear" w:color="auto" w:fill="auto"/>
                  <w:noWrap/>
                  <w:vAlign w:val="center"/>
                </w:tcPr>
                <w:p w14:paraId="3996B3B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3</w:t>
                  </w:r>
                </w:p>
              </w:tc>
              <w:tc>
                <w:tcPr>
                  <w:tcW w:w="1141" w:type="pct"/>
                  <w:tcBorders>
                    <w:tl2br w:val="nil"/>
                    <w:tr2bl w:val="nil"/>
                  </w:tcBorders>
                  <w:shd w:val="clear" w:color="auto" w:fill="auto"/>
                  <w:noWrap/>
                  <w:vAlign w:val="center"/>
                </w:tcPr>
                <w:p w14:paraId="012BD8E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放疗楼负二层回旋加速器室</w:t>
                  </w:r>
                </w:p>
              </w:tc>
              <w:tc>
                <w:tcPr>
                  <w:tcW w:w="392" w:type="pct"/>
                  <w:tcBorders>
                    <w:tl2br w:val="nil"/>
                    <w:tr2bl w:val="nil"/>
                  </w:tcBorders>
                  <w:shd w:val="clear" w:color="auto" w:fill="auto"/>
                  <w:noWrap/>
                  <w:vAlign w:val="center"/>
                </w:tcPr>
                <w:p w14:paraId="3AAF7EB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7F16B41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回旋加速器</w:t>
                  </w:r>
                </w:p>
              </w:tc>
              <w:tc>
                <w:tcPr>
                  <w:tcW w:w="762" w:type="pct"/>
                  <w:tcBorders>
                    <w:tl2br w:val="nil"/>
                    <w:tr2bl w:val="nil"/>
                  </w:tcBorders>
                  <w:shd w:val="clear" w:color="auto" w:fill="auto"/>
                  <w:noWrap/>
                  <w:vAlign w:val="center"/>
                </w:tcPr>
                <w:p w14:paraId="24450AF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HM-10HC</w:t>
                  </w:r>
                </w:p>
              </w:tc>
              <w:tc>
                <w:tcPr>
                  <w:tcW w:w="1134" w:type="pct"/>
                  <w:tcBorders>
                    <w:tl2br w:val="nil"/>
                    <w:tr2bl w:val="nil"/>
                  </w:tcBorders>
                  <w:shd w:val="clear" w:color="auto" w:fill="auto"/>
                  <w:noWrap/>
                  <w:vAlign w:val="center"/>
                </w:tcPr>
                <w:p w14:paraId="697724D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粒子能量10MeV</w:t>
                  </w:r>
                </w:p>
              </w:tc>
              <w:tc>
                <w:tcPr>
                  <w:tcW w:w="352" w:type="pct"/>
                  <w:tcBorders>
                    <w:tl2br w:val="nil"/>
                    <w:tr2bl w:val="nil"/>
                  </w:tcBorders>
                  <w:shd w:val="clear" w:color="auto" w:fill="FFFFFF"/>
                  <w:noWrap/>
                  <w:vAlign w:val="center"/>
                </w:tcPr>
                <w:p w14:paraId="382EDEF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1C062D3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2FD1C53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4</w:t>
                  </w:r>
                </w:p>
              </w:tc>
              <w:tc>
                <w:tcPr>
                  <w:tcW w:w="1141" w:type="pct"/>
                  <w:tcBorders>
                    <w:tl2br w:val="nil"/>
                    <w:tr2bl w:val="nil"/>
                  </w:tcBorders>
                  <w:shd w:val="clear" w:color="auto" w:fill="auto"/>
                  <w:noWrap/>
                  <w:vAlign w:val="center"/>
                </w:tcPr>
                <w:p w14:paraId="3CA5D8F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放疗楼负二楼定位CT机房</w:t>
                  </w:r>
                </w:p>
              </w:tc>
              <w:tc>
                <w:tcPr>
                  <w:tcW w:w="392" w:type="pct"/>
                  <w:tcBorders>
                    <w:tl2br w:val="nil"/>
                    <w:tr2bl w:val="nil"/>
                  </w:tcBorders>
                  <w:shd w:val="clear" w:color="auto" w:fill="auto"/>
                  <w:noWrap/>
                  <w:vAlign w:val="center"/>
                </w:tcPr>
                <w:p w14:paraId="5A09461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2790562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X射线计算机体层摄影设备(模拟定位机CT）</w:t>
                  </w:r>
                </w:p>
              </w:tc>
              <w:tc>
                <w:tcPr>
                  <w:tcW w:w="762" w:type="pct"/>
                  <w:tcBorders>
                    <w:tl2br w:val="nil"/>
                    <w:tr2bl w:val="nil"/>
                  </w:tcBorders>
                  <w:shd w:val="clear" w:color="auto" w:fill="auto"/>
                  <w:noWrap/>
                  <w:vAlign w:val="center"/>
                </w:tcPr>
                <w:p w14:paraId="2F2070C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SOMATOMgo.Sim</w:t>
                  </w:r>
                </w:p>
              </w:tc>
              <w:tc>
                <w:tcPr>
                  <w:tcW w:w="1134" w:type="pct"/>
                  <w:tcBorders>
                    <w:tl2br w:val="nil"/>
                    <w:tr2bl w:val="nil"/>
                  </w:tcBorders>
                  <w:shd w:val="clear" w:color="auto" w:fill="auto"/>
                  <w:noWrap/>
                  <w:vAlign w:val="center"/>
                </w:tcPr>
                <w:p w14:paraId="380A136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管电压140kV管电流625mA</w:t>
                  </w:r>
                </w:p>
              </w:tc>
              <w:tc>
                <w:tcPr>
                  <w:tcW w:w="352" w:type="pct"/>
                  <w:tcBorders>
                    <w:tl2br w:val="nil"/>
                    <w:tr2bl w:val="nil"/>
                  </w:tcBorders>
                  <w:shd w:val="clear" w:color="auto" w:fill="FFFFFF"/>
                  <w:noWrap/>
                  <w:vAlign w:val="center"/>
                </w:tcPr>
                <w:p w14:paraId="0A755B8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7008D41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2" w:hRule="atLeast"/>
                <w:jc w:val="center"/>
              </w:trPr>
              <w:tc>
                <w:tcPr>
                  <w:tcW w:w="252" w:type="pct"/>
                  <w:tcBorders>
                    <w:tl2br w:val="nil"/>
                    <w:tr2bl w:val="nil"/>
                  </w:tcBorders>
                  <w:shd w:val="clear" w:color="auto" w:fill="auto"/>
                  <w:noWrap/>
                  <w:vAlign w:val="center"/>
                </w:tcPr>
                <w:p w14:paraId="0DF0F77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5</w:t>
                  </w:r>
                </w:p>
              </w:tc>
              <w:tc>
                <w:tcPr>
                  <w:tcW w:w="1141" w:type="pct"/>
                  <w:tcBorders>
                    <w:tl2br w:val="nil"/>
                    <w:tr2bl w:val="nil"/>
                  </w:tcBorders>
                  <w:shd w:val="clear" w:color="auto" w:fill="auto"/>
                  <w:noWrap/>
                  <w:vAlign w:val="center"/>
                </w:tcPr>
                <w:p w14:paraId="2C13F6C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放疗楼负二楼加速器1室</w:t>
                  </w:r>
                </w:p>
              </w:tc>
              <w:tc>
                <w:tcPr>
                  <w:tcW w:w="392" w:type="pct"/>
                  <w:tcBorders>
                    <w:tl2br w:val="nil"/>
                    <w:tr2bl w:val="nil"/>
                  </w:tcBorders>
                  <w:shd w:val="clear" w:color="auto" w:fill="auto"/>
                  <w:noWrap/>
                  <w:vAlign w:val="center"/>
                </w:tcPr>
                <w:p w14:paraId="3CB9417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44E4843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医用直线加速器</w:t>
                  </w:r>
                </w:p>
              </w:tc>
              <w:tc>
                <w:tcPr>
                  <w:tcW w:w="762" w:type="pct"/>
                  <w:tcBorders>
                    <w:tl2br w:val="nil"/>
                    <w:tr2bl w:val="nil"/>
                  </w:tcBorders>
                  <w:shd w:val="clear" w:color="auto" w:fill="auto"/>
                  <w:noWrap/>
                  <w:vAlign w:val="center"/>
                </w:tcPr>
                <w:p w14:paraId="4327FDD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ClinaciX</w:t>
                  </w:r>
                </w:p>
              </w:tc>
              <w:tc>
                <w:tcPr>
                  <w:tcW w:w="1134" w:type="pct"/>
                  <w:tcBorders>
                    <w:tl2br w:val="nil"/>
                    <w:tr2bl w:val="nil"/>
                  </w:tcBorders>
                  <w:shd w:val="clear" w:color="auto" w:fill="auto"/>
                  <w:noWrap/>
                  <w:vAlign w:val="center"/>
                </w:tcPr>
                <w:p w14:paraId="2AAA4A3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粒子能量10MeV</w:t>
                  </w:r>
                </w:p>
              </w:tc>
              <w:tc>
                <w:tcPr>
                  <w:tcW w:w="352" w:type="pct"/>
                  <w:tcBorders>
                    <w:tl2br w:val="nil"/>
                    <w:tr2bl w:val="nil"/>
                  </w:tcBorders>
                  <w:shd w:val="clear" w:color="auto" w:fill="FFFFFF"/>
                  <w:noWrap/>
                  <w:vAlign w:val="center"/>
                </w:tcPr>
                <w:p w14:paraId="6C61FB0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55A5A2B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2" w:hRule="atLeast"/>
                <w:jc w:val="center"/>
              </w:trPr>
              <w:tc>
                <w:tcPr>
                  <w:tcW w:w="252" w:type="pct"/>
                  <w:tcBorders>
                    <w:tl2br w:val="nil"/>
                    <w:tr2bl w:val="nil"/>
                  </w:tcBorders>
                  <w:shd w:val="clear" w:color="auto" w:fill="auto"/>
                  <w:noWrap/>
                  <w:vAlign w:val="center"/>
                </w:tcPr>
                <w:p w14:paraId="35BDB39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6</w:t>
                  </w:r>
                </w:p>
              </w:tc>
              <w:tc>
                <w:tcPr>
                  <w:tcW w:w="1141" w:type="pct"/>
                  <w:tcBorders>
                    <w:tl2br w:val="nil"/>
                    <w:tr2bl w:val="nil"/>
                  </w:tcBorders>
                  <w:shd w:val="clear" w:color="auto" w:fill="auto"/>
                  <w:noWrap/>
                  <w:vAlign w:val="center"/>
                </w:tcPr>
                <w:p w14:paraId="7D9F833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放疗楼负二楼加速器2室</w:t>
                  </w:r>
                </w:p>
              </w:tc>
              <w:tc>
                <w:tcPr>
                  <w:tcW w:w="392" w:type="pct"/>
                  <w:tcBorders>
                    <w:tl2br w:val="nil"/>
                    <w:tr2bl w:val="nil"/>
                  </w:tcBorders>
                  <w:shd w:val="clear" w:color="auto" w:fill="auto"/>
                  <w:noWrap/>
                  <w:vAlign w:val="center"/>
                </w:tcPr>
                <w:p w14:paraId="419A0D4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613CFFF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医用直线加速器</w:t>
                  </w:r>
                </w:p>
              </w:tc>
              <w:tc>
                <w:tcPr>
                  <w:tcW w:w="762" w:type="pct"/>
                  <w:tcBorders>
                    <w:tl2br w:val="nil"/>
                    <w:tr2bl w:val="nil"/>
                  </w:tcBorders>
                  <w:shd w:val="clear" w:color="auto" w:fill="auto"/>
                  <w:noWrap/>
                  <w:vAlign w:val="center"/>
                </w:tcPr>
                <w:p w14:paraId="5C50A1A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Clinac23EX</w:t>
                  </w:r>
                </w:p>
              </w:tc>
              <w:tc>
                <w:tcPr>
                  <w:tcW w:w="1134" w:type="pct"/>
                  <w:tcBorders>
                    <w:tl2br w:val="nil"/>
                    <w:tr2bl w:val="nil"/>
                  </w:tcBorders>
                  <w:shd w:val="clear" w:color="auto" w:fill="auto"/>
                  <w:noWrap/>
                  <w:vAlign w:val="center"/>
                </w:tcPr>
                <w:p w14:paraId="5EB1268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粒子能量15MeV</w:t>
                  </w:r>
                </w:p>
              </w:tc>
              <w:tc>
                <w:tcPr>
                  <w:tcW w:w="352" w:type="pct"/>
                  <w:tcBorders>
                    <w:tl2br w:val="nil"/>
                    <w:tr2bl w:val="nil"/>
                  </w:tcBorders>
                  <w:shd w:val="clear" w:color="auto" w:fill="FFFFFF"/>
                  <w:noWrap/>
                  <w:vAlign w:val="center"/>
                </w:tcPr>
                <w:p w14:paraId="7F0A7CA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74E07EA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62" w:hRule="atLeast"/>
                <w:jc w:val="center"/>
              </w:trPr>
              <w:tc>
                <w:tcPr>
                  <w:tcW w:w="252" w:type="pct"/>
                  <w:tcBorders>
                    <w:tl2br w:val="nil"/>
                    <w:tr2bl w:val="nil"/>
                  </w:tcBorders>
                  <w:shd w:val="clear" w:color="auto" w:fill="auto"/>
                  <w:noWrap/>
                  <w:vAlign w:val="center"/>
                </w:tcPr>
                <w:p w14:paraId="28C6A16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7</w:t>
                  </w:r>
                </w:p>
              </w:tc>
              <w:tc>
                <w:tcPr>
                  <w:tcW w:w="1141" w:type="pct"/>
                  <w:tcBorders>
                    <w:tl2br w:val="nil"/>
                    <w:tr2bl w:val="nil"/>
                  </w:tcBorders>
                  <w:shd w:val="clear" w:color="auto" w:fill="auto"/>
                  <w:noWrap/>
                  <w:vAlign w:val="center"/>
                </w:tcPr>
                <w:p w14:paraId="31F8798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放疗楼负二楼加速器3室</w:t>
                  </w:r>
                </w:p>
              </w:tc>
              <w:tc>
                <w:tcPr>
                  <w:tcW w:w="392" w:type="pct"/>
                  <w:tcBorders>
                    <w:tl2br w:val="nil"/>
                    <w:tr2bl w:val="nil"/>
                  </w:tcBorders>
                  <w:shd w:val="clear" w:color="auto" w:fill="auto"/>
                  <w:noWrap/>
                  <w:vAlign w:val="center"/>
                </w:tcPr>
                <w:p w14:paraId="57A1FE0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608943C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医用直线加速器</w:t>
                  </w:r>
                </w:p>
              </w:tc>
              <w:tc>
                <w:tcPr>
                  <w:tcW w:w="762" w:type="pct"/>
                  <w:tcBorders>
                    <w:tl2br w:val="nil"/>
                    <w:tr2bl w:val="nil"/>
                  </w:tcBorders>
                  <w:shd w:val="clear" w:color="auto" w:fill="auto"/>
                  <w:noWrap/>
                  <w:vAlign w:val="center"/>
                </w:tcPr>
                <w:p w14:paraId="0AA97D6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TrueBeam</w:t>
                  </w:r>
                </w:p>
              </w:tc>
              <w:tc>
                <w:tcPr>
                  <w:tcW w:w="1134" w:type="pct"/>
                  <w:tcBorders>
                    <w:tl2br w:val="nil"/>
                    <w:tr2bl w:val="nil"/>
                  </w:tcBorders>
                  <w:shd w:val="clear" w:color="auto" w:fill="auto"/>
                  <w:noWrap/>
                  <w:vAlign w:val="center"/>
                </w:tcPr>
                <w:p w14:paraId="194EEC3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粒子能量10MeV</w:t>
                  </w:r>
                </w:p>
              </w:tc>
              <w:tc>
                <w:tcPr>
                  <w:tcW w:w="352" w:type="pct"/>
                  <w:tcBorders>
                    <w:tl2br w:val="nil"/>
                    <w:tr2bl w:val="nil"/>
                  </w:tcBorders>
                  <w:shd w:val="clear" w:color="auto" w:fill="FFFFFF"/>
                  <w:noWrap/>
                  <w:vAlign w:val="center"/>
                </w:tcPr>
                <w:p w14:paraId="235AF32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302CF96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62" w:hRule="atLeast"/>
                <w:jc w:val="center"/>
              </w:trPr>
              <w:tc>
                <w:tcPr>
                  <w:tcW w:w="252" w:type="pct"/>
                  <w:tcBorders>
                    <w:tl2br w:val="nil"/>
                    <w:tr2bl w:val="nil"/>
                  </w:tcBorders>
                  <w:shd w:val="clear" w:color="auto" w:fill="auto"/>
                  <w:noWrap/>
                  <w:vAlign w:val="center"/>
                </w:tcPr>
                <w:p w14:paraId="228FABE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8</w:t>
                  </w:r>
                </w:p>
              </w:tc>
              <w:tc>
                <w:tcPr>
                  <w:tcW w:w="1141" w:type="pct"/>
                  <w:tcBorders>
                    <w:tl2br w:val="nil"/>
                    <w:tr2bl w:val="nil"/>
                  </w:tcBorders>
                  <w:shd w:val="clear" w:color="auto" w:fill="auto"/>
                  <w:noWrap/>
                  <w:vAlign w:val="center"/>
                </w:tcPr>
                <w:p w14:paraId="5902D90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放疗楼负二楼加速器4室</w:t>
                  </w:r>
                </w:p>
              </w:tc>
              <w:tc>
                <w:tcPr>
                  <w:tcW w:w="392" w:type="pct"/>
                  <w:tcBorders>
                    <w:tl2br w:val="nil"/>
                    <w:tr2bl w:val="nil"/>
                  </w:tcBorders>
                  <w:shd w:val="clear" w:color="auto" w:fill="auto"/>
                  <w:noWrap/>
                  <w:vAlign w:val="center"/>
                </w:tcPr>
                <w:p w14:paraId="685018B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2E9CF20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医用直线加速器</w:t>
                  </w:r>
                </w:p>
              </w:tc>
              <w:tc>
                <w:tcPr>
                  <w:tcW w:w="762" w:type="pct"/>
                  <w:tcBorders>
                    <w:tl2br w:val="nil"/>
                    <w:tr2bl w:val="nil"/>
                  </w:tcBorders>
                  <w:shd w:val="clear" w:color="auto" w:fill="auto"/>
                  <w:noWrap/>
                  <w:vAlign w:val="center"/>
                </w:tcPr>
                <w:p w14:paraId="401E10A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ClinaciX</w:t>
                  </w:r>
                </w:p>
              </w:tc>
              <w:tc>
                <w:tcPr>
                  <w:tcW w:w="1134" w:type="pct"/>
                  <w:tcBorders>
                    <w:tl2br w:val="nil"/>
                    <w:tr2bl w:val="nil"/>
                  </w:tcBorders>
                  <w:shd w:val="clear" w:color="auto" w:fill="auto"/>
                  <w:noWrap/>
                  <w:vAlign w:val="center"/>
                </w:tcPr>
                <w:p w14:paraId="08FCFFB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粒子能量10MeV</w:t>
                  </w:r>
                </w:p>
              </w:tc>
              <w:tc>
                <w:tcPr>
                  <w:tcW w:w="352" w:type="pct"/>
                  <w:tcBorders>
                    <w:tl2br w:val="nil"/>
                    <w:tr2bl w:val="nil"/>
                  </w:tcBorders>
                  <w:shd w:val="clear" w:color="auto" w:fill="FFFFFF"/>
                  <w:noWrap/>
                  <w:vAlign w:val="center"/>
                </w:tcPr>
                <w:p w14:paraId="73B576B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149D259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62" w:hRule="atLeast"/>
                <w:jc w:val="center"/>
              </w:trPr>
              <w:tc>
                <w:tcPr>
                  <w:tcW w:w="252" w:type="pct"/>
                  <w:tcBorders>
                    <w:tl2br w:val="nil"/>
                    <w:tr2bl w:val="nil"/>
                  </w:tcBorders>
                  <w:shd w:val="clear" w:color="auto" w:fill="auto"/>
                  <w:noWrap/>
                  <w:vAlign w:val="center"/>
                </w:tcPr>
                <w:p w14:paraId="5985F43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9</w:t>
                  </w:r>
                </w:p>
              </w:tc>
              <w:tc>
                <w:tcPr>
                  <w:tcW w:w="1141" w:type="pct"/>
                  <w:tcBorders>
                    <w:tl2br w:val="nil"/>
                    <w:tr2bl w:val="nil"/>
                  </w:tcBorders>
                  <w:shd w:val="clear" w:color="auto" w:fill="auto"/>
                  <w:noWrap/>
                  <w:vAlign w:val="center"/>
                </w:tcPr>
                <w:p w14:paraId="39ADCDA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放疗楼负二楼加速器5室</w:t>
                  </w:r>
                </w:p>
              </w:tc>
              <w:tc>
                <w:tcPr>
                  <w:tcW w:w="392" w:type="pct"/>
                  <w:tcBorders>
                    <w:tl2br w:val="nil"/>
                    <w:tr2bl w:val="nil"/>
                  </w:tcBorders>
                  <w:shd w:val="clear" w:color="auto" w:fill="auto"/>
                  <w:noWrap/>
                  <w:vAlign w:val="center"/>
                </w:tcPr>
                <w:p w14:paraId="56F203E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09F41A8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医用直线加速器</w:t>
                  </w:r>
                </w:p>
              </w:tc>
              <w:tc>
                <w:tcPr>
                  <w:tcW w:w="762" w:type="pct"/>
                  <w:tcBorders>
                    <w:tl2br w:val="nil"/>
                    <w:tr2bl w:val="nil"/>
                  </w:tcBorders>
                  <w:shd w:val="clear" w:color="auto" w:fill="auto"/>
                  <w:noWrap/>
                  <w:vAlign w:val="center"/>
                </w:tcPr>
                <w:p w14:paraId="1265022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Ven</w:t>
                  </w:r>
                  <w:r>
                    <w:rPr>
                      <w:rFonts w:hint="eastAsia" w:cs="Times New Roman"/>
                      <w:color w:val="auto"/>
                      <w:sz w:val="15"/>
                      <w:szCs w:val="13"/>
                      <w:highlight w:val="none"/>
                      <w:lang w:val="en-US" w:eastAsia="zh-CN"/>
                    </w:rPr>
                    <w:t>μS</w:t>
                  </w:r>
                  <w:r>
                    <w:rPr>
                      <w:rFonts w:hint="default" w:ascii="Times New Roman" w:hAnsi="Times New Roman" w:cs="Times New Roman"/>
                      <w:color w:val="auto"/>
                      <w:sz w:val="15"/>
                      <w:szCs w:val="13"/>
                      <w:highlight w:val="none"/>
                      <w:lang w:val="en-US" w:eastAsia="zh-CN"/>
                    </w:rPr>
                    <w:t>x</w:t>
                  </w:r>
                </w:p>
              </w:tc>
              <w:tc>
                <w:tcPr>
                  <w:tcW w:w="1134" w:type="pct"/>
                  <w:tcBorders>
                    <w:tl2br w:val="nil"/>
                    <w:tr2bl w:val="nil"/>
                  </w:tcBorders>
                  <w:shd w:val="clear" w:color="auto" w:fill="auto"/>
                  <w:noWrap/>
                  <w:vAlign w:val="center"/>
                </w:tcPr>
                <w:p w14:paraId="5FAAEB7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rPr>
                  </w:pPr>
                  <w:r>
                    <w:rPr>
                      <w:rFonts w:hint="default" w:ascii="Times New Roman" w:hAnsi="Times New Roman" w:cs="Times New Roman"/>
                      <w:color w:val="auto"/>
                      <w:sz w:val="15"/>
                      <w:szCs w:val="13"/>
                      <w:highlight w:val="none"/>
                      <w:lang w:val="en-US" w:eastAsia="zh-CN"/>
                    </w:rPr>
                    <w:t>粒子能量6MeV</w:t>
                  </w:r>
                </w:p>
              </w:tc>
              <w:tc>
                <w:tcPr>
                  <w:tcW w:w="352" w:type="pct"/>
                  <w:tcBorders>
                    <w:tl2br w:val="nil"/>
                    <w:tr2bl w:val="nil"/>
                  </w:tcBorders>
                  <w:shd w:val="clear" w:color="auto" w:fill="FFFFFF"/>
                  <w:noWrap/>
                  <w:vAlign w:val="center"/>
                </w:tcPr>
                <w:p w14:paraId="46322A3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657D93E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162" w:hRule="atLeast"/>
                <w:jc w:val="center"/>
              </w:trPr>
              <w:tc>
                <w:tcPr>
                  <w:tcW w:w="252" w:type="pct"/>
                  <w:tcBorders>
                    <w:tl2br w:val="nil"/>
                    <w:tr2bl w:val="nil"/>
                  </w:tcBorders>
                  <w:shd w:val="clear" w:color="auto" w:fill="auto"/>
                  <w:noWrap/>
                  <w:vAlign w:val="center"/>
                </w:tcPr>
                <w:p w14:paraId="2AEC063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10</w:t>
                  </w:r>
                </w:p>
              </w:tc>
              <w:tc>
                <w:tcPr>
                  <w:tcW w:w="1141" w:type="pct"/>
                  <w:tcBorders>
                    <w:tl2br w:val="nil"/>
                    <w:tr2bl w:val="nil"/>
                  </w:tcBorders>
                  <w:shd w:val="clear" w:color="auto" w:fill="auto"/>
                  <w:noWrap/>
                  <w:vAlign w:val="center"/>
                </w:tcPr>
                <w:p w14:paraId="3AC1C29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放疗楼负二楼加速器6室</w:t>
                  </w:r>
                </w:p>
              </w:tc>
              <w:tc>
                <w:tcPr>
                  <w:tcW w:w="392" w:type="pct"/>
                  <w:tcBorders>
                    <w:tl2br w:val="nil"/>
                    <w:tr2bl w:val="nil"/>
                  </w:tcBorders>
                  <w:shd w:val="clear" w:color="auto" w:fill="auto"/>
                  <w:noWrap/>
                  <w:vAlign w:val="center"/>
                </w:tcPr>
                <w:p w14:paraId="03E1FA6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33AA363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螺旋断层放射治疗系统</w:t>
                  </w:r>
                </w:p>
              </w:tc>
              <w:tc>
                <w:tcPr>
                  <w:tcW w:w="762" w:type="pct"/>
                  <w:tcBorders>
                    <w:tl2br w:val="nil"/>
                    <w:tr2bl w:val="nil"/>
                  </w:tcBorders>
                  <w:shd w:val="clear" w:color="auto" w:fill="auto"/>
                  <w:noWrap/>
                  <w:vAlign w:val="center"/>
                </w:tcPr>
                <w:p w14:paraId="4E0BE4D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RadixactX5</w:t>
                  </w:r>
                </w:p>
              </w:tc>
              <w:tc>
                <w:tcPr>
                  <w:tcW w:w="1134" w:type="pct"/>
                  <w:tcBorders>
                    <w:tl2br w:val="nil"/>
                    <w:tr2bl w:val="nil"/>
                  </w:tcBorders>
                  <w:shd w:val="clear" w:color="auto" w:fill="auto"/>
                  <w:noWrap/>
                  <w:vAlign w:val="center"/>
                </w:tcPr>
                <w:p w14:paraId="5F292CC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粒子能量6MeV</w:t>
                  </w:r>
                </w:p>
              </w:tc>
              <w:tc>
                <w:tcPr>
                  <w:tcW w:w="352" w:type="pct"/>
                  <w:tcBorders>
                    <w:tl2br w:val="nil"/>
                    <w:tr2bl w:val="nil"/>
                  </w:tcBorders>
                  <w:shd w:val="clear" w:color="auto" w:fill="FFFFFF"/>
                  <w:noWrap/>
                  <w:vAlign w:val="center"/>
                </w:tcPr>
                <w:p w14:paraId="35E692B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101B484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2" w:hRule="atLeast"/>
                <w:jc w:val="center"/>
              </w:trPr>
              <w:tc>
                <w:tcPr>
                  <w:tcW w:w="252" w:type="pct"/>
                  <w:tcBorders>
                    <w:tl2br w:val="nil"/>
                    <w:tr2bl w:val="nil"/>
                  </w:tcBorders>
                  <w:shd w:val="clear" w:color="auto" w:fill="auto"/>
                  <w:noWrap/>
                  <w:vAlign w:val="center"/>
                </w:tcPr>
                <w:p w14:paraId="4D51109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11</w:t>
                  </w:r>
                </w:p>
              </w:tc>
              <w:tc>
                <w:tcPr>
                  <w:tcW w:w="1141" w:type="pct"/>
                  <w:tcBorders>
                    <w:tl2br w:val="nil"/>
                    <w:tr2bl w:val="nil"/>
                  </w:tcBorders>
                  <w:shd w:val="clear" w:color="auto" w:fill="auto"/>
                  <w:noWrap/>
                  <w:vAlign w:val="center"/>
                </w:tcPr>
                <w:p w14:paraId="221C333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放疗楼负二楼加速器7室</w:t>
                  </w:r>
                </w:p>
              </w:tc>
              <w:tc>
                <w:tcPr>
                  <w:tcW w:w="392" w:type="pct"/>
                  <w:tcBorders>
                    <w:tl2br w:val="nil"/>
                    <w:tr2bl w:val="nil"/>
                  </w:tcBorders>
                  <w:shd w:val="clear" w:color="auto" w:fill="auto"/>
                  <w:noWrap/>
                  <w:vAlign w:val="center"/>
                </w:tcPr>
                <w:p w14:paraId="012D837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11619A0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医用直线加速器</w:t>
                  </w:r>
                </w:p>
              </w:tc>
              <w:tc>
                <w:tcPr>
                  <w:tcW w:w="762" w:type="pct"/>
                  <w:tcBorders>
                    <w:tl2br w:val="nil"/>
                    <w:tr2bl w:val="nil"/>
                  </w:tcBorders>
                  <w:shd w:val="clear" w:color="auto" w:fill="auto"/>
                  <w:noWrap/>
                  <w:vAlign w:val="center"/>
                </w:tcPr>
                <w:p w14:paraId="250F559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ElektaSynergy</w:t>
                  </w:r>
                </w:p>
              </w:tc>
              <w:tc>
                <w:tcPr>
                  <w:tcW w:w="1134" w:type="pct"/>
                  <w:tcBorders>
                    <w:tl2br w:val="nil"/>
                    <w:tr2bl w:val="nil"/>
                  </w:tcBorders>
                  <w:shd w:val="clear" w:color="auto" w:fill="auto"/>
                  <w:noWrap/>
                  <w:vAlign w:val="center"/>
                </w:tcPr>
                <w:p w14:paraId="2782F46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粒子能量10MeV</w:t>
                  </w:r>
                </w:p>
              </w:tc>
              <w:tc>
                <w:tcPr>
                  <w:tcW w:w="352" w:type="pct"/>
                  <w:tcBorders>
                    <w:tl2br w:val="nil"/>
                    <w:tr2bl w:val="nil"/>
                  </w:tcBorders>
                  <w:shd w:val="clear" w:color="auto" w:fill="FFFFFF"/>
                  <w:noWrap/>
                  <w:vAlign w:val="center"/>
                </w:tcPr>
                <w:p w14:paraId="44D1120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78D5CD6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43A8F97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12</w:t>
                  </w:r>
                </w:p>
              </w:tc>
              <w:tc>
                <w:tcPr>
                  <w:tcW w:w="1141" w:type="pct"/>
                  <w:tcBorders>
                    <w:tl2br w:val="nil"/>
                    <w:tr2bl w:val="nil"/>
                  </w:tcBorders>
                  <w:shd w:val="clear" w:color="auto" w:fill="auto"/>
                  <w:noWrap/>
                  <w:vAlign w:val="center"/>
                </w:tcPr>
                <w:p w14:paraId="391526D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放疗楼负二楼模拟定位机房</w:t>
                  </w:r>
                </w:p>
              </w:tc>
              <w:tc>
                <w:tcPr>
                  <w:tcW w:w="392" w:type="pct"/>
                  <w:tcBorders>
                    <w:tl2br w:val="nil"/>
                    <w:tr2bl w:val="nil"/>
                  </w:tcBorders>
                  <w:shd w:val="clear" w:color="auto" w:fill="auto"/>
                  <w:noWrap/>
                  <w:vAlign w:val="center"/>
                </w:tcPr>
                <w:p w14:paraId="4D85D6C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1073B01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放射治疗全数字化模拟定位机</w:t>
                  </w:r>
                </w:p>
              </w:tc>
              <w:tc>
                <w:tcPr>
                  <w:tcW w:w="762" w:type="pct"/>
                  <w:tcBorders>
                    <w:tl2br w:val="nil"/>
                    <w:tr2bl w:val="nil"/>
                  </w:tcBorders>
                  <w:shd w:val="clear" w:color="auto" w:fill="auto"/>
                  <w:noWrap/>
                  <w:vAlign w:val="center"/>
                </w:tcPr>
                <w:p w14:paraId="30FEC7D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Acuity</w:t>
                  </w:r>
                </w:p>
              </w:tc>
              <w:tc>
                <w:tcPr>
                  <w:tcW w:w="1134" w:type="pct"/>
                  <w:tcBorders>
                    <w:tl2br w:val="nil"/>
                    <w:tr2bl w:val="nil"/>
                  </w:tcBorders>
                  <w:shd w:val="clear" w:color="auto" w:fill="auto"/>
                  <w:noWrap/>
                  <w:vAlign w:val="center"/>
                </w:tcPr>
                <w:p w14:paraId="34DB23D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管电压150kV管电流50mA</w:t>
                  </w:r>
                </w:p>
              </w:tc>
              <w:tc>
                <w:tcPr>
                  <w:tcW w:w="352" w:type="pct"/>
                  <w:tcBorders>
                    <w:tl2br w:val="nil"/>
                    <w:tr2bl w:val="nil"/>
                  </w:tcBorders>
                  <w:shd w:val="clear" w:color="auto" w:fill="FFFFFF"/>
                  <w:noWrap/>
                  <w:vAlign w:val="center"/>
                </w:tcPr>
                <w:p w14:paraId="52A2B56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5E8A195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118D708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13</w:t>
                  </w:r>
                </w:p>
              </w:tc>
              <w:tc>
                <w:tcPr>
                  <w:tcW w:w="1141" w:type="pct"/>
                  <w:tcBorders>
                    <w:tl2br w:val="nil"/>
                    <w:tr2bl w:val="nil"/>
                  </w:tcBorders>
                  <w:shd w:val="clear" w:color="auto" w:fill="auto"/>
                  <w:noWrap/>
                  <w:vAlign w:val="center"/>
                </w:tcPr>
                <w:p w14:paraId="61EA2A6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放疗楼一层1号机房</w:t>
                  </w:r>
                </w:p>
              </w:tc>
              <w:tc>
                <w:tcPr>
                  <w:tcW w:w="392" w:type="pct"/>
                  <w:tcBorders>
                    <w:tl2br w:val="nil"/>
                    <w:tr2bl w:val="nil"/>
                  </w:tcBorders>
                  <w:shd w:val="clear" w:color="auto" w:fill="auto"/>
                  <w:noWrap/>
                  <w:vAlign w:val="center"/>
                </w:tcPr>
                <w:p w14:paraId="0D483F0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5F38547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X射线计算机体层摄影设备（CT）</w:t>
                  </w:r>
                </w:p>
              </w:tc>
              <w:tc>
                <w:tcPr>
                  <w:tcW w:w="762" w:type="pct"/>
                  <w:tcBorders>
                    <w:tl2br w:val="nil"/>
                    <w:tr2bl w:val="nil"/>
                  </w:tcBorders>
                  <w:shd w:val="clear" w:color="auto" w:fill="auto"/>
                  <w:noWrap/>
                  <w:vAlign w:val="center"/>
                </w:tcPr>
                <w:p w14:paraId="139B5E9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SOMATOMForceVelo</w:t>
                  </w:r>
                </w:p>
              </w:tc>
              <w:tc>
                <w:tcPr>
                  <w:tcW w:w="1134" w:type="pct"/>
                  <w:tcBorders>
                    <w:tl2br w:val="nil"/>
                    <w:tr2bl w:val="nil"/>
                  </w:tcBorders>
                  <w:shd w:val="clear" w:color="auto" w:fill="auto"/>
                  <w:noWrap/>
                  <w:vAlign w:val="center"/>
                </w:tcPr>
                <w:p w14:paraId="69A5C5F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管电压150kV管电流1300mA</w:t>
                  </w:r>
                </w:p>
              </w:tc>
              <w:tc>
                <w:tcPr>
                  <w:tcW w:w="352" w:type="pct"/>
                  <w:tcBorders>
                    <w:tl2br w:val="nil"/>
                    <w:tr2bl w:val="nil"/>
                  </w:tcBorders>
                  <w:shd w:val="clear" w:color="auto" w:fill="FFFFFF"/>
                  <w:noWrap/>
                  <w:vAlign w:val="center"/>
                </w:tcPr>
                <w:p w14:paraId="27B1A91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1E3F239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0E70A1F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14</w:t>
                  </w:r>
                </w:p>
              </w:tc>
              <w:tc>
                <w:tcPr>
                  <w:tcW w:w="1141" w:type="pct"/>
                  <w:tcBorders>
                    <w:tl2br w:val="nil"/>
                    <w:tr2bl w:val="nil"/>
                  </w:tcBorders>
                  <w:shd w:val="clear" w:color="auto" w:fill="auto"/>
                  <w:noWrap/>
                  <w:vAlign w:val="center"/>
                </w:tcPr>
                <w:p w14:paraId="23B5DA5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放疗楼一层2号机房</w:t>
                  </w:r>
                </w:p>
              </w:tc>
              <w:tc>
                <w:tcPr>
                  <w:tcW w:w="392" w:type="pct"/>
                  <w:tcBorders>
                    <w:tl2br w:val="nil"/>
                    <w:tr2bl w:val="nil"/>
                  </w:tcBorders>
                  <w:shd w:val="clear" w:color="auto" w:fill="auto"/>
                  <w:noWrap/>
                  <w:vAlign w:val="center"/>
                </w:tcPr>
                <w:p w14:paraId="601B0FE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3A4A5B7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全身X射线计算机断层扫描系统</w:t>
                  </w:r>
                </w:p>
              </w:tc>
              <w:tc>
                <w:tcPr>
                  <w:tcW w:w="762" w:type="pct"/>
                  <w:tcBorders>
                    <w:tl2br w:val="nil"/>
                    <w:tr2bl w:val="nil"/>
                  </w:tcBorders>
                  <w:shd w:val="clear" w:color="auto" w:fill="auto"/>
                  <w:noWrap/>
                  <w:vAlign w:val="center"/>
                </w:tcPr>
                <w:p w14:paraId="0536031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SOMATOMDefinitionAS</w:t>
                  </w:r>
                </w:p>
              </w:tc>
              <w:tc>
                <w:tcPr>
                  <w:tcW w:w="1134" w:type="pct"/>
                  <w:tcBorders>
                    <w:tl2br w:val="nil"/>
                    <w:tr2bl w:val="nil"/>
                  </w:tcBorders>
                  <w:shd w:val="clear" w:color="auto" w:fill="auto"/>
                  <w:noWrap/>
                  <w:vAlign w:val="center"/>
                </w:tcPr>
                <w:p w14:paraId="18B14E0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管电压140kV管电流600mA</w:t>
                  </w:r>
                </w:p>
              </w:tc>
              <w:tc>
                <w:tcPr>
                  <w:tcW w:w="352" w:type="pct"/>
                  <w:tcBorders>
                    <w:tl2br w:val="nil"/>
                    <w:tr2bl w:val="nil"/>
                  </w:tcBorders>
                  <w:shd w:val="clear" w:color="auto" w:fill="FFFFFF"/>
                  <w:noWrap/>
                  <w:vAlign w:val="center"/>
                </w:tcPr>
                <w:p w14:paraId="2B359F1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05128F0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662FAF4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15</w:t>
                  </w:r>
                </w:p>
              </w:tc>
              <w:tc>
                <w:tcPr>
                  <w:tcW w:w="1141" w:type="pct"/>
                  <w:tcBorders>
                    <w:tl2br w:val="nil"/>
                    <w:tr2bl w:val="nil"/>
                  </w:tcBorders>
                  <w:shd w:val="clear" w:color="auto" w:fill="auto"/>
                  <w:noWrap/>
                  <w:vAlign w:val="center"/>
                </w:tcPr>
                <w:p w14:paraId="3213340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放疗楼一层3号机房</w:t>
                  </w:r>
                </w:p>
              </w:tc>
              <w:tc>
                <w:tcPr>
                  <w:tcW w:w="392" w:type="pct"/>
                  <w:tcBorders>
                    <w:tl2br w:val="nil"/>
                    <w:tr2bl w:val="nil"/>
                  </w:tcBorders>
                  <w:shd w:val="clear" w:color="auto" w:fill="auto"/>
                  <w:noWrap/>
                  <w:vAlign w:val="center"/>
                </w:tcPr>
                <w:p w14:paraId="487B38D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4FC2F61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全身X射线计算机断层扫描系统</w:t>
                  </w:r>
                </w:p>
              </w:tc>
              <w:tc>
                <w:tcPr>
                  <w:tcW w:w="762" w:type="pct"/>
                  <w:tcBorders>
                    <w:tl2br w:val="nil"/>
                    <w:tr2bl w:val="nil"/>
                  </w:tcBorders>
                  <w:shd w:val="clear" w:color="auto" w:fill="auto"/>
                  <w:noWrap/>
                  <w:vAlign w:val="center"/>
                </w:tcPr>
                <w:p w14:paraId="1C54633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DiscoveryCT750HD</w:t>
                  </w:r>
                </w:p>
              </w:tc>
              <w:tc>
                <w:tcPr>
                  <w:tcW w:w="1134" w:type="pct"/>
                  <w:tcBorders>
                    <w:tl2br w:val="nil"/>
                    <w:tr2bl w:val="nil"/>
                  </w:tcBorders>
                  <w:shd w:val="clear" w:color="auto" w:fill="auto"/>
                  <w:noWrap/>
                  <w:vAlign w:val="center"/>
                </w:tcPr>
                <w:p w14:paraId="252142B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管电压150kV管电流900mA</w:t>
                  </w:r>
                </w:p>
              </w:tc>
              <w:tc>
                <w:tcPr>
                  <w:tcW w:w="352" w:type="pct"/>
                  <w:tcBorders>
                    <w:tl2br w:val="nil"/>
                    <w:tr2bl w:val="nil"/>
                  </w:tcBorders>
                  <w:shd w:val="clear" w:color="auto" w:fill="FFFFFF"/>
                  <w:noWrap/>
                  <w:vAlign w:val="center"/>
                </w:tcPr>
                <w:p w14:paraId="0DCCDF9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523809B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67" w:hRule="atLeast"/>
                <w:jc w:val="center"/>
              </w:trPr>
              <w:tc>
                <w:tcPr>
                  <w:tcW w:w="252" w:type="pct"/>
                  <w:tcBorders>
                    <w:tl2br w:val="nil"/>
                    <w:tr2bl w:val="nil"/>
                  </w:tcBorders>
                  <w:shd w:val="clear" w:color="auto" w:fill="auto"/>
                  <w:noWrap/>
                  <w:vAlign w:val="center"/>
                </w:tcPr>
                <w:p w14:paraId="758BC39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16</w:t>
                  </w:r>
                </w:p>
              </w:tc>
              <w:tc>
                <w:tcPr>
                  <w:tcW w:w="1141" w:type="pct"/>
                  <w:tcBorders>
                    <w:tl2br w:val="nil"/>
                    <w:tr2bl w:val="nil"/>
                  </w:tcBorders>
                  <w:shd w:val="clear" w:color="auto" w:fill="auto"/>
                  <w:noWrap/>
                  <w:vAlign w:val="center"/>
                </w:tcPr>
                <w:p w14:paraId="4B731A8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放疗楼一层4号机房</w:t>
                  </w:r>
                </w:p>
              </w:tc>
              <w:tc>
                <w:tcPr>
                  <w:tcW w:w="392" w:type="pct"/>
                  <w:tcBorders>
                    <w:tl2br w:val="nil"/>
                    <w:tr2bl w:val="nil"/>
                  </w:tcBorders>
                  <w:shd w:val="clear" w:color="auto" w:fill="auto"/>
                  <w:noWrap/>
                  <w:vAlign w:val="center"/>
                </w:tcPr>
                <w:p w14:paraId="7E42154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58D0C19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大孔径多排螺旋CT模拟定位机</w:t>
                  </w:r>
                </w:p>
              </w:tc>
              <w:tc>
                <w:tcPr>
                  <w:tcW w:w="762" w:type="pct"/>
                  <w:tcBorders>
                    <w:tl2br w:val="nil"/>
                    <w:tr2bl w:val="nil"/>
                  </w:tcBorders>
                  <w:shd w:val="clear" w:color="auto" w:fill="auto"/>
                  <w:noWrap/>
                  <w:vAlign w:val="center"/>
                </w:tcPr>
                <w:p w14:paraId="7BBE8E2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BrillianceCTBigBore</w:t>
                  </w:r>
                </w:p>
              </w:tc>
              <w:tc>
                <w:tcPr>
                  <w:tcW w:w="1134" w:type="pct"/>
                  <w:tcBorders>
                    <w:tl2br w:val="nil"/>
                    <w:tr2bl w:val="nil"/>
                  </w:tcBorders>
                  <w:shd w:val="clear" w:color="auto" w:fill="auto"/>
                  <w:noWrap/>
                  <w:vAlign w:val="center"/>
                </w:tcPr>
                <w:p w14:paraId="7484481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管电压140kV管电流500mA</w:t>
                  </w:r>
                </w:p>
              </w:tc>
              <w:tc>
                <w:tcPr>
                  <w:tcW w:w="352" w:type="pct"/>
                  <w:tcBorders>
                    <w:tl2br w:val="nil"/>
                    <w:tr2bl w:val="nil"/>
                  </w:tcBorders>
                  <w:shd w:val="clear" w:color="auto" w:fill="FFFFFF"/>
                  <w:noWrap/>
                  <w:vAlign w:val="center"/>
                </w:tcPr>
                <w:p w14:paraId="1D4ABEC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18A8DC5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14E6058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17</w:t>
                  </w:r>
                </w:p>
              </w:tc>
              <w:tc>
                <w:tcPr>
                  <w:tcW w:w="1141" w:type="pct"/>
                  <w:tcBorders>
                    <w:tl2br w:val="nil"/>
                    <w:tr2bl w:val="nil"/>
                  </w:tcBorders>
                  <w:shd w:val="clear" w:color="auto" w:fill="auto"/>
                  <w:noWrap/>
                  <w:vAlign w:val="center"/>
                </w:tcPr>
                <w:p w14:paraId="03E8045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放射性药物小动物实验室PET/SPECT/CT机房</w:t>
                  </w:r>
                </w:p>
              </w:tc>
              <w:tc>
                <w:tcPr>
                  <w:tcW w:w="392" w:type="pct"/>
                  <w:tcBorders>
                    <w:tl2br w:val="nil"/>
                    <w:tr2bl w:val="nil"/>
                  </w:tcBorders>
                  <w:shd w:val="clear" w:color="auto" w:fill="auto"/>
                  <w:noWrap/>
                  <w:vAlign w:val="center"/>
                </w:tcPr>
                <w:p w14:paraId="6C6F64D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2C5681A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PET/SPECT/CT</w:t>
                  </w:r>
                </w:p>
              </w:tc>
              <w:tc>
                <w:tcPr>
                  <w:tcW w:w="762" w:type="pct"/>
                  <w:tcBorders>
                    <w:tl2br w:val="nil"/>
                    <w:tr2bl w:val="nil"/>
                  </w:tcBorders>
                  <w:shd w:val="clear" w:color="auto" w:fill="auto"/>
                  <w:noWrap/>
                  <w:vAlign w:val="center"/>
                </w:tcPr>
                <w:p w14:paraId="14A2802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11</w:t>
                  </w:r>
                </w:p>
              </w:tc>
              <w:tc>
                <w:tcPr>
                  <w:tcW w:w="1134" w:type="pct"/>
                  <w:tcBorders>
                    <w:tl2br w:val="nil"/>
                    <w:tr2bl w:val="nil"/>
                  </w:tcBorders>
                  <w:shd w:val="clear" w:color="auto" w:fill="auto"/>
                  <w:noWrap/>
                  <w:vAlign w:val="center"/>
                </w:tcPr>
                <w:p w14:paraId="78B93FB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管电压80kV管电流0.7mA</w:t>
                  </w:r>
                </w:p>
              </w:tc>
              <w:tc>
                <w:tcPr>
                  <w:tcW w:w="352" w:type="pct"/>
                  <w:tcBorders>
                    <w:tl2br w:val="nil"/>
                    <w:tr2bl w:val="nil"/>
                  </w:tcBorders>
                  <w:shd w:val="clear" w:color="auto" w:fill="FFFFFF"/>
                  <w:noWrap/>
                  <w:vAlign w:val="center"/>
                </w:tcPr>
                <w:p w14:paraId="518CAEE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280E7B85">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1F23EF6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18</w:t>
                  </w:r>
                </w:p>
              </w:tc>
              <w:tc>
                <w:tcPr>
                  <w:tcW w:w="1141" w:type="pct"/>
                  <w:tcBorders>
                    <w:tl2br w:val="nil"/>
                    <w:tr2bl w:val="nil"/>
                  </w:tcBorders>
                  <w:shd w:val="clear" w:color="auto" w:fill="auto"/>
                  <w:noWrap/>
                  <w:vAlign w:val="center"/>
                </w:tcPr>
                <w:p w14:paraId="43C6823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核医学楼二层PET/CT1室</w:t>
                  </w:r>
                </w:p>
              </w:tc>
              <w:tc>
                <w:tcPr>
                  <w:tcW w:w="392" w:type="pct"/>
                  <w:tcBorders>
                    <w:tl2br w:val="nil"/>
                    <w:tr2bl w:val="nil"/>
                  </w:tcBorders>
                  <w:shd w:val="clear" w:color="auto" w:fill="auto"/>
                  <w:noWrap/>
                  <w:vAlign w:val="center"/>
                </w:tcPr>
                <w:p w14:paraId="65E2B4F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4B52453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正电子发射/X射线计算机断层成像系统</w:t>
                  </w:r>
                </w:p>
              </w:tc>
              <w:tc>
                <w:tcPr>
                  <w:tcW w:w="762" w:type="pct"/>
                  <w:tcBorders>
                    <w:tl2br w:val="nil"/>
                    <w:tr2bl w:val="nil"/>
                  </w:tcBorders>
                  <w:shd w:val="clear" w:color="auto" w:fill="auto"/>
                  <w:noWrap/>
                  <w:vAlign w:val="center"/>
                </w:tcPr>
                <w:p w14:paraId="44F83CF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uMIPanorama28C</w:t>
                  </w:r>
                </w:p>
              </w:tc>
              <w:tc>
                <w:tcPr>
                  <w:tcW w:w="1134" w:type="pct"/>
                  <w:tcBorders>
                    <w:tl2br w:val="nil"/>
                    <w:tr2bl w:val="nil"/>
                  </w:tcBorders>
                  <w:shd w:val="clear" w:color="auto" w:fill="auto"/>
                  <w:noWrap/>
                  <w:vAlign w:val="center"/>
                </w:tcPr>
                <w:p w14:paraId="2796EA7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管电压833kV管电流140mA</w:t>
                  </w:r>
                </w:p>
              </w:tc>
              <w:tc>
                <w:tcPr>
                  <w:tcW w:w="352" w:type="pct"/>
                  <w:tcBorders>
                    <w:tl2br w:val="nil"/>
                    <w:tr2bl w:val="nil"/>
                  </w:tcBorders>
                  <w:shd w:val="clear" w:color="auto" w:fill="FFFFFF"/>
                  <w:noWrap/>
                  <w:vAlign w:val="center"/>
                </w:tcPr>
                <w:p w14:paraId="10DF8AA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5C6D6E5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0E4E92A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19</w:t>
                  </w:r>
                </w:p>
              </w:tc>
              <w:tc>
                <w:tcPr>
                  <w:tcW w:w="1141" w:type="pct"/>
                  <w:tcBorders>
                    <w:tl2br w:val="nil"/>
                    <w:tr2bl w:val="nil"/>
                  </w:tcBorders>
                  <w:shd w:val="clear" w:color="auto" w:fill="auto"/>
                  <w:noWrap/>
                  <w:vAlign w:val="center"/>
                </w:tcPr>
                <w:p w14:paraId="324BFC7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核医学楼负一层回旋加速器机房</w:t>
                  </w:r>
                </w:p>
              </w:tc>
              <w:tc>
                <w:tcPr>
                  <w:tcW w:w="392" w:type="pct"/>
                  <w:tcBorders>
                    <w:tl2br w:val="nil"/>
                    <w:tr2bl w:val="nil"/>
                  </w:tcBorders>
                  <w:shd w:val="clear" w:color="auto" w:fill="auto"/>
                  <w:noWrap/>
                  <w:vAlign w:val="center"/>
                </w:tcPr>
                <w:p w14:paraId="0434252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564E47A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回旋加速器</w:t>
                  </w:r>
                </w:p>
              </w:tc>
              <w:tc>
                <w:tcPr>
                  <w:tcW w:w="762" w:type="pct"/>
                  <w:tcBorders>
                    <w:tl2br w:val="nil"/>
                    <w:tr2bl w:val="nil"/>
                  </w:tcBorders>
                  <w:shd w:val="clear" w:color="auto" w:fill="auto"/>
                  <w:noWrap/>
                  <w:vAlign w:val="center"/>
                </w:tcPr>
                <w:p w14:paraId="7F7B365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HM-10HC+</w:t>
                  </w:r>
                </w:p>
              </w:tc>
              <w:tc>
                <w:tcPr>
                  <w:tcW w:w="1134" w:type="pct"/>
                  <w:tcBorders>
                    <w:tl2br w:val="nil"/>
                    <w:tr2bl w:val="nil"/>
                  </w:tcBorders>
                  <w:shd w:val="clear" w:color="auto" w:fill="auto"/>
                  <w:noWrap/>
                  <w:vAlign w:val="center"/>
                </w:tcPr>
                <w:p w14:paraId="7E4A52E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粒子能量10MeV</w:t>
                  </w:r>
                </w:p>
              </w:tc>
              <w:tc>
                <w:tcPr>
                  <w:tcW w:w="352" w:type="pct"/>
                  <w:tcBorders>
                    <w:tl2br w:val="nil"/>
                    <w:tr2bl w:val="nil"/>
                  </w:tcBorders>
                  <w:shd w:val="clear" w:color="auto" w:fill="FFFFFF"/>
                  <w:noWrap/>
                  <w:vAlign w:val="center"/>
                </w:tcPr>
                <w:p w14:paraId="457DBC4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0D2735A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40B4D93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20</w:t>
                  </w:r>
                </w:p>
              </w:tc>
              <w:tc>
                <w:tcPr>
                  <w:tcW w:w="1141" w:type="pct"/>
                  <w:tcBorders>
                    <w:tl2br w:val="nil"/>
                    <w:tr2bl w:val="nil"/>
                  </w:tcBorders>
                  <w:shd w:val="clear" w:color="auto" w:fill="auto"/>
                  <w:noWrap/>
                  <w:vAlign w:val="center"/>
                </w:tcPr>
                <w:p w14:paraId="188FD26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核医学楼一层SPECT2室</w:t>
                  </w:r>
                </w:p>
              </w:tc>
              <w:tc>
                <w:tcPr>
                  <w:tcW w:w="392" w:type="pct"/>
                  <w:tcBorders>
                    <w:tl2br w:val="nil"/>
                    <w:tr2bl w:val="nil"/>
                  </w:tcBorders>
                  <w:shd w:val="clear" w:color="auto" w:fill="auto"/>
                  <w:noWrap/>
                  <w:vAlign w:val="center"/>
                </w:tcPr>
                <w:p w14:paraId="1797945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481A865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单光子发射及X射线计算机断层成像系统</w:t>
                  </w:r>
                </w:p>
              </w:tc>
              <w:tc>
                <w:tcPr>
                  <w:tcW w:w="762" w:type="pct"/>
                  <w:tcBorders>
                    <w:tl2br w:val="nil"/>
                    <w:tr2bl w:val="nil"/>
                  </w:tcBorders>
                  <w:shd w:val="clear" w:color="auto" w:fill="auto"/>
                  <w:noWrap/>
                  <w:vAlign w:val="center"/>
                </w:tcPr>
                <w:p w14:paraId="08B897B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NM/CT860Advance</w:t>
                  </w:r>
                </w:p>
              </w:tc>
              <w:tc>
                <w:tcPr>
                  <w:tcW w:w="1134" w:type="pct"/>
                  <w:tcBorders>
                    <w:tl2br w:val="nil"/>
                    <w:tr2bl w:val="nil"/>
                  </w:tcBorders>
                  <w:shd w:val="clear" w:color="auto" w:fill="auto"/>
                  <w:noWrap/>
                  <w:vAlign w:val="center"/>
                </w:tcPr>
                <w:p w14:paraId="547336F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管电压140kV管电流200mA</w:t>
                  </w:r>
                </w:p>
              </w:tc>
              <w:tc>
                <w:tcPr>
                  <w:tcW w:w="352" w:type="pct"/>
                  <w:tcBorders>
                    <w:tl2br w:val="nil"/>
                    <w:tr2bl w:val="nil"/>
                  </w:tcBorders>
                  <w:shd w:val="clear" w:color="auto" w:fill="FFFFFF"/>
                  <w:noWrap/>
                  <w:vAlign w:val="center"/>
                </w:tcPr>
                <w:p w14:paraId="57407E6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373119B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30" w:hRule="atLeast"/>
                <w:jc w:val="center"/>
              </w:trPr>
              <w:tc>
                <w:tcPr>
                  <w:tcW w:w="252" w:type="pct"/>
                  <w:tcBorders>
                    <w:tl2br w:val="nil"/>
                    <w:tr2bl w:val="nil"/>
                  </w:tcBorders>
                  <w:shd w:val="clear" w:color="auto" w:fill="auto"/>
                  <w:noWrap/>
                  <w:vAlign w:val="center"/>
                </w:tcPr>
                <w:p w14:paraId="582E78C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21</w:t>
                  </w:r>
                </w:p>
              </w:tc>
              <w:tc>
                <w:tcPr>
                  <w:tcW w:w="1141" w:type="pct"/>
                  <w:tcBorders>
                    <w:tl2br w:val="nil"/>
                    <w:tr2bl w:val="nil"/>
                  </w:tcBorders>
                  <w:shd w:val="clear" w:color="auto" w:fill="auto"/>
                  <w:noWrap/>
                  <w:vAlign w:val="center"/>
                </w:tcPr>
                <w:p w14:paraId="5793B1C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核医学楼一层SPECT3室</w:t>
                  </w:r>
                </w:p>
              </w:tc>
              <w:tc>
                <w:tcPr>
                  <w:tcW w:w="392" w:type="pct"/>
                  <w:tcBorders>
                    <w:tl2br w:val="nil"/>
                    <w:tr2bl w:val="nil"/>
                  </w:tcBorders>
                  <w:shd w:val="clear" w:color="auto" w:fill="auto"/>
                  <w:noWrap/>
                  <w:vAlign w:val="center"/>
                </w:tcPr>
                <w:p w14:paraId="0592710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6C3B4FC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SPECT/CT</w:t>
                  </w:r>
                </w:p>
              </w:tc>
              <w:tc>
                <w:tcPr>
                  <w:tcW w:w="762" w:type="pct"/>
                  <w:tcBorders>
                    <w:tl2br w:val="nil"/>
                    <w:tr2bl w:val="nil"/>
                  </w:tcBorders>
                  <w:shd w:val="clear" w:color="auto" w:fill="auto"/>
                  <w:noWrap/>
                  <w:vAlign w:val="center"/>
                </w:tcPr>
                <w:p w14:paraId="243D83E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Symbiaintevo2</w:t>
                  </w:r>
                </w:p>
              </w:tc>
              <w:tc>
                <w:tcPr>
                  <w:tcW w:w="1134" w:type="pct"/>
                  <w:tcBorders>
                    <w:tl2br w:val="nil"/>
                    <w:tr2bl w:val="nil"/>
                  </w:tcBorders>
                  <w:shd w:val="clear" w:color="auto" w:fill="auto"/>
                  <w:noWrap/>
                  <w:vAlign w:val="center"/>
                </w:tcPr>
                <w:p w14:paraId="6A798FF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管电压120kV管电流50mA</w:t>
                  </w:r>
                </w:p>
              </w:tc>
              <w:tc>
                <w:tcPr>
                  <w:tcW w:w="352" w:type="pct"/>
                  <w:tcBorders>
                    <w:tl2br w:val="nil"/>
                    <w:tr2bl w:val="nil"/>
                  </w:tcBorders>
                  <w:shd w:val="clear" w:color="auto" w:fill="FFFFFF"/>
                  <w:noWrap/>
                  <w:vAlign w:val="center"/>
                </w:tcPr>
                <w:p w14:paraId="63F7D39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1E766B0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67" w:hRule="atLeast"/>
                <w:jc w:val="center"/>
              </w:trPr>
              <w:tc>
                <w:tcPr>
                  <w:tcW w:w="252" w:type="pct"/>
                  <w:tcBorders>
                    <w:tl2br w:val="nil"/>
                    <w:tr2bl w:val="nil"/>
                  </w:tcBorders>
                  <w:shd w:val="clear" w:color="auto" w:fill="auto"/>
                  <w:noWrap/>
                  <w:vAlign w:val="center"/>
                </w:tcPr>
                <w:p w14:paraId="7749F0C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22</w:t>
                  </w:r>
                </w:p>
              </w:tc>
              <w:tc>
                <w:tcPr>
                  <w:tcW w:w="1141" w:type="pct"/>
                  <w:tcBorders>
                    <w:tl2br w:val="nil"/>
                    <w:tr2bl w:val="nil"/>
                  </w:tcBorders>
                  <w:shd w:val="clear" w:color="auto" w:fill="auto"/>
                  <w:noWrap/>
                  <w:vAlign w:val="center"/>
                </w:tcPr>
                <w:p w14:paraId="57C0D0D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门诊综合楼八层2号手术室</w:t>
                  </w:r>
                </w:p>
              </w:tc>
              <w:tc>
                <w:tcPr>
                  <w:tcW w:w="392" w:type="pct"/>
                  <w:tcBorders>
                    <w:tl2br w:val="nil"/>
                    <w:tr2bl w:val="nil"/>
                  </w:tcBorders>
                  <w:shd w:val="clear" w:color="auto" w:fill="auto"/>
                  <w:noWrap/>
                  <w:vAlign w:val="center"/>
                </w:tcPr>
                <w:p w14:paraId="1D2F3EF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0BF9D76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近距离术中放疗系统</w:t>
                  </w:r>
                </w:p>
              </w:tc>
              <w:tc>
                <w:tcPr>
                  <w:tcW w:w="762" w:type="pct"/>
                  <w:tcBorders>
                    <w:tl2br w:val="nil"/>
                    <w:tr2bl w:val="nil"/>
                  </w:tcBorders>
                  <w:shd w:val="clear" w:color="auto" w:fill="auto"/>
                  <w:noWrap/>
                  <w:vAlign w:val="center"/>
                </w:tcPr>
                <w:p w14:paraId="3BB34E3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INTRABEAMPRS500</w:t>
                  </w:r>
                </w:p>
              </w:tc>
              <w:tc>
                <w:tcPr>
                  <w:tcW w:w="1134" w:type="pct"/>
                  <w:tcBorders>
                    <w:tl2br w:val="nil"/>
                    <w:tr2bl w:val="nil"/>
                  </w:tcBorders>
                  <w:shd w:val="clear" w:color="auto" w:fill="auto"/>
                  <w:noWrap/>
                  <w:vAlign w:val="center"/>
                </w:tcPr>
                <w:p w14:paraId="452593B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管电压50kV管电流0.04mA</w:t>
                  </w:r>
                </w:p>
              </w:tc>
              <w:tc>
                <w:tcPr>
                  <w:tcW w:w="352" w:type="pct"/>
                  <w:tcBorders>
                    <w:tl2br w:val="nil"/>
                    <w:tr2bl w:val="nil"/>
                  </w:tcBorders>
                  <w:shd w:val="clear" w:color="auto" w:fill="FFFFFF"/>
                  <w:noWrap/>
                  <w:vAlign w:val="center"/>
                </w:tcPr>
                <w:p w14:paraId="57B5855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34D3E48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0" w:hRule="atLeast"/>
                <w:jc w:val="center"/>
              </w:trPr>
              <w:tc>
                <w:tcPr>
                  <w:tcW w:w="252" w:type="pct"/>
                  <w:tcBorders>
                    <w:tl2br w:val="nil"/>
                    <w:tr2bl w:val="nil"/>
                  </w:tcBorders>
                  <w:shd w:val="clear" w:color="auto" w:fill="auto"/>
                  <w:noWrap/>
                  <w:vAlign w:val="center"/>
                </w:tcPr>
                <w:p w14:paraId="4AE5DA2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23</w:t>
                  </w:r>
                </w:p>
              </w:tc>
              <w:tc>
                <w:tcPr>
                  <w:tcW w:w="1141" w:type="pct"/>
                  <w:tcBorders>
                    <w:tl2br w:val="nil"/>
                    <w:tr2bl w:val="nil"/>
                  </w:tcBorders>
                  <w:shd w:val="clear" w:color="auto" w:fill="auto"/>
                  <w:noWrap/>
                  <w:vAlign w:val="center"/>
                </w:tcPr>
                <w:p w14:paraId="2D5EAAB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门诊综合楼八层7号手术室</w:t>
                  </w:r>
                </w:p>
              </w:tc>
              <w:tc>
                <w:tcPr>
                  <w:tcW w:w="392" w:type="pct"/>
                  <w:tcBorders>
                    <w:tl2br w:val="nil"/>
                    <w:tr2bl w:val="nil"/>
                  </w:tcBorders>
                  <w:shd w:val="clear" w:color="auto" w:fill="auto"/>
                  <w:noWrap/>
                  <w:vAlign w:val="center"/>
                </w:tcPr>
                <w:p w14:paraId="7ED4395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1A2E21F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移动X射线C臂机</w:t>
                  </w:r>
                </w:p>
              </w:tc>
              <w:tc>
                <w:tcPr>
                  <w:tcW w:w="762" w:type="pct"/>
                  <w:tcBorders>
                    <w:tl2br w:val="nil"/>
                    <w:tr2bl w:val="nil"/>
                  </w:tcBorders>
                  <w:shd w:val="clear" w:color="auto" w:fill="auto"/>
                  <w:noWrap/>
                  <w:vAlign w:val="center"/>
                </w:tcPr>
                <w:p w14:paraId="690802C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PLX118C-E</w:t>
                  </w:r>
                </w:p>
              </w:tc>
              <w:tc>
                <w:tcPr>
                  <w:tcW w:w="1134" w:type="pct"/>
                  <w:tcBorders>
                    <w:tl2br w:val="nil"/>
                    <w:tr2bl w:val="nil"/>
                  </w:tcBorders>
                  <w:shd w:val="clear" w:color="auto" w:fill="auto"/>
                  <w:noWrap/>
                  <w:vAlign w:val="center"/>
                </w:tcPr>
                <w:p w14:paraId="6063944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管电压120kV管电流100mA</w:t>
                  </w:r>
                </w:p>
              </w:tc>
              <w:tc>
                <w:tcPr>
                  <w:tcW w:w="352" w:type="pct"/>
                  <w:tcBorders>
                    <w:tl2br w:val="nil"/>
                    <w:tr2bl w:val="nil"/>
                  </w:tcBorders>
                  <w:shd w:val="clear" w:color="auto" w:fill="FFFFFF"/>
                  <w:noWrap/>
                  <w:vAlign w:val="center"/>
                </w:tcPr>
                <w:p w14:paraId="49B1A6E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0D16086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0" w:hRule="atLeast"/>
                <w:jc w:val="center"/>
              </w:trPr>
              <w:tc>
                <w:tcPr>
                  <w:tcW w:w="252" w:type="pct"/>
                  <w:tcBorders>
                    <w:tl2br w:val="nil"/>
                    <w:tr2bl w:val="nil"/>
                  </w:tcBorders>
                  <w:shd w:val="clear" w:color="auto" w:fill="auto"/>
                  <w:noWrap/>
                  <w:vAlign w:val="center"/>
                </w:tcPr>
                <w:p w14:paraId="7C47DFD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24</w:t>
                  </w:r>
                </w:p>
              </w:tc>
              <w:tc>
                <w:tcPr>
                  <w:tcW w:w="1141" w:type="pct"/>
                  <w:tcBorders>
                    <w:tl2br w:val="nil"/>
                    <w:tr2bl w:val="nil"/>
                  </w:tcBorders>
                  <w:shd w:val="clear" w:color="auto" w:fill="auto"/>
                  <w:noWrap/>
                  <w:vAlign w:val="center"/>
                </w:tcPr>
                <w:p w14:paraId="7C98321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门诊综合楼二层B区230室</w:t>
                  </w:r>
                </w:p>
              </w:tc>
              <w:tc>
                <w:tcPr>
                  <w:tcW w:w="392" w:type="pct"/>
                  <w:tcBorders>
                    <w:tl2br w:val="nil"/>
                    <w:tr2bl w:val="nil"/>
                  </w:tcBorders>
                  <w:shd w:val="clear" w:color="auto" w:fill="auto"/>
                  <w:noWrap/>
                  <w:vAlign w:val="center"/>
                </w:tcPr>
                <w:p w14:paraId="7095E63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683D213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牙科X射线装置</w:t>
                  </w:r>
                </w:p>
              </w:tc>
              <w:tc>
                <w:tcPr>
                  <w:tcW w:w="762" w:type="pct"/>
                  <w:tcBorders>
                    <w:tl2br w:val="nil"/>
                    <w:tr2bl w:val="nil"/>
                  </w:tcBorders>
                  <w:shd w:val="clear" w:color="auto" w:fill="auto"/>
                  <w:noWrap/>
                  <w:vAlign w:val="center"/>
                </w:tcPr>
                <w:p w14:paraId="3E8402F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RAY68(M)</w:t>
                  </w:r>
                </w:p>
              </w:tc>
              <w:tc>
                <w:tcPr>
                  <w:tcW w:w="1134" w:type="pct"/>
                  <w:tcBorders>
                    <w:tl2br w:val="nil"/>
                    <w:tr2bl w:val="nil"/>
                  </w:tcBorders>
                  <w:shd w:val="clear" w:color="auto" w:fill="auto"/>
                  <w:noWrap/>
                  <w:vAlign w:val="center"/>
                </w:tcPr>
                <w:p w14:paraId="3A6FB8F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管电压30kV管电流190mA</w:t>
                  </w:r>
                </w:p>
              </w:tc>
              <w:tc>
                <w:tcPr>
                  <w:tcW w:w="352" w:type="pct"/>
                  <w:tcBorders>
                    <w:tl2br w:val="nil"/>
                    <w:tr2bl w:val="nil"/>
                  </w:tcBorders>
                  <w:shd w:val="clear" w:color="auto" w:fill="FFFFFF"/>
                  <w:noWrap/>
                  <w:vAlign w:val="center"/>
                </w:tcPr>
                <w:p w14:paraId="58A2A6E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524F1AC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30" w:hRule="atLeast"/>
                <w:jc w:val="center"/>
              </w:trPr>
              <w:tc>
                <w:tcPr>
                  <w:tcW w:w="252" w:type="pct"/>
                  <w:tcBorders>
                    <w:tl2br w:val="nil"/>
                    <w:tr2bl w:val="nil"/>
                  </w:tcBorders>
                  <w:shd w:val="clear" w:color="auto" w:fill="auto"/>
                  <w:noWrap/>
                  <w:vAlign w:val="center"/>
                </w:tcPr>
                <w:p w14:paraId="00A3F03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25</w:t>
                  </w:r>
                </w:p>
              </w:tc>
              <w:tc>
                <w:tcPr>
                  <w:tcW w:w="1141" w:type="pct"/>
                  <w:tcBorders>
                    <w:tl2br w:val="nil"/>
                    <w:tr2bl w:val="nil"/>
                  </w:tcBorders>
                  <w:shd w:val="clear" w:color="auto" w:fill="auto"/>
                  <w:noWrap/>
                  <w:vAlign w:val="center"/>
                </w:tcPr>
                <w:p w14:paraId="3F705C8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门诊综合楼负一层B101</w:t>
                  </w:r>
                </w:p>
              </w:tc>
              <w:tc>
                <w:tcPr>
                  <w:tcW w:w="392" w:type="pct"/>
                  <w:tcBorders>
                    <w:tl2br w:val="nil"/>
                    <w:tr2bl w:val="nil"/>
                  </w:tcBorders>
                  <w:shd w:val="clear" w:color="auto" w:fill="auto"/>
                  <w:noWrap/>
                  <w:vAlign w:val="center"/>
                </w:tcPr>
                <w:p w14:paraId="029D3E0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49C6E75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X射线摄影装置</w:t>
                  </w:r>
                </w:p>
              </w:tc>
              <w:tc>
                <w:tcPr>
                  <w:tcW w:w="762" w:type="pct"/>
                  <w:tcBorders>
                    <w:tl2br w:val="nil"/>
                    <w:tr2bl w:val="nil"/>
                  </w:tcBorders>
                  <w:shd w:val="clear" w:color="auto" w:fill="auto"/>
                  <w:noWrap/>
                  <w:vAlign w:val="center"/>
                </w:tcPr>
                <w:p w14:paraId="5D95FE5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NOVA-FA-C</w:t>
                  </w:r>
                </w:p>
              </w:tc>
              <w:tc>
                <w:tcPr>
                  <w:tcW w:w="1134" w:type="pct"/>
                  <w:tcBorders>
                    <w:tl2br w:val="nil"/>
                    <w:tr2bl w:val="nil"/>
                  </w:tcBorders>
                  <w:shd w:val="clear" w:color="auto" w:fill="auto"/>
                  <w:noWrap/>
                  <w:vAlign w:val="center"/>
                </w:tcPr>
                <w:p w14:paraId="60D655D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管电压150kV管电流800mA</w:t>
                  </w:r>
                </w:p>
              </w:tc>
              <w:tc>
                <w:tcPr>
                  <w:tcW w:w="352" w:type="pct"/>
                  <w:tcBorders>
                    <w:tl2br w:val="nil"/>
                    <w:tr2bl w:val="nil"/>
                  </w:tcBorders>
                  <w:shd w:val="clear" w:color="auto" w:fill="FFFFFF"/>
                  <w:noWrap/>
                  <w:vAlign w:val="center"/>
                </w:tcPr>
                <w:p w14:paraId="487365D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332968E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30" w:hRule="atLeast"/>
                <w:jc w:val="center"/>
              </w:trPr>
              <w:tc>
                <w:tcPr>
                  <w:tcW w:w="252" w:type="pct"/>
                  <w:tcBorders>
                    <w:tl2br w:val="nil"/>
                    <w:tr2bl w:val="nil"/>
                  </w:tcBorders>
                  <w:shd w:val="clear" w:color="auto" w:fill="auto"/>
                  <w:noWrap/>
                  <w:vAlign w:val="center"/>
                </w:tcPr>
                <w:p w14:paraId="4C1B467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26</w:t>
                  </w:r>
                </w:p>
              </w:tc>
              <w:tc>
                <w:tcPr>
                  <w:tcW w:w="1141" w:type="pct"/>
                  <w:tcBorders>
                    <w:tl2br w:val="nil"/>
                    <w:tr2bl w:val="nil"/>
                  </w:tcBorders>
                  <w:shd w:val="clear" w:color="auto" w:fill="auto"/>
                  <w:noWrap/>
                  <w:vAlign w:val="center"/>
                </w:tcPr>
                <w:p w14:paraId="78AD84A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门诊综合楼负一层B102</w:t>
                  </w:r>
                </w:p>
              </w:tc>
              <w:tc>
                <w:tcPr>
                  <w:tcW w:w="392" w:type="pct"/>
                  <w:tcBorders>
                    <w:tl2br w:val="nil"/>
                    <w:tr2bl w:val="nil"/>
                  </w:tcBorders>
                  <w:shd w:val="clear" w:color="auto" w:fill="auto"/>
                  <w:noWrap/>
                  <w:vAlign w:val="center"/>
                </w:tcPr>
                <w:p w14:paraId="0FB3FF8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3C76A77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X射线摄影装置</w:t>
                  </w:r>
                </w:p>
              </w:tc>
              <w:tc>
                <w:tcPr>
                  <w:tcW w:w="762" w:type="pct"/>
                  <w:tcBorders>
                    <w:tl2br w:val="nil"/>
                    <w:tr2bl w:val="nil"/>
                  </w:tcBorders>
                  <w:shd w:val="clear" w:color="auto" w:fill="auto"/>
                  <w:noWrap/>
                  <w:vAlign w:val="center"/>
                </w:tcPr>
                <w:p w14:paraId="26CA042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Definium6000</w:t>
                  </w:r>
                </w:p>
              </w:tc>
              <w:tc>
                <w:tcPr>
                  <w:tcW w:w="1134" w:type="pct"/>
                  <w:tcBorders>
                    <w:tl2br w:val="nil"/>
                    <w:tr2bl w:val="nil"/>
                  </w:tcBorders>
                  <w:shd w:val="clear" w:color="auto" w:fill="auto"/>
                  <w:noWrap/>
                  <w:vAlign w:val="center"/>
                </w:tcPr>
                <w:p w14:paraId="74DCCEE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管电压120kV管电流800mA</w:t>
                  </w:r>
                </w:p>
              </w:tc>
              <w:tc>
                <w:tcPr>
                  <w:tcW w:w="352" w:type="pct"/>
                  <w:tcBorders>
                    <w:tl2br w:val="nil"/>
                    <w:tr2bl w:val="nil"/>
                  </w:tcBorders>
                  <w:shd w:val="clear" w:color="auto" w:fill="FFFFFF"/>
                  <w:noWrap/>
                  <w:vAlign w:val="center"/>
                </w:tcPr>
                <w:p w14:paraId="0009B68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52FCF57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30" w:hRule="atLeast"/>
                <w:jc w:val="center"/>
              </w:trPr>
              <w:tc>
                <w:tcPr>
                  <w:tcW w:w="252" w:type="pct"/>
                  <w:tcBorders>
                    <w:tl2br w:val="nil"/>
                    <w:tr2bl w:val="nil"/>
                  </w:tcBorders>
                  <w:shd w:val="clear" w:color="auto" w:fill="auto"/>
                  <w:noWrap/>
                  <w:vAlign w:val="center"/>
                </w:tcPr>
                <w:p w14:paraId="471E2AB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27</w:t>
                  </w:r>
                </w:p>
              </w:tc>
              <w:tc>
                <w:tcPr>
                  <w:tcW w:w="1141" w:type="pct"/>
                  <w:tcBorders>
                    <w:tl2br w:val="nil"/>
                    <w:tr2bl w:val="nil"/>
                  </w:tcBorders>
                  <w:shd w:val="clear" w:color="auto" w:fill="auto"/>
                  <w:noWrap/>
                  <w:vAlign w:val="center"/>
                </w:tcPr>
                <w:p w14:paraId="28F8B27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门诊综合楼负一层B103</w:t>
                  </w:r>
                </w:p>
              </w:tc>
              <w:tc>
                <w:tcPr>
                  <w:tcW w:w="392" w:type="pct"/>
                  <w:tcBorders>
                    <w:tl2br w:val="nil"/>
                    <w:tr2bl w:val="nil"/>
                  </w:tcBorders>
                  <w:shd w:val="clear" w:color="auto" w:fill="auto"/>
                  <w:noWrap/>
                  <w:vAlign w:val="center"/>
                </w:tcPr>
                <w:p w14:paraId="446C67D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20C960E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X射线骨密度仪</w:t>
                  </w:r>
                </w:p>
              </w:tc>
              <w:tc>
                <w:tcPr>
                  <w:tcW w:w="762" w:type="pct"/>
                  <w:tcBorders>
                    <w:tl2br w:val="nil"/>
                    <w:tr2bl w:val="nil"/>
                  </w:tcBorders>
                  <w:shd w:val="clear" w:color="auto" w:fill="auto"/>
                  <w:noWrap/>
                  <w:vAlign w:val="center"/>
                </w:tcPr>
                <w:p w14:paraId="032FCE7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KD-GRAND</w:t>
                  </w:r>
                </w:p>
              </w:tc>
              <w:tc>
                <w:tcPr>
                  <w:tcW w:w="1134" w:type="pct"/>
                  <w:tcBorders>
                    <w:tl2br w:val="nil"/>
                    <w:tr2bl w:val="nil"/>
                  </w:tcBorders>
                  <w:shd w:val="clear" w:color="auto" w:fill="auto"/>
                  <w:noWrap/>
                  <w:vAlign w:val="center"/>
                </w:tcPr>
                <w:p w14:paraId="1491DD6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管电压76kV管电流1mA</w:t>
                  </w:r>
                </w:p>
              </w:tc>
              <w:tc>
                <w:tcPr>
                  <w:tcW w:w="352" w:type="pct"/>
                  <w:tcBorders>
                    <w:tl2br w:val="nil"/>
                    <w:tr2bl w:val="nil"/>
                  </w:tcBorders>
                  <w:shd w:val="clear" w:color="auto" w:fill="FFFFFF"/>
                  <w:noWrap/>
                  <w:vAlign w:val="center"/>
                </w:tcPr>
                <w:p w14:paraId="62DF512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0ECEF58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7" w:hRule="atLeast"/>
                <w:jc w:val="center"/>
              </w:trPr>
              <w:tc>
                <w:tcPr>
                  <w:tcW w:w="252" w:type="pct"/>
                  <w:tcBorders>
                    <w:tl2br w:val="nil"/>
                    <w:tr2bl w:val="nil"/>
                  </w:tcBorders>
                  <w:shd w:val="clear" w:color="auto" w:fill="auto"/>
                  <w:noWrap/>
                  <w:vAlign w:val="center"/>
                </w:tcPr>
                <w:p w14:paraId="737C6B3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28</w:t>
                  </w:r>
                </w:p>
              </w:tc>
              <w:tc>
                <w:tcPr>
                  <w:tcW w:w="1141" w:type="pct"/>
                  <w:tcBorders>
                    <w:tl2br w:val="nil"/>
                    <w:tr2bl w:val="nil"/>
                  </w:tcBorders>
                  <w:shd w:val="clear" w:color="auto" w:fill="auto"/>
                  <w:noWrap/>
                  <w:vAlign w:val="center"/>
                </w:tcPr>
                <w:p w14:paraId="65FB54D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门诊综合楼负一层B104</w:t>
                  </w:r>
                </w:p>
              </w:tc>
              <w:tc>
                <w:tcPr>
                  <w:tcW w:w="392" w:type="pct"/>
                  <w:tcBorders>
                    <w:tl2br w:val="nil"/>
                    <w:tr2bl w:val="nil"/>
                  </w:tcBorders>
                  <w:shd w:val="clear" w:color="auto" w:fill="auto"/>
                  <w:noWrap/>
                  <w:vAlign w:val="center"/>
                </w:tcPr>
                <w:p w14:paraId="2566241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51E36D1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乳腺X射线装置</w:t>
                  </w:r>
                </w:p>
              </w:tc>
              <w:tc>
                <w:tcPr>
                  <w:tcW w:w="762" w:type="pct"/>
                  <w:tcBorders>
                    <w:tl2br w:val="nil"/>
                    <w:tr2bl w:val="nil"/>
                  </w:tcBorders>
                  <w:shd w:val="clear" w:color="auto" w:fill="auto"/>
                  <w:noWrap/>
                  <w:vAlign w:val="center"/>
                </w:tcPr>
                <w:p w14:paraId="44AB6F0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SeleniaDimensions</w:t>
                  </w:r>
                </w:p>
              </w:tc>
              <w:tc>
                <w:tcPr>
                  <w:tcW w:w="1134" w:type="pct"/>
                  <w:tcBorders>
                    <w:tl2br w:val="nil"/>
                    <w:tr2bl w:val="nil"/>
                  </w:tcBorders>
                  <w:shd w:val="clear" w:color="auto" w:fill="auto"/>
                  <w:noWrap/>
                  <w:vAlign w:val="center"/>
                </w:tcPr>
                <w:p w14:paraId="727F55A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管电压49kV管电流200mA</w:t>
                  </w:r>
                </w:p>
              </w:tc>
              <w:tc>
                <w:tcPr>
                  <w:tcW w:w="352" w:type="pct"/>
                  <w:tcBorders>
                    <w:tl2br w:val="nil"/>
                    <w:tr2bl w:val="nil"/>
                  </w:tcBorders>
                  <w:shd w:val="clear" w:color="auto" w:fill="FFFFFF"/>
                  <w:noWrap/>
                  <w:vAlign w:val="center"/>
                </w:tcPr>
                <w:p w14:paraId="244D234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3D2DF7C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80" w:hRule="atLeast"/>
                <w:jc w:val="center"/>
              </w:trPr>
              <w:tc>
                <w:tcPr>
                  <w:tcW w:w="252" w:type="pct"/>
                  <w:tcBorders>
                    <w:tl2br w:val="nil"/>
                    <w:tr2bl w:val="nil"/>
                  </w:tcBorders>
                  <w:shd w:val="clear" w:color="auto" w:fill="auto"/>
                  <w:noWrap/>
                  <w:vAlign w:val="center"/>
                </w:tcPr>
                <w:p w14:paraId="07CF303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29</w:t>
                  </w:r>
                </w:p>
              </w:tc>
              <w:tc>
                <w:tcPr>
                  <w:tcW w:w="1141" w:type="pct"/>
                  <w:tcBorders>
                    <w:tl2br w:val="nil"/>
                    <w:tr2bl w:val="nil"/>
                  </w:tcBorders>
                  <w:shd w:val="clear" w:color="auto" w:fill="auto"/>
                  <w:noWrap/>
                  <w:vAlign w:val="center"/>
                </w:tcPr>
                <w:p w14:paraId="5E4FBDD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门诊综合楼负一层B105</w:t>
                  </w:r>
                </w:p>
              </w:tc>
              <w:tc>
                <w:tcPr>
                  <w:tcW w:w="392" w:type="pct"/>
                  <w:tcBorders>
                    <w:tl2br w:val="nil"/>
                    <w:tr2bl w:val="nil"/>
                  </w:tcBorders>
                  <w:shd w:val="clear" w:color="auto" w:fill="auto"/>
                  <w:noWrap/>
                  <w:vAlign w:val="center"/>
                </w:tcPr>
                <w:p w14:paraId="6CA9BF1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01E14B6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乳腺X射线装置</w:t>
                  </w:r>
                </w:p>
              </w:tc>
              <w:tc>
                <w:tcPr>
                  <w:tcW w:w="762" w:type="pct"/>
                  <w:tcBorders>
                    <w:tl2br w:val="nil"/>
                    <w:tr2bl w:val="nil"/>
                  </w:tcBorders>
                  <w:shd w:val="clear" w:color="auto" w:fill="auto"/>
                  <w:noWrap/>
                  <w:vAlign w:val="center"/>
                </w:tcPr>
                <w:p w14:paraId="7B0C206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MAMMOMATRevelation</w:t>
                  </w:r>
                </w:p>
              </w:tc>
              <w:tc>
                <w:tcPr>
                  <w:tcW w:w="1134" w:type="pct"/>
                  <w:tcBorders>
                    <w:tl2br w:val="nil"/>
                    <w:tr2bl w:val="nil"/>
                  </w:tcBorders>
                  <w:shd w:val="clear" w:color="auto" w:fill="auto"/>
                  <w:noWrap/>
                  <w:vAlign w:val="center"/>
                </w:tcPr>
                <w:p w14:paraId="1EBF379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管电压35kV管电流188mA</w:t>
                  </w:r>
                </w:p>
              </w:tc>
              <w:tc>
                <w:tcPr>
                  <w:tcW w:w="352" w:type="pct"/>
                  <w:tcBorders>
                    <w:tl2br w:val="nil"/>
                    <w:tr2bl w:val="nil"/>
                  </w:tcBorders>
                  <w:shd w:val="clear" w:color="auto" w:fill="FFFFFF"/>
                  <w:noWrap/>
                  <w:vAlign w:val="center"/>
                </w:tcPr>
                <w:p w14:paraId="444B7E4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363833C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30" w:hRule="atLeast"/>
                <w:jc w:val="center"/>
              </w:trPr>
              <w:tc>
                <w:tcPr>
                  <w:tcW w:w="252" w:type="pct"/>
                  <w:tcBorders>
                    <w:tl2br w:val="nil"/>
                    <w:tr2bl w:val="nil"/>
                  </w:tcBorders>
                  <w:shd w:val="clear" w:color="auto" w:fill="auto"/>
                  <w:noWrap/>
                  <w:vAlign w:val="center"/>
                </w:tcPr>
                <w:p w14:paraId="4929929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30</w:t>
                  </w:r>
                </w:p>
              </w:tc>
              <w:tc>
                <w:tcPr>
                  <w:tcW w:w="1141" w:type="pct"/>
                  <w:tcBorders>
                    <w:tl2br w:val="nil"/>
                    <w:tr2bl w:val="nil"/>
                  </w:tcBorders>
                  <w:shd w:val="clear" w:color="auto" w:fill="auto"/>
                  <w:noWrap/>
                  <w:vAlign w:val="center"/>
                </w:tcPr>
                <w:p w14:paraId="55F84EE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门诊综合楼负一层B106</w:t>
                  </w:r>
                </w:p>
              </w:tc>
              <w:tc>
                <w:tcPr>
                  <w:tcW w:w="392" w:type="pct"/>
                  <w:tcBorders>
                    <w:tl2br w:val="nil"/>
                    <w:tr2bl w:val="nil"/>
                  </w:tcBorders>
                  <w:shd w:val="clear" w:color="auto" w:fill="auto"/>
                  <w:noWrap/>
                  <w:vAlign w:val="center"/>
                </w:tcPr>
                <w:p w14:paraId="7230A3B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78CDB2E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胃肠X射线机</w:t>
                  </w:r>
                </w:p>
              </w:tc>
              <w:tc>
                <w:tcPr>
                  <w:tcW w:w="762" w:type="pct"/>
                  <w:tcBorders>
                    <w:tl2br w:val="nil"/>
                    <w:tr2bl w:val="nil"/>
                  </w:tcBorders>
                  <w:shd w:val="clear" w:color="auto" w:fill="auto"/>
                  <w:noWrap/>
                  <w:vAlign w:val="center"/>
                </w:tcPr>
                <w:p w14:paraId="6CA6163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OPERAFP</w:t>
                  </w:r>
                </w:p>
              </w:tc>
              <w:tc>
                <w:tcPr>
                  <w:tcW w:w="1134" w:type="pct"/>
                  <w:tcBorders>
                    <w:tl2br w:val="nil"/>
                    <w:tr2bl w:val="nil"/>
                  </w:tcBorders>
                  <w:shd w:val="clear" w:color="auto" w:fill="auto"/>
                  <w:noWrap/>
                  <w:vAlign w:val="center"/>
                </w:tcPr>
                <w:p w14:paraId="3A4FE33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管电压150kV管电流500mA</w:t>
                  </w:r>
                </w:p>
              </w:tc>
              <w:tc>
                <w:tcPr>
                  <w:tcW w:w="352" w:type="pct"/>
                  <w:tcBorders>
                    <w:tl2br w:val="nil"/>
                    <w:tr2bl w:val="nil"/>
                  </w:tcBorders>
                  <w:shd w:val="clear" w:color="auto" w:fill="FFFFFF"/>
                  <w:noWrap/>
                  <w:vAlign w:val="center"/>
                </w:tcPr>
                <w:p w14:paraId="1365CFC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7D91C4F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30" w:hRule="atLeast"/>
                <w:jc w:val="center"/>
              </w:trPr>
              <w:tc>
                <w:tcPr>
                  <w:tcW w:w="252" w:type="pct"/>
                  <w:tcBorders>
                    <w:tl2br w:val="nil"/>
                    <w:tr2bl w:val="nil"/>
                  </w:tcBorders>
                  <w:shd w:val="clear" w:color="auto" w:fill="auto"/>
                  <w:noWrap/>
                  <w:vAlign w:val="center"/>
                </w:tcPr>
                <w:p w14:paraId="7EEA48C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31</w:t>
                  </w:r>
                </w:p>
              </w:tc>
              <w:tc>
                <w:tcPr>
                  <w:tcW w:w="1141" w:type="pct"/>
                  <w:vMerge w:val="restart"/>
                  <w:tcBorders>
                    <w:tl2br w:val="nil"/>
                    <w:tr2bl w:val="nil"/>
                  </w:tcBorders>
                  <w:shd w:val="clear" w:color="auto" w:fill="auto"/>
                  <w:noWrap/>
                  <w:vAlign w:val="center"/>
                </w:tcPr>
                <w:p w14:paraId="3CE7283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门诊综合楼负一层B132</w:t>
                  </w:r>
                </w:p>
              </w:tc>
              <w:tc>
                <w:tcPr>
                  <w:tcW w:w="392" w:type="pct"/>
                  <w:tcBorders>
                    <w:tl2br w:val="nil"/>
                    <w:tr2bl w:val="nil"/>
                  </w:tcBorders>
                  <w:shd w:val="clear" w:color="auto" w:fill="auto"/>
                  <w:noWrap/>
                  <w:vAlign w:val="center"/>
                </w:tcPr>
                <w:p w14:paraId="2F7761F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5ABCFE5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X射线骨密度仪</w:t>
                  </w:r>
                </w:p>
              </w:tc>
              <w:tc>
                <w:tcPr>
                  <w:tcW w:w="762" w:type="pct"/>
                  <w:tcBorders>
                    <w:tl2br w:val="nil"/>
                    <w:tr2bl w:val="nil"/>
                  </w:tcBorders>
                  <w:shd w:val="clear" w:color="auto" w:fill="auto"/>
                  <w:noWrap/>
                  <w:vAlign w:val="center"/>
                </w:tcPr>
                <w:p w14:paraId="7284BFE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KD-GRAND</w:t>
                  </w:r>
                </w:p>
              </w:tc>
              <w:tc>
                <w:tcPr>
                  <w:tcW w:w="1134" w:type="pct"/>
                  <w:tcBorders>
                    <w:tl2br w:val="nil"/>
                    <w:tr2bl w:val="nil"/>
                  </w:tcBorders>
                  <w:shd w:val="clear" w:color="auto" w:fill="auto"/>
                  <w:noWrap/>
                  <w:vAlign w:val="center"/>
                </w:tcPr>
                <w:p w14:paraId="028F4F3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管电压76kV管电流1mA</w:t>
                  </w:r>
                </w:p>
              </w:tc>
              <w:tc>
                <w:tcPr>
                  <w:tcW w:w="352" w:type="pct"/>
                  <w:tcBorders>
                    <w:tl2br w:val="nil"/>
                    <w:tr2bl w:val="nil"/>
                  </w:tcBorders>
                  <w:shd w:val="clear" w:color="auto" w:fill="FFFFFF"/>
                  <w:noWrap/>
                  <w:vAlign w:val="center"/>
                </w:tcPr>
                <w:p w14:paraId="4D120B6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3C8BFCD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30" w:hRule="atLeast"/>
                <w:jc w:val="center"/>
              </w:trPr>
              <w:tc>
                <w:tcPr>
                  <w:tcW w:w="252" w:type="pct"/>
                  <w:vMerge w:val="restart"/>
                  <w:tcBorders>
                    <w:tl2br w:val="nil"/>
                    <w:tr2bl w:val="nil"/>
                  </w:tcBorders>
                  <w:shd w:val="clear" w:color="auto" w:fill="auto"/>
                  <w:noWrap/>
                  <w:vAlign w:val="center"/>
                </w:tcPr>
                <w:p w14:paraId="7213431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32</w:t>
                  </w:r>
                </w:p>
              </w:tc>
              <w:tc>
                <w:tcPr>
                  <w:tcW w:w="1141" w:type="pct"/>
                  <w:vMerge w:val="continue"/>
                  <w:tcBorders>
                    <w:tl2br w:val="nil"/>
                    <w:tr2bl w:val="nil"/>
                  </w:tcBorders>
                  <w:shd w:val="clear" w:color="auto" w:fill="auto"/>
                  <w:noWrap/>
                  <w:vAlign w:val="center"/>
                </w:tcPr>
                <w:p w14:paraId="0B50B9E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p>
              </w:tc>
              <w:tc>
                <w:tcPr>
                  <w:tcW w:w="392" w:type="pct"/>
                  <w:vMerge w:val="restart"/>
                  <w:tcBorders>
                    <w:tl2br w:val="nil"/>
                    <w:tr2bl w:val="nil"/>
                  </w:tcBorders>
                  <w:shd w:val="clear" w:color="auto" w:fill="auto"/>
                  <w:noWrap/>
                  <w:vAlign w:val="center"/>
                </w:tcPr>
                <w:p w14:paraId="2EADB18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203683F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床旁X射线摄影装置</w:t>
                  </w:r>
                </w:p>
              </w:tc>
              <w:tc>
                <w:tcPr>
                  <w:tcW w:w="762" w:type="pct"/>
                  <w:tcBorders>
                    <w:tl2br w:val="nil"/>
                    <w:tr2bl w:val="nil"/>
                  </w:tcBorders>
                  <w:shd w:val="clear" w:color="auto" w:fill="auto"/>
                  <w:noWrap/>
                  <w:vAlign w:val="center"/>
                </w:tcPr>
                <w:p w14:paraId="20CC60F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MobilettMiraMax</w:t>
                  </w:r>
                </w:p>
              </w:tc>
              <w:tc>
                <w:tcPr>
                  <w:tcW w:w="1134" w:type="pct"/>
                  <w:tcBorders>
                    <w:tl2br w:val="nil"/>
                    <w:tr2bl w:val="nil"/>
                  </w:tcBorders>
                  <w:shd w:val="clear" w:color="auto" w:fill="auto"/>
                  <w:noWrap/>
                  <w:vAlign w:val="center"/>
                </w:tcPr>
                <w:p w14:paraId="14911BF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管电压133kV管电流450mA</w:t>
                  </w:r>
                </w:p>
              </w:tc>
              <w:tc>
                <w:tcPr>
                  <w:tcW w:w="352" w:type="pct"/>
                  <w:tcBorders>
                    <w:tl2br w:val="nil"/>
                    <w:tr2bl w:val="nil"/>
                  </w:tcBorders>
                  <w:shd w:val="clear" w:color="auto" w:fill="FFFFFF"/>
                  <w:noWrap/>
                  <w:vAlign w:val="center"/>
                </w:tcPr>
                <w:p w14:paraId="718B069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73E1288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30" w:hRule="atLeast"/>
                <w:jc w:val="center"/>
              </w:trPr>
              <w:tc>
                <w:tcPr>
                  <w:tcW w:w="252" w:type="pct"/>
                  <w:vMerge w:val="continue"/>
                  <w:tcBorders>
                    <w:tl2br w:val="nil"/>
                    <w:tr2bl w:val="nil"/>
                  </w:tcBorders>
                  <w:shd w:val="clear" w:color="auto" w:fill="auto"/>
                  <w:noWrap/>
                  <w:vAlign w:val="center"/>
                </w:tcPr>
                <w:p w14:paraId="7B4BBC3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p>
              </w:tc>
              <w:tc>
                <w:tcPr>
                  <w:tcW w:w="1141" w:type="pct"/>
                  <w:vMerge w:val="continue"/>
                  <w:tcBorders>
                    <w:tl2br w:val="nil"/>
                    <w:tr2bl w:val="nil"/>
                  </w:tcBorders>
                  <w:shd w:val="clear" w:color="auto" w:fill="auto"/>
                  <w:noWrap/>
                  <w:vAlign w:val="center"/>
                </w:tcPr>
                <w:p w14:paraId="39A19EB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p>
              </w:tc>
              <w:tc>
                <w:tcPr>
                  <w:tcW w:w="392" w:type="pct"/>
                  <w:vMerge w:val="continue"/>
                  <w:tcBorders>
                    <w:tl2br w:val="nil"/>
                    <w:tr2bl w:val="nil"/>
                  </w:tcBorders>
                  <w:shd w:val="clear" w:color="auto" w:fill="auto"/>
                  <w:noWrap/>
                  <w:vAlign w:val="center"/>
                </w:tcPr>
                <w:p w14:paraId="28CF872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p>
              </w:tc>
              <w:tc>
                <w:tcPr>
                  <w:tcW w:w="962" w:type="pct"/>
                  <w:tcBorders>
                    <w:tl2br w:val="nil"/>
                    <w:tr2bl w:val="nil"/>
                  </w:tcBorders>
                  <w:shd w:val="clear" w:color="auto" w:fill="auto"/>
                  <w:noWrap/>
                  <w:vAlign w:val="center"/>
                </w:tcPr>
                <w:p w14:paraId="33B0DE2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床旁X射线摄影装置</w:t>
                  </w:r>
                </w:p>
              </w:tc>
              <w:tc>
                <w:tcPr>
                  <w:tcW w:w="762" w:type="pct"/>
                  <w:tcBorders>
                    <w:tl2br w:val="nil"/>
                    <w:tr2bl w:val="nil"/>
                  </w:tcBorders>
                  <w:shd w:val="clear" w:color="auto" w:fill="auto"/>
                  <w:noWrap/>
                  <w:vAlign w:val="center"/>
                </w:tcPr>
                <w:p w14:paraId="6038238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SM50HF-B-C</w:t>
                  </w:r>
                </w:p>
              </w:tc>
              <w:tc>
                <w:tcPr>
                  <w:tcW w:w="1134" w:type="pct"/>
                  <w:tcBorders>
                    <w:tl2br w:val="nil"/>
                    <w:tr2bl w:val="nil"/>
                  </w:tcBorders>
                  <w:shd w:val="clear" w:color="auto" w:fill="auto"/>
                  <w:noWrap/>
                  <w:vAlign w:val="center"/>
                </w:tcPr>
                <w:p w14:paraId="57ED40B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管电压150kV管电流640mA</w:t>
                  </w:r>
                </w:p>
              </w:tc>
              <w:tc>
                <w:tcPr>
                  <w:tcW w:w="352" w:type="pct"/>
                  <w:tcBorders>
                    <w:tl2br w:val="nil"/>
                    <w:tr2bl w:val="nil"/>
                  </w:tcBorders>
                  <w:shd w:val="clear" w:color="auto" w:fill="FFFFFF"/>
                  <w:noWrap/>
                  <w:vAlign w:val="center"/>
                </w:tcPr>
                <w:p w14:paraId="6EAB988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1C24357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1C74B02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33</w:t>
                  </w:r>
                </w:p>
              </w:tc>
              <w:tc>
                <w:tcPr>
                  <w:tcW w:w="1141" w:type="pct"/>
                  <w:tcBorders>
                    <w:tl2br w:val="nil"/>
                    <w:tr2bl w:val="nil"/>
                  </w:tcBorders>
                  <w:shd w:val="clear" w:color="auto" w:fill="auto"/>
                  <w:noWrap/>
                  <w:vAlign w:val="center"/>
                </w:tcPr>
                <w:p w14:paraId="0474304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门诊综合楼负一层CT1室</w:t>
                  </w:r>
                </w:p>
              </w:tc>
              <w:tc>
                <w:tcPr>
                  <w:tcW w:w="392" w:type="pct"/>
                  <w:tcBorders>
                    <w:tl2br w:val="nil"/>
                    <w:tr2bl w:val="nil"/>
                  </w:tcBorders>
                  <w:shd w:val="clear" w:color="auto" w:fill="auto"/>
                  <w:noWrap/>
                  <w:vAlign w:val="center"/>
                </w:tcPr>
                <w:p w14:paraId="16DB20F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4C4BF2B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全身X射线计算机断层扫描系统</w:t>
                  </w:r>
                </w:p>
              </w:tc>
              <w:tc>
                <w:tcPr>
                  <w:tcW w:w="762" w:type="pct"/>
                  <w:tcBorders>
                    <w:tl2br w:val="nil"/>
                    <w:tr2bl w:val="nil"/>
                  </w:tcBorders>
                  <w:shd w:val="clear" w:color="auto" w:fill="auto"/>
                  <w:noWrap/>
                  <w:vAlign w:val="center"/>
                </w:tcPr>
                <w:p w14:paraId="0973386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SOMATOMDrive</w:t>
                  </w:r>
                </w:p>
              </w:tc>
              <w:tc>
                <w:tcPr>
                  <w:tcW w:w="1134" w:type="pct"/>
                  <w:tcBorders>
                    <w:tl2br w:val="nil"/>
                    <w:tr2bl w:val="nil"/>
                  </w:tcBorders>
                  <w:shd w:val="clear" w:color="auto" w:fill="auto"/>
                  <w:noWrap/>
                  <w:vAlign w:val="center"/>
                </w:tcPr>
                <w:p w14:paraId="0762BC4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管电压150kV管电流800mA</w:t>
                  </w:r>
                </w:p>
              </w:tc>
              <w:tc>
                <w:tcPr>
                  <w:tcW w:w="352" w:type="pct"/>
                  <w:tcBorders>
                    <w:tl2br w:val="nil"/>
                    <w:tr2bl w:val="nil"/>
                  </w:tcBorders>
                  <w:shd w:val="clear" w:color="auto" w:fill="FFFFFF"/>
                  <w:noWrap/>
                  <w:vAlign w:val="center"/>
                </w:tcPr>
                <w:p w14:paraId="32353AE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4D75C66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60005C8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34</w:t>
                  </w:r>
                </w:p>
              </w:tc>
              <w:tc>
                <w:tcPr>
                  <w:tcW w:w="1141" w:type="pct"/>
                  <w:tcBorders>
                    <w:tl2br w:val="nil"/>
                    <w:tr2bl w:val="nil"/>
                  </w:tcBorders>
                  <w:shd w:val="clear" w:color="auto" w:fill="auto"/>
                  <w:noWrap/>
                  <w:vAlign w:val="center"/>
                </w:tcPr>
                <w:p w14:paraId="2314A55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门诊综合楼负一层CT2室</w:t>
                  </w:r>
                </w:p>
              </w:tc>
              <w:tc>
                <w:tcPr>
                  <w:tcW w:w="392" w:type="pct"/>
                  <w:tcBorders>
                    <w:tl2br w:val="nil"/>
                    <w:tr2bl w:val="nil"/>
                  </w:tcBorders>
                  <w:shd w:val="clear" w:color="auto" w:fill="auto"/>
                  <w:noWrap/>
                  <w:vAlign w:val="center"/>
                </w:tcPr>
                <w:p w14:paraId="6881ABF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4F1B5E6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X射线计算机体层摄影设备（CT）</w:t>
                  </w:r>
                </w:p>
              </w:tc>
              <w:tc>
                <w:tcPr>
                  <w:tcW w:w="762" w:type="pct"/>
                  <w:tcBorders>
                    <w:tl2br w:val="nil"/>
                    <w:tr2bl w:val="nil"/>
                  </w:tcBorders>
                  <w:shd w:val="clear" w:color="auto" w:fill="auto"/>
                  <w:noWrap/>
                  <w:vAlign w:val="center"/>
                </w:tcPr>
                <w:p w14:paraId="73B4315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uCTAtlasElite</w:t>
                  </w:r>
                </w:p>
              </w:tc>
              <w:tc>
                <w:tcPr>
                  <w:tcW w:w="1134" w:type="pct"/>
                  <w:tcBorders>
                    <w:tl2br w:val="nil"/>
                    <w:tr2bl w:val="nil"/>
                  </w:tcBorders>
                  <w:shd w:val="clear" w:color="auto" w:fill="auto"/>
                  <w:noWrap/>
                  <w:vAlign w:val="center"/>
                </w:tcPr>
                <w:p w14:paraId="6007B1D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管电压140kV管电流833mA</w:t>
                  </w:r>
                </w:p>
              </w:tc>
              <w:tc>
                <w:tcPr>
                  <w:tcW w:w="352" w:type="pct"/>
                  <w:tcBorders>
                    <w:tl2br w:val="nil"/>
                    <w:tr2bl w:val="nil"/>
                  </w:tcBorders>
                  <w:shd w:val="clear" w:color="auto" w:fill="FFFFFF"/>
                  <w:noWrap/>
                  <w:vAlign w:val="center"/>
                </w:tcPr>
                <w:p w14:paraId="168D0C3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78F6EF4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3536ECA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35</w:t>
                  </w:r>
                </w:p>
              </w:tc>
              <w:tc>
                <w:tcPr>
                  <w:tcW w:w="1141" w:type="pct"/>
                  <w:tcBorders>
                    <w:tl2br w:val="nil"/>
                    <w:tr2bl w:val="nil"/>
                  </w:tcBorders>
                  <w:shd w:val="clear" w:color="auto" w:fill="auto"/>
                  <w:noWrap/>
                  <w:vAlign w:val="center"/>
                </w:tcPr>
                <w:p w14:paraId="2D4BAAE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门诊综合楼负一层CT3室</w:t>
                  </w:r>
                </w:p>
              </w:tc>
              <w:tc>
                <w:tcPr>
                  <w:tcW w:w="392" w:type="pct"/>
                  <w:tcBorders>
                    <w:tl2br w:val="nil"/>
                    <w:tr2bl w:val="nil"/>
                  </w:tcBorders>
                  <w:shd w:val="clear" w:color="auto" w:fill="auto"/>
                  <w:noWrap/>
                  <w:vAlign w:val="center"/>
                </w:tcPr>
                <w:p w14:paraId="6B6F03D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662445B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全身X射线计算机断层扫描系统</w:t>
                  </w:r>
                </w:p>
              </w:tc>
              <w:tc>
                <w:tcPr>
                  <w:tcW w:w="762" w:type="pct"/>
                  <w:tcBorders>
                    <w:tl2br w:val="nil"/>
                    <w:tr2bl w:val="nil"/>
                  </w:tcBorders>
                  <w:shd w:val="clear" w:color="auto" w:fill="auto"/>
                  <w:noWrap/>
                  <w:vAlign w:val="center"/>
                </w:tcPr>
                <w:p w14:paraId="5B1AE81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NeuViz128</w:t>
                  </w:r>
                </w:p>
              </w:tc>
              <w:tc>
                <w:tcPr>
                  <w:tcW w:w="1134" w:type="pct"/>
                  <w:tcBorders>
                    <w:tl2br w:val="nil"/>
                    <w:tr2bl w:val="nil"/>
                  </w:tcBorders>
                  <w:shd w:val="clear" w:color="auto" w:fill="auto"/>
                  <w:noWrap/>
                  <w:vAlign w:val="center"/>
                </w:tcPr>
                <w:p w14:paraId="22749A8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管电压150kV管电流1000mA</w:t>
                  </w:r>
                </w:p>
              </w:tc>
              <w:tc>
                <w:tcPr>
                  <w:tcW w:w="352" w:type="pct"/>
                  <w:tcBorders>
                    <w:tl2br w:val="nil"/>
                    <w:tr2bl w:val="nil"/>
                  </w:tcBorders>
                  <w:shd w:val="clear" w:color="auto" w:fill="FFFFFF"/>
                  <w:noWrap/>
                  <w:vAlign w:val="center"/>
                </w:tcPr>
                <w:p w14:paraId="56BC8E4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6046A0C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01A183B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36</w:t>
                  </w:r>
                </w:p>
              </w:tc>
              <w:tc>
                <w:tcPr>
                  <w:tcW w:w="1141" w:type="pct"/>
                  <w:tcBorders>
                    <w:tl2br w:val="nil"/>
                    <w:tr2bl w:val="nil"/>
                  </w:tcBorders>
                  <w:shd w:val="clear" w:color="auto" w:fill="auto"/>
                  <w:noWrap/>
                  <w:vAlign w:val="center"/>
                </w:tcPr>
                <w:p w14:paraId="40AAD46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门诊综合楼负一层CT4室</w:t>
                  </w:r>
                </w:p>
              </w:tc>
              <w:tc>
                <w:tcPr>
                  <w:tcW w:w="392" w:type="pct"/>
                  <w:tcBorders>
                    <w:tl2br w:val="nil"/>
                    <w:tr2bl w:val="nil"/>
                  </w:tcBorders>
                  <w:shd w:val="clear" w:color="auto" w:fill="auto"/>
                  <w:noWrap/>
                  <w:vAlign w:val="center"/>
                </w:tcPr>
                <w:p w14:paraId="510F141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7310831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X射线计算机体层摄影设备</w:t>
                  </w:r>
                </w:p>
              </w:tc>
              <w:tc>
                <w:tcPr>
                  <w:tcW w:w="762" w:type="pct"/>
                  <w:tcBorders>
                    <w:tl2br w:val="nil"/>
                    <w:tr2bl w:val="nil"/>
                  </w:tcBorders>
                  <w:shd w:val="clear" w:color="auto" w:fill="auto"/>
                  <w:noWrap/>
                  <w:vAlign w:val="center"/>
                </w:tcPr>
                <w:p w14:paraId="63B3CB9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uCT760</w:t>
                  </w:r>
                </w:p>
              </w:tc>
              <w:tc>
                <w:tcPr>
                  <w:tcW w:w="1134" w:type="pct"/>
                  <w:tcBorders>
                    <w:tl2br w:val="nil"/>
                    <w:tr2bl w:val="nil"/>
                  </w:tcBorders>
                  <w:shd w:val="clear" w:color="auto" w:fill="auto"/>
                  <w:noWrap/>
                  <w:vAlign w:val="center"/>
                </w:tcPr>
                <w:p w14:paraId="25A2433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管电压140kV管电流667mA</w:t>
                  </w:r>
                </w:p>
              </w:tc>
              <w:tc>
                <w:tcPr>
                  <w:tcW w:w="352" w:type="pct"/>
                  <w:tcBorders>
                    <w:tl2br w:val="nil"/>
                    <w:tr2bl w:val="nil"/>
                  </w:tcBorders>
                  <w:shd w:val="clear" w:color="auto" w:fill="FFFFFF"/>
                  <w:noWrap/>
                  <w:vAlign w:val="center"/>
                </w:tcPr>
                <w:p w14:paraId="5617705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5136528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301" w:hRule="atLeast"/>
                <w:jc w:val="center"/>
              </w:trPr>
              <w:tc>
                <w:tcPr>
                  <w:tcW w:w="252" w:type="pct"/>
                  <w:tcBorders>
                    <w:tl2br w:val="nil"/>
                    <w:tr2bl w:val="nil"/>
                  </w:tcBorders>
                  <w:shd w:val="clear" w:color="auto" w:fill="auto"/>
                  <w:noWrap/>
                  <w:vAlign w:val="center"/>
                </w:tcPr>
                <w:p w14:paraId="47BA3E6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37</w:t>
                  </w:r>
                </w:p>
              </w:tc>
              <w:tc>
                <w:tcPr>
                  <w:tcW w:w="1141" w:type="pct"/>
                  <w:tcBorders>
                    <w:tl2br w:val="nil"/>
                    <w:tr2bl w:val="nil"/>
                  </w:tcBorders>
                  <w:shd w:val="clear" w:color="auto" w:fill="auto"/>
                  <w:noWrap/>
                  <w:vAlign w:val="center"/>
                </w:tcPr>
                <w:p w14:paraId="62028B7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门诊综合楼负一层CT5室</w:t>
                  </w:r>
                </w:p>
              </w:tc>
              <w:tc>
                <w:tcPr>
                  <w:tcW w:w="392" w:type="pct"/>
                  <w:tcBorders>
                    <w:tl2br w:val="nil"/>
                    <w:tr2bl w:val="nil"/>
                  </w:tcBorders>
                  <w:shd w:val="clear" w:color="auto" w:fill="auto"/>
                  <w:noWrap/>
                  <w:vAlign w:val="center"/>
                </w:tcPr>
                <w:p w14:paraId="36ACE1F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07EB499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全身X射线计算机断层扫描系统</w:t>
                  </w:r>
                </w:p>
              </w:tc>
              <w:tc>
                <w:tcPr>
                  <w:tcW w:w="762" w:type="pct"/>
                  <w:tcBorders>
                    <w:tl2br w:val="nil"/>
                    <w:tr2bl w:val="nil"/>
                  </w:tcBorders>
                  <w:shd w:val="clear" w:color="auto" w:fill="auto"/>
                  <w:noWrap/>
                  <w:vAlign w:val="center"/>
                </w:tcPr>
                <w:p w14:paraId="02BCDA9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MX16-slice</w:t>
                  </w:r>
                </w:p>
              </w:tc>
              <w:tc>
                <w:tcPr>
                  <w:tcW w:w="1134" w:type="pct"/>
                  <w:tcBorders>
                    <w:tl2br w:val="nil"/>
                    <w:tr2bl w:val="nil"/>
                  </w:tcBorders>
                  <w:shd w:val="clear" w:color="auto" w:fill="auto"/>
                  <w:noWrap/>
                  <w:vAlign w:val="center"/>
                </w:tcPr>
                <w:p w14:paraId="5C2B6E5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管电压140kV管电流415mA</w:t>
                  </w:r>
                </w:p>
              </w:tc>
              <w:tc>
                <w:tcPr>
                  <w:tcW w:w="352" w:type="pct"/>
                  <w:tcBorders>
                    <w:tl2br w:val="nil"/>
                    <w:tr2bl w:val="nil"/>
                  </w:tcBorders>
                  <w:shd w:val="clear" w:color="auto" w:fill="FFFFFF"/>
                  <w:noWrap/>
                  <w:vAlign w:val="center"/>
                </w:tcPr>
                <w:p w14:paraId="3ADB904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5AB8624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30" w:hRule="atLeast"/>
                <w:jc w:val="center"/>
              </w:trPr>
              <w:tc>
                <w:tcPr>
                  <w:tcW w:w="252" w:type="pct"/>
                  <w:tcBorders>
                    <w:tl2br w:val="nil"/>
                    <w:tr2bl w:val="nil"/>
                  </w:tcBorders>
                  <w:shd w:val="clear" w:color="auto" w:fill="auto"/>
                  <w:noWrap/>
                  <w:vAlign w:val="center"/>
                </w:tcPr>
                <w:p w14:paraId="1482990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38</w:t>
                  </w:r>
                </w:p>
              </w:tc>
              <w:tc>
                <w:tcPr>
                  <w:tcW w:w="1141" w:type="pct"/>
                  <w:tcBorders>
                    <w:tl2br w:val="nil"/>
                    <w:tr2bl w:val="nil"/>
                  </w:tcBorders>
                  <w:shd w:val="clear" w:color="auto" w:fill="auto"/>
                  <w:noWrap/>
                  <w:vAlign w:val="center"/>
                </w:tcPr>
                <w:p w14:paraId="4CA7AFC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外科楼三楼手术室7室</w:t>
                  </w:r>
                </w:p>
              </w:tc>
              <w:tc>
                <w:tcPr>
                  <w:tcW w:w="392" w:type="pct"/>
                  <w:tcBorders>
                    <w:tl2br w:val="nil"/>
                    <w:tr2bl w:val="nil"/>
                  </w:tcBorders>
                  <w:shd w:val="clear" w:color="auto" w:fill="auto"/>
                  <w:noWrap/>
                  <w:vAlign w:val="center"/>
                </w:tcPr>
                <w:p w14:paraId="35084A2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Ⅲ类</w:t>
                  </w:r>
                </w:p>
              </w:tc>
              <w:tc>
                <w:tcPr>
                  <w:tcW w:w="962" w:type="pct"/>
                  <w:tcBorders>
                    <w:tl2br w:val="nil"/>
                    <w:tr2bl w:val="nil"/>
                  </w:tcBorders>
                  <w:shd w:val="clear" w:color="auto" w:fill="auto"/>
                  <w:noWrap/>
                  <w:vAlign w:val="center"/>
                </w:tcPr>
                <w:p w14:paraId="3C50988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移动X射线C臂机</w:t>
                  </w:r>
                </w:p>
              </w:tc>
              <w:tc>
                <w:tcPr>
                  <w:tcW w:w="762" w:type="pct"/>
                  <w:tcBorders>
                    <w:tl2br w:val="nil"/>
                    <w:tr2bl w:val="nil"/>
                  </w:tcBorders>
                  <w:shd w:val="clear" w:color="auto" w:fill="auto"/>
                  <w:noWrap/>
                  <w:vAlign w:val="center"/>
                </w:tcPr>
                <w:p w14:paraId="3B88104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Ziehm8000</w:t>
                  </w:r>
                </w:p>
              </w:tc>
              <w:tc>
                <w:tcPr>
                  <w:tcW w:w="1134" w:type="pct"/>
                  <w:tcBorders>
                    <w:tl2br w:val="nil"/>
                    <w:tr2bl w:val="nil"/>
                  </w:tcBorders>
                  <w:shd w:val="clear" w:color="auto" w:fill="auto"/>
                  <w:noWrap/>
                  <w:vAlign w:val="center"/>
                </w:tcPr>
                <w:p w14:paraId="0B5F334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管电压120kV管电流50mA</w:t>
                  </w:r>
                </w:p>
              </w:tc>
              <w:tc>
                <w:tcPr>
                  <w:tcW w:w="352" w:type="pct"/>
                  <w:tcBorders>
                    <w:tl2br w:val="nil"/>
                    <w:tr2bl w:val="nil"/>
                  </w:tcBorders>
                  <w:shd w:val="clear" w:color="auto" w:fill="FFFFFF"/>
                  <w:noWrap/>
                  <w:vAlign w:val="center"/>
                </w:tcPr>
                <w:p w14:paraId="5129AFB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0E513E2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0" w:type="dxa"/>
                  <w:left w:w="108" w:type="dxa"/>
                  <w:bottom w:w="0" w:type="dxa"/>
                  <w:right w:w="108" w:type="dxa"/>
                </w:tblCellMar>
              </w:tblPrEx>
              <w:trPr>
                <w:trHeight w:val="284" w:hRule="atLeast"/>
                <w:jc w:val="center"/>
              </w:trPr>
              <w:tc>
                <w:tcPr>
                  <w:tcW w:w="252" w:type="pct"/>
                  <w:tcBorders>
                    <w:tl2br w:val="nil"/>
                    <w:tr2bl w:val="nil"/>
                  </w:tcBorders>
                  <w:shd w:val="clear" w:color="auto" w:fill="auto"/>
                  <w:noWrap/>
                  <w:vAlign w:val="center"/>
                </w:tcPr>
                <w:p w14:paraId="5105D22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39</w:t>
                  </w:r>
                </w:p>
              </w:tc>
              <w:tc>
                <w:tcPr>
                  <w:tcW w:w="1141" w:type="pct"/>
                  <w:tcBorders>
                    <w:tl2br w:val="nil"/>
                    <w:tr2bl w:val="nil"/>
                  </w:tcBorders>
                  <w:shd w:val="clear" w:color="auto" w:fill="auto"/>
                  <w:noWrap/>
                  <w:vAlign w:val="center"/>
                </w:tcPr>
                <w:p w14:paraId="59983DD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综合楼一层介入手术1室</w:t>
                  </w:r>
                </w:p>
              </w:tc>
              <w:tc>
                <w:tcPr>
                  <w:tcW w:w="392" w:type="pct"/>
                  <w:tcBorders>
                    <w:tl2br w:val="nil"/>
                    <w:tr2bl w:val="nil"/>
                  </w:tcBorders>
                  <w:shd w:val="clear" w:color="auto" w:fill="auto"/>
                  <w:noWrap/>
                  <w:vAlign w:val="center"/>
                </w:tcPr>
                <w:p w14:paraId="13B6273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617EB59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数字减影血管造影机</w:t>
                  </w:r>
                </w:p>
              </w:tc>
              <w:tc>
                <w:tcPr>
                  <w:tcW w:w="762" w:type="pct"/>
                  <w:tcBorders>
                    <w:tl2br w:val="nil"/>
                    <w:tr2bl w:val="nil"/>
                  </w:tcBorders>
                  <w:shd w:val="clear" w:color="auto" w:fill="auto"/>
                  <w:noWrap/>
                  <w:vAlign w:val="center"/>
                </w:tcPr>
                <w:p w14:paraId="21FEBE7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ArtisQceiling</w:t>
                  </w:r>
                </w:p>
              </w:tc>
              <w:tc>
                <w:tcPr>
                  <w:tcW w:w="1134" w:type="pct"/>
                  <w:tcBorders>
                    <w:tl2br w:val="nil"/>
                    <w:tr2bl w:val="nil"/>
                  </w:tcBorders>
                  <w:shd w:val="clear" w:color="auto" w:fill="auto"/>
                  <w:noWrap/>
                  <w:vAlign w:val="center"/>
                </w:tcPr>
                <w:p w14:paraId="6FD8AA0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管电压125kV管电流1000mA</w:t>
                  </w:r>
                </w:p>
              </w:tc>
              <w:tc>
                <w:tcPr>
                  <w:tcW w:w="352" w:type="pct"/>
                  <w:tcBorders>
                    <w:tl2br w:val="nil"/>
                    <w:tr2bl w:val="nil"/>
                  </w:tcBorders>
                  <w:shd w:val="clear" w:color="auto" w:fill="FFFFFF"/>
                  <w:noWrap/>
                  <w:vAlign w:val="center"/>
                </w:tcPr>
                <w:p w14:paraId="54ADBDD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r w14:paraId="46EDF09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07" w:hRule="atLeast"/>
                <w:jc w:val="center"/>
              </w:trPr>
              <w:tc>
                <w:tcPr>
                  <w:tcW w:w="252" w:type="pct"/>
                  <w:tcBorders>
                    <w:tl2br w:val="nil"/>
                    <w:tr2bl w:val="nil"/>
                  </w:tcBorders>
                  <w:shd w:val="clear" w:color="auto" w:fill="auto"/>
                  <w:noWrap/>
                  <w:vAlign w:val="center"/>
                </w:tcPr>
                <w:p w14:paraId="5C7F28A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40</w:t>
                  </w:r>
                </w:p>
              </w:tc>
              <w:tc>
                <w:tcPr>
                  <w:tcW w:w="1141" w:type="pct"/>
                  <w:tcBorders>
                    <w:tl2br w:val="nil"/>
                    <w:tr2bl w:val="nil"/>
                  </w:tcBorders>
                  <w:shd w:val="clear" w:color="auto" w:fill="auto"/>
                  <w:noWrap/>
                  <w:vAlign w:val="center"/>
                </w:tcPr>
                <w:p w14:paraId="4618076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综合楼一层介入手术2室</w:t>
                  </w:r>
                </w:p>
              </w:tc>
              <w:tc>
                <w:tcPr>
                  <w:tcW w:w="392" w:type="pct"/>
                  <w:tcBorders>
                    <w:tl2br w:val="nil"/>
                    <w:tr2bl w:val="nil"/>
                  </w:tcBorders>
                  <w:shd w:val="clear" w:color="auto" w:fill="auto"/>
                  <w:noWrap/>
                  <w:vAlign w:val="center"/>
                </w:tcPr>
                <w:p w14:paraId="0D379F9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Ⅱ类</w:t>
                  </w:r>
                </w:p>
              </w:tc>
              <w:tc>
                <w:tcPr>
                  <w:tcW w:w="962" w:type="pct"/>
                  <w:tcBorders>
                    <w:tl2br w:val="nil"/>
                    <w:tr2bl w:val="nil"/>
                  </w:tcBorders>
                  <w:shd w:val="clear" w:color="auto" w:fill="auto"/>
                  <w:noWrap/>
                  <w:vAlign w:val="center"/>
                </w:tcPr>
                <w:p w14:paraId="17643B9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血管造影用X射线装置</w:t>
                  </w:r>
                </w:p>
              </w:tc>
              <w:tc>
                <w:tcPr>
                  <w:tcW w:w="762" w:type="pct"/>
                  <w:tcBorders>
                    <w:tl2br w:val="nil"/>
                    <w:tr2bl w:val="nil"/>
                  </w:tcBorders>
                  <w:shd w:val="clear" w:color="auto" w:fill="auto"/>
                  <w:noWrap/>
                  <w:vAlign w:val="center"/>
                </w:tcPr>
                <w:p w14:paraId="3FC9281F">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AlphenixINFX-9000V</w:t>
                  </w:r>
                </w:p>
              </w:tc>
              <w:tc>
                <w:tcPr>
                  <w:tcW w:w="1134" w:type="pct"/>
                  <w:tcBorders>
                    <w:tl2br w:val="nil"/>
                    <w:tr2bl w:val="nil"/>
                  </w:tcBorders>
                  <w:shd w:val="clear" w:color="auto" w:fill="auto"/>
                  <w:noWrap/>
                  <w:vAlign w:val="center"/>
                </w:tcPr>
                <w:p w14:paraId="52920C9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管电压125kV管电流1000mA</w:t>
                  </w:r>
                </w:p>
              </w:tc>
              <w:tc>
                <w:tcPr>
                  <w:tcW w:w="352" w:type="pct"/>
                  <w:tcBorders>
                    <w:tl2br w:val="nil"/>
                    <w:tr2bl w:val="nil"/>
                  </w:tcBorders>
                  <w:shd w:val="clear" w:color="auto" w:fill="FFFFFF"/>
                  <w:noWrap/>
                  <w:vAlign w:val="center"/>
                </w:tcPr>
                <w:p w14:paraId="4E73752C">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15"/>
                      <w:szCs w:val="13"/>
                      <w:highlight w:val="none"/>
                      <w:lang w:val="en-US" w:eastAsia="zh-CN"/>
                    </w:rPr>
                  </w:pPr>
                  <w:r>
                    <w:rPr>
                      <w:rFonts w:hint="default" w:ascii="Times New Roman" w:hAnsi="Times New Roman" w:cs="Times New Roman"/>
                      <w:color w:val="auto"/>
                      <w:sz w:val="15"/>
                      <w:szCs w:val="13"/>
                      <w:highlight w:val="none"/>
                      <w:lang w:val="en-US" w:eastAsia="zh-CN"/>
                    </w:rPr>
                    <w:t>1</w:t>
                  </w:r>
                </w:p>
              </w:tc>
            </w:tr>
          </w:tbl>
          <w:p w14:paraId="52051088">
            <w:pPr>
              <w:pStyle w:val="32"/>
              <w:keepNext w:val="0"/>
              <w:keepLines w:val="0"/>
              <w:suppressLineNumbers w:val="0"/>
              <w:spacing w:before="0" w:beforeLines="50" w:beforeAutospacing="0" w:after="0" w:afterLines="0" w:afterAutospacing="0" w:line="360" w:lineRule="auto"/>
              <w:ind w:left="0" w:right="120" w:rightChars="50" w:firstLine="482" w:firstLineChars="200"/>
              <w:jc w:val="center"/>
              <w:rPr>
                <w:rFonts w:hint="default" w:ascii="Times New Roman" w:hAnsi="Times New Roman" w:eastAsia="宋体" w:cs="Times New Roman"/>
                <w:b/>
                <w:color w:val="auto"/>
                <w:sz w:val="24"/>
                <w:szCs w:val="21"/>
                <w:highlight w:val="none"/>
                <w:lang w:val="en-US" w:eastAsia="zh-CN"/>
              </w:rPr>
            </w:pPr>
            <w:r>
              <w:rPr>
                <w:rFonts w:hint="eastAsia" w:cs="Times New Roman"/>
                <w:b/>
                <w:color w:val="auto"/>
                <w:sz w:val="24"/>
                <w:szCs w:val="21"/>
                <w:highlight w:val="none"/>
                <w:lang w:val="en-US" w:eastAsia="zh-CN"/>
              </w:rPr>
              <w:t>表1-14  本项目依托工程概况</w:t>
            </w:r>
          </w:p>
          <w:tbl>
            <w:tblPr>
              <w:tblStyle w:val="30"/>
              <w:tblW w:w="873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60"/>
              <w:gridCol w:w="878"/>
              <w:gridCol w:w="1036"/>
              <w:gridCol w:w="5566"/>
              <w:gridCol w:w="799"/>
            </w:tblGrid>
            <w:tr w14:paraId="30EC08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81" w:hRule="atLeast"/>
                <w:tblHeader/>
                <w:jc w:val="center"/>
              </w:trPr>
              <w:tc>
                <w:tcPr>
                  <w:tcW w:w="1338" w:type="dxa"/>
                  <w:gridSpan w:val="2"/>
                  <w:tcBorders>
                    <w:tl2br w:val="nil"/>
                    <w:tr2bl w:val="nil"/>
                  </w:tcBorders>
                  <w:vAlign w:val="center"/>
                </w:tcPr>
                <w:p w14:paraId="51E18E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工程类别</w:t>
                  </w:r>
                </w:p>
              </w:tc>
              <w:tc>
                <w:tcPr>
                  <w:tcW w:w="1036" w:type="dxa"/>
                  <w:tcBorders>
                    <w:tl2br w:val="nil"/>
                    <w:tr2bl w:val="nil"/>
                  </w:tcBorders>
                  <w:vAlign w:val="center"/>
                </w:tcPr>
                <w:p w14:paraId="55C3A5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单项工程名称</w:t>
                  </w:r>
                </w:p>
              </w:tc>
              <w:tc>
                <w:tcPr>
                  <w:tcW w:w="5566" w:type="dxa"/>
                  <w:tcBorders>
                    <w:tl2br w:val="nil"/>
                    <w:tr2bl w:val="nil"/>
                  </w:tcBorders>
                  <w:vAlign w:val="center"/>
                </w:tcPr>
                <w:p w14:paraId="13F840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工程建设内容</w:t>
                  </w:r>
                </w:p>
              </w:tc>
              <w:tc>
                <w:tcPr>
                  <w:tcW w:w="799" w:type="dxa"/>
                  <w:tcBorders>
                    <w:tl2br w:val="nil"/>
                    <w:tr2bl w:val="nil"/>
                  </w:tcBorders>
                  <w:vAlign w:val="center"/>
                </w:tcPr>
                <w:p w14:paraId="699B29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备注</w:t>
                  </w:r>
                </w:p>
              </w:tc>
            </w:tr>
            <w:tr w14:paraId="6F4648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05" w:hRule="atLeast"/>
                <w:jc w:val="center"/>
              </w:trPr>
              <w:tc>
                <w:tcPr>
                  <w:tcW w:w="460" w:type="dxa"/>
                  <w:vMerge w:val="restart"/>
                  <w:tcBorders>
                    <w:tl2br w:val="nil"/>
                    <w:tr2bl w:val="nil"/>
                  </w:tcBorders>
                  <w:vAlign w:val="center"/>
                </w:tcPr>
                <w:p w14:paraId="384B7F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主体工程</w:t>
                  </w:r>
                </w:p>
              </w:tc>
              <w:tc>
                <w:tcPr>
                  <w:tcW w:w="878" w:type="dxa"/>
                  <w:vMerge w:val="restart"/>
                  <w:tcBorders>
                    <w:tl2br w:val="nil"/>
                    <w:tr2bl w:val="nil"/>
                  </w:tcBorders>
                  <w:vAlign w:val="center"/>
                </w:tcPr>
                <w:p w14:paraId="63A3A0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cs="Times New Roman"/>
                      <w:color w:val="auto"/>
                      <w:spacing w:val="-1"/>
                      <w:kern w:val="2"/>
                      <w:sz w:val="21"/>
                      <w:szCs w:val="21"/>
                      <w:highlight w:val="none"/>
                      <w:vertAlign w:val="baseline"/>
                      <w:lang w:val="en-US" w:eastAsia="zh-CN" w:bidi="ar-SA"/>
                    </w:rPr>
                    <w:t>北院区核医学楼</w:t>
                  </w:r>
                </w:p>
              </w:tc>
              <w:tc>
                <w:tcPr>
                  <w:tcW w:w="1036" w:type="dxa"/>
                  <w:tcBorders>
                    <w:tl2br w:val="nil"/>
                    <w:tr2bl w:val="nil"/>
                  </w:tcBorders>
                  <w:vAlign w:val="center"/>
                </w:tcPr>
                <w:p w14:paraId="42E08D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地下三层</w:t>
                  </w:r>
                </w:p>
              </w:tc>
              <w:tc>
                <w:tcPr>
                  <w:tcW w:w="5566" w:type="dxa"/>
                  <w:tcBorders>
                    <w:tl2br w:val="nil"/>
                    <w:tr2bl w:val="nil"/>
                  </w:tcBorders>
                  <w:vAlign w:val="center"/>
                </w:tcPr>
                <w:p w14:paraId="5D25EE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eastAsia"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设置2套衰变池系统，一套储存长半衰期废水（8个114m</w:t>
                  </w:r>
                  <w:r>
                    <w:rPr>
                      <w:rFonts w:hint="default" w:ascii="Times New Roman" w:hAnsi="Times New Roman" w:eastAsia="宋体" w:cs="Times New Roman"/>
                      <w:color w:val="auto"/>
                      <w:spacing w:val="-1"/>
                      <w:kern w:val="2"/>
                      <w:sz w:val="21"/>
                      <w:szCs w:val="21"/>
                      <w:highlight w:val="none"/>
                      <w:vertAlign w:val="superscript"/>
                      <w:lang w:val="en-US" w:eastAsia="en-US" w:bidi="ar-SA"/>
                    </w:rPr>
                    <w:t>3</w:t>
                  </w:r>
                  <w:r>
                    <w:rPr>
                      <w:rFonts w:hint="default" w:ascii="Times New Roman" w:hAnsi="Times New Roman" w:eastAsia="宋体" w:cs="Times New Roman"/>
                      <w:color w:val="auto"/>
                      <w:spacing w:val="-1"/>
                      <w:kern w:val="2"/>
                      <w:sz w:val="21"/>
                      <w:szCs w:val="21"/>
                      <w:highlight w:val="none"/>
                      <w:vertAlign w:val="baseline"/>
                      <w:lang w:val="en-US" w:eastAsia="en-US" w:bidi="ar-SA"/>
                    </w:rPr>
                    <w:t>集水池+2个40m</w:t>
                  </w:r>
                  <w:r>
                    <w:rPr>
                      <w:rFonts w:hint="default" w:ascii="Times New Roman" w:hAnsi="Times New Roman" w:eastAsia="宋体" w:cs="Times New Roman"/>
                      <w:color w:val="auto"/>
                      <w:spacing w:val="-1"/>
                      <w:kern w:val="2"/>
                      <w:sz w:val="21"/>
                      <w:szCs w:val="21"/>
                      <w:highlight w:val="none"/>
                      <w:vertAlign w:val="superscript"/>
                      <w:lang w:val="en-US" w:eastAsia="en-US" w:bidi="ar-SA"/>
                    </w:rPr>
                    <w:t>3</w:t>
                  </w:r>
                  <w:r>
                    <w:rPr>
                      <w:rFonts w:hint="default" w:ascii="Times New Roman" w:hAnsi="Times New Roman" w:eastAsia="宋体" w:cs="Times New Roman"/>
                      <w:color w:val="auto"/>
                      <w:spacing w:val="-1"/>
                      <w:kern w:val="2"/>
                      <w:sz w:val="21"/>
                      <w:szCs w:val="21"/>
                      <w:highlight w:val="none"/>
                      <w:vertAlign w:val="baseline"/>
                      <w:lang w:val="en-US" w:eastAsia="en-US" w:bidi="ar-SA"/>
                    </w:rPr>
                    <w:t>沉淀池），一套储存短半衰期废水（3个60m</w:t>
                  </w:r>
                  <w:r>
                    <w:rPr>
                      <w:rFonts w:hint="default" w:ascii="Times New Roman" w:hAnsi="Times New Roman" w:eastAsia="宋体" w:cs="Times New Roman"/>
                      <w:color w:val="auto"/>
                      <w:spacing w:val="-1"/>
                      <w:kern w:val="2"/>
                      <w:sz w:val="21"/>
                      <w:szCs w:val="21"/>
                      <w:highlight w:val="none"/>
                      <w:vertAlign w:val="superscript"/>
                      <w:lang w:val="en-US" w:eastAsia="en-US" w:bidi="ar-SA"/>
                    </w:rPr>
                    <w:t>3</w:t>
                  </w:r>
                  <w:r>
                    <w:rPr>
                      <w:rFonts w:hint="default" w:ascii="Times New Roman" w:hAnsi="Times New Roman" w:eastAsia="宋体" w:cs="Times New Roman"/>
                      <w:color w:val="auto"/>
                      <w:spacing w:val="-1"/>
                      <w:kern w:val="2"/>
                      <w:sz w:val="21"/>
                      <w:szCs w:val="21"/>
                      <w:highlight w:val="none"/>
                      <w:vertAlign w:val="baseline"/>
                      <w:lang w:val="en-US" w:eastAsia="en-US" w:bidi="ar-SA"/>
                    </w:rPr>
                    <w:t>集水池+2个30m</w:t>
                  </w:r>
                  <w:r>
                    <w:rPr>
                      <w:rFonts w:hint="default" w:ascii="Times New Roman" w:hAnsi="Times New Roman" w:eastAsia="宋体" w:cs="Times New Roman"/>
                      <w:color w:val="auto"/>
                      <w:spacing w:val="-1"/>
                      <w:kern w:val="2"/>
                      <w:sz w:val="21"/>
                      <w:szCs w:val="21"/>
                      <w:highlight w:val="none"/>
                      <w:vertAlign w:val="superscript"/>
                      <w:lang w:val="en-US" w:eastAsia="en-US" w:bidi="ar-SA"/>
                    </w:rPr>
                    <w:t>3</w:t>
                  </w:r>
                  <w:r>
                    <w:rPr>
                      <w:rFonts w:hint="default" w:ascii="Times New Roman" w:hAnsi="Times New Roman" w:eastAsia="宋体" w:cs="Times New Roman"/>
                      <w:color w:val="auto"/>
                      <w:spacing w:val="-1"/>
                      <w:kern w:val="2"/>
                      <w:sz w:val="21"/>
                      <w:szCs w:val="21"/>
                      <w:highlight w:val="none"/>
                      <w:vertAlign w:val="baseline"/>
                      <w:lang w:val="en-US" w:eastAsia="en-US" w:bidi="ar-SA"/>
                    </w:rPr>
                    <w:t>沉淀池）。单个长半衰期衰变池规格（长×宽×高）为7.50m×5.60m×2.85m，单个衰变池的有效容积114m</w:t>
                  </w:r>
                  <w:r>
                    <w:rPr>
                      <w:rFonts w:hint="default" w:ascii="Times New Roman" w:hAnsi="Times New Roman" w:eastAsia="宋体" w:cs="Times New Roman"/>
                      <w:color w:val="auto"/>
                      <w:spacing w:val="-1"/>
                      <w:kern w:val="2"/>
                      <w:sz w:val="21"/>
                      <w:szCs w:val="21"/>
                      <w:highlight w:val="none"/>
                      <w:vertAlign w:val="superscript"/>
                      <w:lang w:val="en-US" w:eastAsia="en-US" w:bidi="ar-SA"/>
                    </w:rPr>
                    <w:t>3</w:t>
                  </w:r>
                  <w:r>
                    <w:rPr>
                      <w:rFonts w:hint="default" w:ascii="Times New Roman" w:hAnsi="Times New Roman" w:eastAsia="宋体" w:cs="Times New Roman"/>
                      <w:color w:val="auto"/>
                      <w:spacing w:val="-1"/>
                      <w:kern w:val="2"/>
                      <w:sz w:val="21"/>
                      <w:szCs w:val="21"/>
                      <w:highlight w:val="none"/>
                      <w:vertAlign w:val="baseline"/>
                      <w:lang w:val="en-US" w:eastAsia="en-US" w:bidi="ar-SA"/>
                    </w:rPr>
                    <w:t>，单个短半衰期衰变池规格（长×宽×高）为8.00m×3.50m×2.10m，单个衰变池的有效容积60m</w:t>
                  </w:r>
                  <w:r>
                    <w:rPr>
                      <w:rFonts w:hint="default" w:ascii="Times New Roman" w:hAnsi="Times New Roman" w:eastAsia="宋体" w:cs="Times New Roman"/>
                      <w:color w:val="auto"/>
                      <w:spacing w:val="-1"/>
                      <w:kern w:val="2"/>
                      <w:sz w:val="21"/>
                      <w:szCs w:val="21"/>
                      <w:highlight w:val="none"/>
                      <w:vertAlign w:val="superscript"/>
                      <w:lang w:val="en-US" w:eastAsia="en-US" w:bidi="ar-SA"/>
                    </w:rPr>
                    <w:t>3</w:t>
                  </w:r>
                  <w:r>
                    <w:rPr>
                      <w:rFonts w:hint="eastAsia" w:ascii="Times New Roman" w:hAnsi="Times New Roman" w:cs="Times New Roman"/>
                      <w:color w:val="auto"/>
                      <w:spacing w:val="-1"/>
                      <w:kern w:val="2"/>
                      <w:sz w:val="21"/>
                      <w:szCs w:val="21"/>
                      <w:highlight w:val="none"/>
                      <w:vertAlign w:val="baseline"/>
                      <w:lang w:val="en-US" w:eastAsia="zh-CN" w:bidi="ar-SA"/>
                    </w:rPr>
                    <w:t>。</w:t>
                  </w:r>
                </w:p>
              </w:tc>
              <w:tc>
                <w:tcPr>
                  <w:tcW w:w="799" w:type="dxa"/>
                  <w:vMerge w:val="restart"/>
                  <w:tcBorders>
                    <w:tl2br w:val="nil"/>
                    <w:tr2bl w:val="nil"/>
                  </w:tcBorders>
                  <w:vAlign w:val="center"/>
                </w:tcPr>
                <w:p w14:paraId="1DAEF2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eastAsia"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已建</w:t>
                  </w:r>
                </w:p>
              </w:tc>
            </w:tr>
            <w:tr w14:paraId="5A1CEB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2" w:hRule="atLeast"/>
                <w:jc w:val="center"/>
              </w:trPr>
              <w:tc>
                <w:tcPr>
                  <w:tcW w:w="460" w:type="dxa"/>
                  <w:vMerge w:val="continue"/>
                  <w:tcBorders>
                    <w:tl2br w:val="nil"/>
                    <w:tr2bl w:val="nil"/>
                  </w:tcBorders>
                  <w:vAlign w:val="center"/>
                </w:tcPr>
                <w:p w14:paraId="60951B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878" w:type="dxa"/>
                  <w:vMerge w:val="continue"/>
                  <w:tcBorders>
                    <w:tl2br w:val="nil"/>
                    <w:tr2bl w:val="nil"/>
                  </w:tcBorders>
                  <w:vAlign w:val="center"/>
                </w:tcPr>
                <w:p w14:paraId="61D210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036" w:type="dxa"/>
                  <w:tcBorders>
                    <w:tl2br w:val="nil"/>
                    <w:tr2bl w:val="nil"/>
                  </w:tcBorders>
                  <w:vAlign w:val="center"/>
                </w:tcPr>
                <w:p w14:paraId="6BED05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地下二层</w:t>
                  </w:r>
                </w:p>
              </w:tc>
              <w:tc>
                <w:tcPr>
                  <w:tcW w:w="5566" w:type="dxa"/>
                  <w:tcBorders>
                    <w:tl2br w:val="nil"/>
                    <w:tr2bl w:val="nil"/>
                  </w:tcBorders>
                  <w:vAlign w:val="center"/>
                </w:tcPr>
                <w:p w14:paraId="3CB335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eastAsia"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基础设施区域，包括消防水池、消防泵房、高低压配电室、应急柴油发电机房、生活水泵房、净化机组等</w:t>
                  </w:r>
                  <w:r>
                    <w:rPr>
                      <w:rFonts w:hint="eastAsia" w:ascii="Times New Roman" w:hAnsi="Times New Roman" w:cs="Times New Roman"/>
                      <w:color w:val="auto"/>
                      <w:spacing w:val="-1"/>
                      <w:kern w:val="2"/>
                      <w:sz w:val="21"/>
                      <w:szCs w:val="21"/>
                      <w:highlight w:val="none"/>
                      <w:vertAlign w:val="baseline"/>
                      <w:lang w:val="en-US" w:eastAsia="zh-CN" w:bidi="ar-SA"/>
                    </w:rPr>
                    <w:t>。</w:t>
                  </w:r>
                </w:p>
              </w:tc>
              <w:tc>
                <w:tcPr>
                  <w:tcW w:w="799" w:type="dxa"/>
                  <w:vMerge w:val="continue"/>
                  <w:tcBorders>
                    <w:tl2br w:val="nil"/>
                    <w:tr2bl w:val="nil"/>
                  </w:tcBorders>
                  <w:vAlign w:val="center"/>
                </w:tcPr>
                <w:p w14:paraId="1C02E2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r>
            <w:tr w14:paraId="247B3E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2" w:hRule="atLeast"/>
                <w:jc w:val="center"/>
              </w:trPr>
              <w:tc>
                <w:tcPr>
                  <w:tcW w:w="460" w:type="dxa"/>
                  <w:vMerge w:val="continue"/>
                  <w:tcBorders>
                    <w:tl2br w:val="nil"/>
                    <w:tr2bl w:val="nil"/>
                  </w:tcBorders>
                  <w:vAlign w:val="center"/>
                </w:tcPr>
                <w:p w14:paraId="179326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878" w:type="dxa"/>
                  <w:vMerge w:val="continue"/>
                  <w:tcBorders>
                    <w:tl2br w:val="nil"/>
                    <w:tr2bl w:val="nil"/>
                  </w:tcBorders>
                  <w:vAlign w:val="center"/>
                </w:tcPr>
                <w:p w14:paraId="488680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036" w:type="dxa"/>
                  <w:tcBorders>
                    <w:tl2br w:val="nil"/>
                    <w:tr2bl w:val="nil"/>
                  </w:tcBorders>
                  <w:vAlign w:val="center"/>
                </w:tcPr>
                <w:p w14:paraId="7AE6A5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地下一层</w:t>
                  </w:r>
                </w:p>
              </w:tc>
              <w:tc>
                <w:tcPr>
                  <w:tcW w:w="5566" w:type="dxa"/>
                  <w:tcBorders>
                    <w:tl2br w:val="nil"/>
                    <w:tr2bl w:val="nil"/>
                  </w:tcBorders>
                  <w:vAlign w:val="center"/>
                </w:tcPr>
                <w:p w14:paraId="7545E5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eastAsia"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制药区，包括单光子药物生产车间、正电子药物生产车间、回旋加速器机房、质控区、</w:t>
                  </w:r>
                  <w:r>
                    <w:rPr>
                      <w:rFonts w:hint="eastAsia" w:ascii="Times New Roman" w:hAnsi="Times New Roman" w:cs="Times New Roman"/>
                      <w:color w:val="auto"/>
                      <w:spacing w:val="-1"/>
                      <w:kern w:val="2"/>
                      <w:sz w:val="21"/>
                      <w:szCs w:val="21"/>
                      <w:highlight w:val="none"/>
                      <w:vertAlign w:val="baseline"/>
                      <w:lang w:val="en-US" w:eastAsia="zh-CN" w:bidi="ar-SA"/>
                    </w:rPr>
                    <w:t>放废库、</w:t>
                  </w:r>
                  <w:r>
                    <w:rPr>
                      <w:rFonts w:hint="default" w:ascii="Times New Roman" w:hAnsi="Times New Roman" w:eastAsia="宋体" w:cs="Times New Roman"/>
                      <w:color w:val="auto"/>
                      <w:spacing w:val="-1"/>
                      <w:kern w:val="2"/>
                      <w:sz w:val="21"/>
                      <w:szCs w:val="21"/>
                      <w:highlight w:val="none"/>
                      <w:vertAlign w:val="baseline"/>
                      <w:lang w:val="en-US" w:eastAsia="en-US" w:bidi="ar-SA"/>
                    </w:rPr>
                    <w:t>科研区等</w:t>
                  </w:r>
                  <w:r>
                    <w:rPr>
                      <w:rFonts w:hint="eastAsia" w:ascii="Times New Roman" w:hAnsi="Times New Roman" w:cs="Times New Roman"/>
                      <w:color w:val="auto"/>
                      <w:spacing w:val="-1"/>
                      <w:kern w:val="2"/>
                      <w:sz w:val="21"/>
                      <w:szCs w:val="21"/>
                      <w:highlight w:val="none"/>
                      <w:vertAlign w:val="baseline"/>
                      <w:lang w:val="en-US" w:eastAsia="zh-CN" w:bidi="ar-SA"/>
                    </w:rPr>
                    <w:t>。</w:t>
                  </w:r>
                </w:p>
              </w:tc>
              <w:tc>
                <w:tcPr>
                  <w:tcW w:w="799" w:type="dxa"/>
                  <w:vMerge w:val="continue"/>
                  <w:tcBorders>
                    <w:tl2br w:val="nil"/>
                    <w:tr2bl w:val="nil"/>
                  </w:tcBorders>
                  <w:vAlign w:val="center"/>
                </w:tcPr>
                <w:p w14:paraId="63957A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r>
            <w:tr w14:paraId="4DC8C2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08" w:hRule="atLeast"/>
                <w:jc w:val="center"/>
              </w:trPr>
              <w:tc>
                <w:tcPr>
                  <w:tcW w:w="460" w:type="dxa"/>
                  <w:vMerge w:val="continue"/>
                  <w:tcBorders>
                    <w:tl2br w:val="nil"/>
                    <w:tr2bl w:val="nil"/>
                  </w:tcBorders>
                  <w:vAlign w:val="center"/>
                </w:tcPr>
                <w:p w14:paraId="72D06D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878" w:type="dxa"/>
                  <w:vMerge w:val="continue"/>
                  <w:tcBorders>
                    <w:tl2br w:val="nil"/>
                    <w:tr2bl w:val="nil"/>
                  </w:tcBorders>
                  <w:vAlign w:val="center"/>
                </w:tcPr>
                <w:p w14:paraId="349A87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036" w:type="dxa"/>
                  <w:tcBorders>
                    <w:tl2br w:val="nil"/>
                    <w:tr2bl w:val="nil"/>
                  </w:tcBorders>
                  <w:vAlign w:val="center"/>
                </w:tcPr>
                <w:p w14:paraId="65ECEE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第一层</w:t>
                  </w:r>
                </w:p>
              </w:tc>
              <w:tc>
                <w:tcPr>
                  <w:tcW w:w="5566" w:type="dxa"/>
                  <w:tcBorders>
                    <w:tl2br w:val="nil"/>
                    <w:tr2bl w:val="nil"/>
                  </w:tcBorders>
                  <w:vAlign w:val="center"/>
                </w:tcPr>
                <w:p w14:paraId="69191F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eastAsia"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SPECT医技检查区</w:t>
                  </w:r>
                  <w:r>
                    <w:rPr>
                      <w:rFonts w:hint="eastAsia" w:ascii="Times New Roman" w:hAnsi="Times New Roman" w:cs="Times New Roman"/>
                      <w:color w:val="auto"/>
                      <w:spacing w:val="-1"/>
                      <w:kern w:val="2"/>
                      <w:sz w:val="21"/>
                      <w:szCs w:val="21"/>
                      <w:highlight w:val="none"/>
                      <w:vertAlign w:val="baseline"/>
                      <w:lang w:val="en-US" w:eastAsia="zh-CN" w:bidi="ar-SA"/>
                    </w:rPr>
                    <w:t>：</w:t>
                  </w:r>
                  <w:r>
                    <w:rPr>
                      <w:rFonts w:hint="default" w:ascii="Times New Roman" w:hAnsi="Times New Roman" w:eastAsia="宋体" w:cs="Times New Roman"/>
                      <w:color w:val="auto"/>
                      <w:spacing w:val="-1"/>
                      <w:kern w:val="2"/>
                      <w:sz w:val="21"/>
                      <w:szCs w:val="21"/>
                      <w:highlight w:val="none"/>
                      <w:vertAlign w:val="baseline"/>
                      <w:lang w:val="en-US" w:eastAsia="en-US" w:bidi="ar-SA"/>
                    </w:rPr>
                    <w:t>包括门诊诊室、骨密度室、注射室、储源室、运动试验室、注射后休息室、留观室、SPECT/CT机房、放废库、抢救室等</w:t>
                  </w:r>
                  <w:r>
                    <w:rPr>
                      <w:rFonts w:hint="eastAsia" w:ascii="Times New Roman" w:hAnsi="Times New Roman" w:cs="Times New Roman"/>
                      <w:color w:val="auto"/>
                      <w:spacing w:val="-1"/>
                      <w:kern w:val="2"/>
                      <w:sz w:val="21"/>
                      <w:szCs w:val="21"/>
                      <w:highlight w:val="none"/>
                      <w:vertAlign w:val="baseline"/>
                      <w:lang w:val="en-US" w:eastAsia="zh-CN" w:bidi="ar-SA"/>
                    </w:rPr>
                    <w:t>。</w:t>
                  </w:r>
                </w:p>
              </w:tc>
              <w:tc>
                <w:tcPr>
                  <w:tcW w:w="799" w:type="dxa"/>
                  <w:vMerge w:val="continue"/>
                  <w:tcBorders>
                    <w:tl2br w:val="nil"/>
                    <w:tr2bl w:val="nil"/>
                  </w:tcBorders>
                  <w:vAlign w:val="center"/>
                </w:tcPr>
                <w:p w14:paraId="7958B2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r>
            <w:tr w14:paraId="52E696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08" w:hRule="atLeast"/>
                <w:jc w:val="center"/>
              </w:trPr>
              <w:tc>
                <w:tcPr>
                  <w:tcW w:w="460" w:type="dxa"/>
                  <w:vMerge w:val="continue"/>
                  <w:tcBorders>
                    <w:tl2br w:val="nil"/>
                    <w:tr2bl w:val="nil"/>
                  </w:tcBorders>
                  <w:vAlign w:val="center"/>
                </w:tcPr>
                <w:p w14:paraId="196B86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878" w:type="dxa"/>
                  <w:vMerge w:val="continue"/>
                  <w:tcBorders>
                    <w:tl2br w:val="nil"/>
                    <w:tr2bl w:val="nil"/>
                  </w:tcBorders>
                  <w:vAlign w:val="center"/>
                </w:tcPr>
                <w:p w14:paraId="177A7A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036" w:type="dxa"/>
                  <w:tcBorders>
                    <w:tl2br w:val="nil"/>
                    <w:tr2bl w:val="nil"/>
                  </w:tcBorders>
                  <w:vAlign w:val="center"/>
                </w:tcPr>
                <w:p w14:paraId="7CFBCC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第二层</w:t>
                  </w:r>
                </w:p>
              </w:tc>
              <w:tc>
                <w:tcPr>
                  <w:tcW w:w="5566" w:type="dxa"/>
                  <w:tcBorders>
                    <w:tl2br w:val="nil"/>
                    <w:tr2bl w:val="nil"/>
                  </w:tcBorders>
                  <w:vAlign w:val="center"/>
                </w:tcPr>
                <w:p w14:paraId="2C0927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eastAsia"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PET医技检查区</w:t>
                  </w:r>
                  <w:r>
                    <w:rPr>
                      <w:rFonts w:hint="eastAsia" w:ascii="Times New Roman" w:hAnsi="Times New Roman" w:cs="Times New Roman"/>
                      <w:color w:val="auto"/>
                      <w:spacing w:val="-1"/>
                      <w:kern w:val="2"/>
                      <w:sz w:val="21"/>
                      <w:szCs w:val="21"/>
                      <w:highlight w:val="none"/>
                      <w:vertAlign w:val="baseline"/>
                      <w:lang w:val="en-US" w:eastAsia="zh-CN" w:bidi="ar-SA"/>
                    </w:rPr>
                    <w:t>：</w:t>
                  </w:r>
                  <w:r>
                    <w:rPr>
                      <w:rFonts w:hint="default" w:ascii="Times New Roman" w:hAnsi="Times New Roman" w:eastAsia="宋体" w:cs="Times New Roman"/>
                      <w:color w:val="auto"/>
                      <w:spacing w:val="-1"/>
                      <w:kern w:val="2"/>
                      <w:sz w:val="21"/>
                      <w:szCs w:val="21"/>
                      <w:highlight w:val="none"/>
                      <w:vertAlign w:val="baseline"/>
                      <w:lang w:val="en-US" w:eastAsia="en-US" w:bidi="ar-SA"/>
                    </w:rPr>
                    <w:t>包括注射室、注射后休息室、放废库、留观室、抢救室、储源室、PET/CT室、PET/MR室、设备新风机房、门诊诊室等</w:t>
                  </w:r>
                  <w:r>
                    <w:rPr>
                      <w:rFonts w:hint="eastAsia" w:ascii="Times New Roman" w:hAnsi="Times New Roman" w:cs="Times New Roman"/>
                      <w:color w:val="auto"/>
                      <w:spacing w:val="-1"/>
                      <w:kern w:val="2"/>
                      <w:sz w:val="21"/>
                      <w:szCs w:val="21"/>
                      <w:highlight w:val="none"/>
                      <w:vertAlign w:val="baseline"/>
                      <w:lang w:val="en-US" w:eastAsia="zh-CN" w:bidi="ar-SA"/>
                    </w:rPr>
                    <w:t>。</w:t>
                  </w:r>
                </w:p>
              </w:tc>
              <w:tc>
                <w:tcPr>
                  <w:tcW w:w="799" w:type="dxa"/>
                  <w:vMerge w:val="continue"/>
                  <w:tcBorders>
                    <w:tl2br w:val="nil"/>
                    <w:tr2bl w:val="nil"/>
                  </w:tcBorders>
                  <w:vAlign w:val="center"/>
                </w:tcPr>
                <w:p w14:paraId="06508E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r>
            <w:tr w14:paraId="37656E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08" w:hRule="atLeast"/>
                <w:jc w:val="center"/>
              </w:trPr>
              <w:tc>
                <w:tcPr>
                  <w:tcW w:w="460" w:type="dxa"/>
                  <w:vMerge w:val="continue"/>
                  <w:tcBorders>
                    <w:tl2br w:val="nil"/>
                    <w:tr2bl w:val="nil"/>
                  </w:tcBorders>
                  <w:vAlign w:val="center"/>
                </w:tcPr>
                <w:p w14:paraId="381036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878" w:type="dxa"/>
                  <w:vMerge w:val="continue"/>
                  <w:tcBorders>
                    <w:tl2br w:val="nil"/>
                    <w:tr2bl w:val="nil"/>
                  </w:tcBorders>
                  <w:vAlign w:val="center"/>
                </w:tcPr>
                <w:p w14:paraId="15DD7E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036" w:type="dxa"/>
                  <w:tcBorders>
                    <w:tl2br w:val="nil"/>
                    <w:tr2bl w:val="nil"/>
                  </w:tcBorders>
                  <w:vAlign w:val="center"/>
                </w:tcPr>
                <w:p w14:paraId="0F4500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第三层</w:t>
                  </w:r>
                </w:p>
              </w:tc>
              <w:tc>
                <w:tcPr>
                  <w:tcW w:w="5566" w:type="dxa"/>
                  <w:tcBorders>
                    <w:tl2br w:val="nil"/>
                    <w:tr2bl w:val="nil"/>
                  </w:tcBorders>
                  <w:vAlign w:val="center"/>
                </w:tcPr>
                <w:p w14:paraId="180FD8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eastAsia"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核素治疗</w:t>
                  </w:r>
                  <w:r>
                    <w:rPr>
                      <w:rFonts w:hint="eastAsia" w:ascii="Times New Roman" w:hAnsi="Times New Roman" w:cs="Times New Roman"/>
                      <w:color w:val="auto"/>
                      <w:spacing w:val="-1"/>
                      <w:kern w:val="2"/>
                      <w:sz w:val="21"/>
                      <w:szCs w:val="21"/>
                      <w:highlight w:val="none"/>
                      <w:vertAlign w:val="baseline"/>
                      <w:lang w:val="en-US" w:eastAsia="zh-CN" w:bidi="ar-SA"/>
                    </w:rPr>
                    <w:t>区：包括</w:t>
                  </w:r>
                  <w:r>
                    <w:rPr>
                      <w:rFonts w:hint="default" w:ascii="Times New Roman" w:hAnsi="Times New Roman" w:eastAsia="宋体" w:cs="Times New Roman"/>
                      <w:color w:val="auto"/>
                      <w:spacing w:val="-1"/>
                      <w:kern w:val="2"/>
                      <w:sz w:val="21"/>
                      <w:szCs w:val="21"/>
                      <w:highlight w:val="none"/>
                      <w:vertAlign w:val="baseline"/>
                      <w:lang w:val="en-US" w:eastAsia="en-US" w:bidi="ar-SA"/>
                    </w:rPr>
                    <w:t>护士值班室、医生值班室、宣教室、档案室、服碘室、服药室、储源室、放废库、核素治疗病房、前列腺治疗病房、被服间、配餐、取餐室等功能用房</w:t>
                  </w:r>
                  <w:r>
                    <w:rPr>
                      <w:rFonts w:hint="eastAsia" w:ascii="Times New Roman" w:hAnsi="Times New Roman" w:cs="Times New Roman"/>
                      <w:color w:val="auto"/>
                      <w:spacing w:val="-1"/>
                      <w:kern w:val="2"/>
                      <w:sz w:val="21"/>
                      <w:szCs w:val="21"/>
                      <w:highlight w:val="none"/>
                      <w:vertAlign w:val="baseline"/>
                      <w:lang w:val="en-US" w:eastAsia="zh-CN" w:bidi="ar-SA"/>
                    </w:rPr>
                    <w:t>。</w:t>
                  </w:r>
                </w:p>
              </w:tc>
              <w:tc>
                <w:tcPr>
                  <w:tcW w:w="799" w:type="dxa"/>
                  <w:vMerge w:val="continue"/>
                  <w:tcBorders>
                    <w:tl2br w:val="nil"/>
                    <w:tr2bl w:val="nil"/>
                  </w:tcBorders>
                  <w:vAlign w:val="center"/>
                </w:tcPr>
                <w:p w14:paraId="0C52AE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r>
            <w:tr w14:paraId="1CF3C3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2" w:hRule="atLeast"/>
                <w:jc w:val="center"/>
              </w:trPr>
              <w:tc>
                <w:tcPr>
                  <w:tcW w:w="460" w:type="dxa"/>
                  <w:vMerge w:val="continue"/>
                  <w:tcBorders>
                    <w:tl2br w:val="nil"/>
                    <w:tr2bl w:val="nil"/>
                  </w:tcBorders>
                  <w:vAlign w:val="center"/>
                </w:tcPr>
                <w:p w14:paraId="2053E8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878" w:type="dxa"/>
                  <w:vMerge w:val="continue"/>
                  <w:tcBorders>
                    <w:tl2br w:val="nil"/>
                    <w:tr2bl w:val="nil"/>
                  </w:tcBorders>
                  <w:vAlign w:val="center"/>
                </w:tcPr>
                <w:p w14:paraId="1DB685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036" w:type="dxa"/>
                  <w:tcBorders>
                    <w:tl2br w:val="nil"/>
                    <w:tr2bl w:val="nil"/>
                  </w:tcBorders>
                  <w:vAlign w:val="center"/>
                </w:tcPr>
                <w:p w14:paraId="36391D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第四层</w:t>
                  </w:r>
                </w:p>
              </w:tc>
              <w:tc>
                <w:tcPr>
                  <w:tcW w:w="5566" w:type="dxa"/>
                  <w:tcBorders>
                    <w:tl2br w:val="nil"/>
                    <w:tr2bl w:val="nil"/>
                  </w:tcBorders>
                  <w:vAlign w:val="center"/>
                </w:tcPr>
                <w:p w14:paraId="555392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eastAsia"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医学工作人员办公区域、阅片室、会议室、信息机房等</w:t>
                  </w:r>
                  <w:r>
                    <w:rPr>
                      <w:rFonts w:hint="eastAsia" w:ascii="Times New Roman" w:hAnsi="Times New Roman" w:cs="Times New Roman"/>
                      <w:color w:val="auto"/>
                      <w:spacing w:val="-1"/>
                      <w:kern w:val="2"/>
                      <w:sz w:val="21"/>
                      <w:szCs w:val="21"/>
                      <w:highlight w:val="none"/>
                      <w:vertAlign w:val="baseline"/>
                      <w:lang w:val="en-US" w:eastAsia="zh-CN" w:bidi="ar-SA"/>
                    </w:rPr>
                    <w:t>。</w:t>
                  </w:r>
                </w:p>
              </w:tc>
              <w:tc>
                <w:tcPr>
                  <w:tcW w:w="799" w:type="dxa"/>
                  <w:vMerge w:val="continue"/>
                  <w:tcBorders>
                    <w:tl2br w:val="nil"/>
                    <w:tr2bl w:val="nil"/>
                  </w:tcBorders>
                  <w:vAlign w:val="center"/>
                </w:tcPr>
                <w:p w14:paraId="31F5C0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r>
            <w:tr w14:paraId="4AE017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1" w:hRule="atLeast"/>
                <w:jc w:val="center"/>
              </w:trPr>
              <w:tc>
                <w:tcPr>
                  <w:tcW w:w="460" w:type="dxa"/>
                  <w:vMerge w:val="continue"/>
                  <w:tcBorders>
                    <w:tl2br w:val="nil"/>
                    <w:tr2bl w:val="nil"/>
                  </w:tcBorders>
                  <w:vAlign w:val="center"/>
                </w:tcPr>
                <w:p w14:paraId="68AD61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914" w:type="dxa"/>
                  <w:gridSpan w:val="2"/>
                  <w:tcBorders>
                    <w:tl2br w:val="nil"/>
                    <w:tr2bl w:val="nil"/>
                  </w:tcBorders>
                  <w:vAlign w:val="center"/>
                </w:tcPr>
                <w:p w14:paraId="32692C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eastAsia" w:ascii="Times New Roman" w:hAnsi="Times New Roman" w:cs="Times New Roman"/>
                      <w:color w:val="auto"/>
                      <w:spacing w:val="-1"/>
                      <w:kern w:val="2"/>
                      <w:sz w:val="21"/>
                      <w:szCs w:val="21"/>
                      <w:highlight w:val="none"/>
                      <w:vertAlign w:val="baseline"/>
                      <w:lang w:val="en-US" w:eastAsia="zh-CN" w:bidi="ar-SA"/>
                    </w:rPr>
                    <w:t>老院区综合楼一层介入2室</w:t>
                  </w:r>
                </w:p>
              </w:tc>
              <w:tc>
                <w:tcPr>
                  <w:tcW w:w="5566" w:type="dxa"/>
                  <w:tcBorders>
                    <w:tl2br w:val="nil"/>
                    <w:tr2bl w:val="nil"/>
                  </w:tcBorders>
                  <w:vAlign w:val="center"/>
                </w:tcPr>
                <w:p w14:paraId="5D71C6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default" w:ascii="Times New Roman" w:hAnsi="Times New Roman" w:eastAsia="宋体" w:cs="Times New Roman"/>
                      <w:b/>
                      <w:bCs/>
                      <w:color w:val="auto"/>
                      <w:spacing w:val="-1"/>
                      <w:kern w:val="2"/>
                      <w:sz w:val="21"/>
                      <w:szCs w:val="21"/>
                      <w:highlight w:val="none"/>
                      <w:vertAlign w:val="baseline"/>
                      <w:lang w:val="en-US" w:eastAsia="zh-CN" w:bidi="ar-SA"/>
                    </w:rPr>
                  </w:pPr>
                  <w:r>
                    <w:rPr>
                      <w:rFonts w:hint="eastAsia" w:ascii="Times New Roman" w:hAnsi="Times New Roman" w:cs="Times New Roman"/>
                      <w:color w:val="auto"/>
                      <w:spacing w:val="-1"/>
                      <w:kern w:val="2"/>
                      <w:sz w:val="21"/>
                      <w:szCs w:val="21"/>
                      <w:highlight w:val="none"/>
                      <w:vertAlign w:val="baseline"/>
                      <w:lang w:val="en-US" w:eastAsia="zh-CN" w:bidi="ar-SA"/>
                    </w:rPr>
                    <w:t>建筑面积40.4m²，配置1台型号为AlphenixINFX-9000V的血管造影用X射线装置。</w:t>
                  </w:r>
                </w:p>
              </w:tc>
              <w:tc>
                <w:tcPr>
                  <w:tcW w:w="799" w:type="dxa"/>
                  <w:tcBorders>
                    <w:tl2br w:val="nil"/>
                    <w:tr2bl w:val="nil"/>
                  </w:tcBorders>
                  <w:vAlign w:val="center"/>
                </w:tcPr>
                <w:p w14:paraId="3475AD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已建</w:t>
                  </w:r>
                </w:p>
              </w:tc>
            </w:tr>
            <w:tr w14:paraId="0FD181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2" w:hRule="atLeast"/>
                <w:jc w:val="center"/>
              </w:trPr>
              <w:tc>
                <w:tcPr>
                  <w:tcW w:w="460" w:type="dxa"/>
                  <w:vMerge w:val="restart"/>
                  <w:tcBorders>
                    <w:tl2br w:val="nil"/>
                    <w:tr2bl w:val="nil"/>
                  </w:tcBorders>
                  <w:vAlign w:val="center"/>
                </w:tcPr>
                <w:p w14:paraId="0302F0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公用工程</w:t>
                  </w:r>
                </w:p>
              </w:tc>
              <w:tc>
                <w:tcPr>
                  <w:tcW w:w="1914" w:type="dxa"/>
                  <w:gridSpan w:val="2"/>
                  <w:tcBorders>
                    <w:tl2br w:val="nil"/>
                    <w:tr2bl w:val="nil"/>
                  </w:tcBorders>
                  <w:vAlign w:val="center"/>
                </w:tcPr>
                <w:p w14:paraId="05DD53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供水</w:t>
                  </w:r>
                </w:p>
              </w:tc>
              <w:tc>
                <w:tcPr>
                  <w:tcW w:w="5566" w:type="dxa"/>
                  <w:tcBorders>
                    <w:tl2br w:val="nil"/>
                    <w:tr2bl w:val="nil"/>
                  </w:tcBorders>
                  <w:vAlign w:val="center"/>
                </w:tcPr>
                <w:p w14:paraId="285D50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市政给水管网，已接入本项目供水管网</w:t>
                  </w:r>
                </w:p>
              </w:tc>
              <w:tc>
                <w:tcPr>
                  <w:tcW w:w="799" w:type="dxa"/>
                  <w:vMerge w:val="restart"/>
                  <w:tcBorders>
                    <w:tl2br w:val="nil"/>
                    <w:tr2bl w:val="nil"/>
                  </w:tcBorders>
                  <w:vAlign w:val="center"/>
                </w:tcPr>
                <w:p w14:paraId="59061C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已建</w:t>
                  </w:r>
                </w:p>
              </w:tc>
            </w:tr>
            <w:tr w14:paraId="283EBA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2" w:hRule="atLeast"/>
                <w:jc w:val="center"/>
              </w:trPr>
              <w:tc>
                <w:tcPr>
                  <w:tcW w:w="460" w:type="dxa"/>
                  <w:vMerge w:val="continue"/>
                  <w:tcBorders>
                    <w:tl2br w:val="nil"/>
                    <w:tr2bl w:val="nil"/>
                  </w:tcBorders>
                  <w:vAlign w:val="center"/>
                </w:tcPr>
                <w:p w14:paraId="5D46B2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914" w:type="dxa"/>
                  <w:gridSpan w:val="2"/>
                  <w:tcBorders>
                    <w:tl2br w:val="nil"/>
                    <w:tr2bl w:val="nil"/>
                  </w:tcBorders>
                  <w:vAlign w:val="center"/>
                </w:tcPr>
                <w:p w14:paraId="5D7B48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排水</w:t>
                  </w:r>
                </w:p>
              </w:tc>
              <w:tc>
                <w:tcPr>
                  <w:tcW w:w="5566" w:type="dxa"/>
                  <w:tcBorders>
                    <w:tl2br w:val="nil"/>
                    <w:tr2bl w:val="nil"/>
                  </w:tcBorders>
                  <w:vAlign w:val="center"/>
                </w:tcPr>
                <w:p w14:paraId="51A2E9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废水排入</w:t>
                  </w:r>
                  <w:r>
                    <w:rPr>
                      <w:rFonts w:hint="eastAsia" w:ascii="Times New Roman" w:hAnsi="Times New Roman" w:eastAsia="宋体" w:cs="Times New Roman"/>
                      <w:color w:val="auto"/>
                      <w:spacing w:val="-1"/>
                      <w:kern w:val="2"/>
                      <w:sz w:val="21"/>
                      <w:szCs w:val="21"/>
                      <w:highlight w:val="none"/>
                      <w:vertAlign w:val="baseline"/>
                      <w:lang w:val="en-US" w:eastAsia="zh-CN" w:bidi="ar-SA"/>
                    </w:rPr>
                    <w:t>医院现有</w:t>
                  </w:r>
                  <w:r>
                    <w:rPr>
                      <w:rFonts w:hint="default" w:ascii="Times New Roman" w:hAnsi="Times New Roman" w:eastAsia="宋体" w:cs="Times New Roman"/>
                      <w:color w:val="auto"/>
                      <w:spacing w:val="-1"/>
                      <w:kern w:val="2"/>
                      <w:sz w:val="21"/>
                      <w:szCs w:val="21"/>
                      <w:highlight w:val="none"/>
                      <w:vertAlign w:val="baseline"/>
                      <w:lang w:val="en-US" w:eastAsia="en-US" w:bidi="ar-SA"/>
                    </w:rPr>
                    <w:t>污水处理站</w:t>
                  </w:r>
                </w:p>
              </w:tc>
              <w:tc>
                <w:tcPr>
                  <w:tcW w:w="799" w:type="dxa"/>
                  <w:vMerge w:val="continue"/>
                  <w:tcBorders>
                    <w:tl2br w:val="nil"/>
                    <w:tr2bl w:val="nil"/>
                  </w:tcBorders>
                  <w:vAlign w:val="center"/>
                </w:tcPr>
                <w:p w14:paraId="05A3ED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r>
            <w:tr w14:paraId="7B1944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2" w:hRule="atLeast"/>
                <w:jc w:val="center"/>
              </w:trPr>
              <w:tc>
                <w:tcPr>
                  <w:tcW w:w="460" w:type="dxa"/>
                  <w:vMerge w:val="continue"/>
                  <w:tcBorders>
                    <w:tl2br w:val="nil"/>
                    <w:tr2bl w:val="nil"/>
                  </w:tcBorders>
                  <w:vAlign w:val="center"/>
                </w:tcPr>
                <w:p w14:paraId="494788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914" w:type="dxa"/>
                  <w:gridSpan w:val="2"/>
                  <w:tcBorders>
                    <w:tl2br w:val="nil"/>
                    <w:tr2bl w:val="nil"/>
                  </w:tcBorders>
                  <w:vAlign w:val="center"/>
                </w:tcPr>
                <w:p w14:paraId="0C72A0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供电</w:t>
                  </w:r>
                </w:p>
              </w:tc>
              <w:tc>
                <w:tcPr>
                  <w:tcW w:w="5566" w:type="dxa"/>
                  <w:tcBorders>
                    <w:tl2br w:val="nil"/>
                    <w:tr2bl w:val="nil"/>
                  </w:tcBorders>
                  <w:vAlign w:val="center"/>
                </w:tcPr>
                <w:p w14:paraId="20512B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由市政电网供给</w:t>
                  </w:r>
                </w:p>
              </w:tc>
              <w:tc>
                <w:tcPr>
                  <w:tcW w:w="799" w:type="dxa"/>
                  <w:vMerge w:val="continue"/>
                  <w:tcBorders>
                    <w:tl2br w:val="nil"/>
                    <w:tr2bl w:val="nil"/>
                  </w:tcBorders>
                  <w:vAlign w:val="center"/>
                </w:tcPr>
                <w:p w14:paraId="4D7896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r>
            <w:tr w14:paraId="50B098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2" w:hRule="atLeast"/>
                <w:jc w:val="center"/>
              </w:trPr>
              <w:tc>
                <w:tcPr>
                  <w:tcW w:w="460" w:type="dxa"/>
                  <w:vMerge w:val="continue"/>
                  <w:tcBorders>
                    <w:tl2br w:val="nil"/>
                    <w:tr2bl w:val="nil"/>
                  </w:tcBorders>
                  <w:vAlign w:val="center"/>
                </w:tcPr>
                <w:p w14:paraId="19F777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914" w:type="dxa"/>
                  <w:gridSpan w:val="2"/>
                  <w:tcBorders>
                    <w:tl2br w:val="nil"/>
                    <w:tr2bl w:val="nil"/>
                  </w:tcBorders>
                  <w:shd w:val="clear" w:color="auto" w:fill="auto"/>
                  <w:vAlign w:val="center"/>
                </w:tcPr>
                <w:p w14:paraId="52FD42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供暖</w:t>
                  </w:r>
                </w:p>
              </w:tc>
              <w:tc>
                <w:tcPr>
                  <w:tcW w:w="5566" w:type="dxa"/>
                  <w:tcBorders>
                    <w:tl2br w:val="nil"/>
                    <w:tr2bl w:val="nil"/>
                  </w:tcBorders>
                  <w:shd w:val="clear" w:color="auto" w:fill="auto"/>
                  <w:vAlign w:val="center"/>
                </w:tcPr>
                <w:p w14:paraId="69F015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市政集中供热</w:t>
                  </w:r>
                </w:p>
              </w:tc>
              <w:tc>
                <w:tcPr>
                  <w:tcW w:w="799" w:type="dxa"/>
                  <w:vMerge w:val="continue"/>
                  <w:tcBorders>
                    <w:tl2br w:val="nil"/>
                    <w:tr2bl w:val="nil"/>
                  </w:tcBorders>
                  <w:shd w:val="clear" w:color="auto" w:fill="auto"/>
                  <w:vAlign w:val="center"/>
                </w:tcPr>
                <w:p w14:paraId="2AF4F1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r>
            <w:tr w14:paraId="4A56E0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08" w:hRule="atLeast"/>
                <w:jc w:val="center"/>
              </w:trPr>
              <w:tc>
                <w:tcPr>
                  <w:tcW w:w="460" w:type="dxa"/>
                  <w:vMerge w:val="restart"/>
                  <w:tcBorders>
                    <w:tl2br w:val="nil"/>
                    <w:tr2bl w:val="nil"/>
                  </w:tcBorders>
                  <w:vAlign w:val="center"/>
                </w:tcPr>
                <w:p w14:paraId="758D81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环保工程</w:t>
                  </w:r>
                </w:p>
              </w:tc>
              <w:tc>
                <w:tcPr>
                  <w:tcW w:w="1914" w:type="dxa"/>
                  <w:gridSpan w:val="2"/>
                  <w:tcBorders>
                    <w:tl2br w:val="nil"/>
                    <w:tr2bl w:val="nil"/>
                  </w:tcBorders>
                  <w:shd w:val="clear" w:color="auto" w:fill="auto"/>
                  <w:vAlign w:val="center"/>
                </w:tcPr>
                <w:p w14:paraId="48FE9B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废气治理</w:t>
                  </w:r>
                </w:p>
              </w:tc>
              <w:tc>
                <w:tcPr>
                  <w:tcW w:w="5566" w:type="dxa"/>
                  <w:tcBorders>
                    <w:tl2br w:val="nil"/>
                    <w:tr2bl w:val="nil"/>
                  </w:tcBorders>
                  <w:shd w:val="clear" w:color="auto" w:fill="auto"/>
                  <w:vAlign w:val="center"/>
                </w:tcPr>
                <w:p w14:paraId="6F5B6A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本项目放射性废气主要通过独立通风系统+活性炭吸附过滤处理，排气口高于本建筑物屋顶，经大气扩散稀释后排放。</w:t>
                  </w:r>
                </w:p>
                <w:p w14:paraId="1DE849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eastAsia"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cs="Times New Roman"/>
                      <w:color w:val="auto"/>
                      <w:spacing w:val="-1"/>
                      <w:kern w:val="2"/>
                      <w:sz w:val="21"/>
                      <w:szCs w:val="21"/>
                      <w:highlight w:val="none"/>
                      <w:vertAlign w:val="baseline"/>
                      <w:lang w:val="en-US" w:eastAsia="zh-CN" w:bidi="ar-SA"/>
                    </w:rPr>
                    <w:t>臭氧及氮氧化物经过动力通风排出室外自然稀释。</w:t>
                  </w:r>
                </w:p>
              </w:tc>
              <w:tc>
                <w:tcPr>
                  <w:tcW w:w="799" w:type="dxa"/>
                  <w:tcBorders>
                    <w:tl2br w:val="nil"/>
                    <w:tr2bl w:val="nil"/>
                  </w:tcBorders>
                  <w:shd w:val="clear" w:color="auto" w:fill="auto"/>
                  <w:vAlign w:val="center"/>
                </w:tcPr>
                <w:p w14:paraId="6A8879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已建</w:t>
                  </w:r>
                </w:p>
              </w:tc>
            </w:tr>
            <w:tr w14:paraId="6D70C5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08" w:hRule="atLeast"/>
                <w:jc w:val="center"/>
              </w:trPr>
              <w:tc>
                <w:tcPr>
                  <w:tcW w:w="460" w:type="dxa"/>
                  <w:vMerge w:val="continue"/>
                  <w:tcBorders>
                    <w:tl2br w:val="nil"/>
                    <w:tr2bl w:val="nil"/>
                  </w:tcBorders>
                  <w:vAlign w:val="center"/>
                </w:tcPr>
                <w:p w14:paraId="78D2CD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914" w:type="dxa"/>
                  <w:gridSpan w:val="2"/>
                  <w:tcBorders>
                    <w:tl2br w:val="nil"/>
                    <w:tr2bl w:val="nil"/>
                  </w:tcBorders>
                  <w:shd w:val="clear" w:color="auto" w:fill="auto"/>
                  <w:vAlign w:val="center"/>
                </w:tcPr>
                <w:p w14:paraId="18A81F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cs="Times New Roman"/>
                      <w:color w:val="auto"/>
                      <w:spacing w:val="-1"/>
                      <w:kern w:val="2"/>
                      <w:sz w:val="21"/>
                      <w:szCs w:val="21"/>
                      <w:highlight w:val="none"/>
                      <w:vertAlign w:val="baseline"/>
                      <w:lang w:val="en-US" w:eastAsia="zh-CN" w:bidi="ar-SA"/>
                    </w:rPr>
                    <w:t>废水治理</w:t>
                  </w:r>
                </w:p>
              </w:tc>
              <w:tc>
                <w:tcPr>
                  <w:tcW w:w="5566" w:type="dxa"/>
                  <w:tcBorders>
                    <w:tl2br w:val="nil"/>
                    <w:tr2bl w:val="nil"/>
                  </w:tcBorders>
                  <w:shd w:val="clear" w:color="auto" w:fill="auto"/>
                  <w:vAlign w:val="center"/>
                </w:tcPr>
                <w:p w14:paraId="008B67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eastAsia" w:ascii="Times New Roman" w:hAnsi="Times New Roman"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en-US" w:bidi="ar-SA"/>
                    </w:rPr>
                    <w:t>本项目放射性废水经专用管道收集</w:t>
                  </w:r>
                  <w:r>
                    <w:rPr>
                      <w:rFonts w:hint="default" w:ascii="Times New Roman" w:hAnsi="Times New Roman" w:cs="Times New Roman"/>
                      <w:color w:val="auto"/>
                      <w:spacing w:val="-1"/>
                      <w:kern w:val="2"/>
                      <w:sz w:val="21"/>
                      <w:szCs w:val="21"/>
                      <w:highlight w:val="none"/>
                      <w:vertAlign w:val="baseline"/>
                      <w:lang w:val="en-US" w:eastAsia="zh-CN" w:bidi="ar-SA"/>
                    </w:rPr>
                    <w:t>排至</w:t>
                  </w:r>
                  <w:r>
                    <w:rPr>
                      <w:rFonts w:hint="default" w:ascii="Times New Roman" w:hAnsi="Times New Roman" w:eastAsia="宋体" w:cs="Times New Roman"/>
                      <w:color w:val="auto"/>
                      <w:spacing w:val="-1"/>
                      <w:kern w:val="2"/>
                      <w:sz w:val="21"/>
                      <w:szCs w:val="21"/>
                      <w:highlight w:val="none"/>
                      <w:vertAlign w:val="baseline"/>
                      <w:lang w:val="en-US" w:eastAsia="en-US" w:bidi="ar-SA"/>
                    </w:rPr>
                    <w:t>衰变池贮存衰变</w:t>
                  </w:r>
                  <w:r>
                    <w:rPr>
                      <w:rFonts w:hint="default" w:ascii="Times New Roman" w:hAnsi="Times New Roman" w:cs="Times New Roman"/>
                      <w:color w:val="auto"/>
                      <w:spacing w:val="-1"/>
                      <w:kern w:val="2"/>
                      <w:sz w:val="21"/>
                      <w:szCs w:val="21"/>
                      <w:highlight w:val="none"/>
                      <w:vertAlign w:val="baseline"/>
                      <w:lang w:val="en-US" w:eastAsia="zh-CN" w:bidi="ar-SA"/>
                    </w:rPr>
                    <w:t>，</w:t>
                  </w:r>
                  <w:r>
                    <w:rPr>
                      <w:rFonts w:hint="default" w:ascii="Times New Roman" w:hAnsi="Times New Roman" w:eastAsia="宋体" w:cs="Times New Roman"/>
                      <w:color w:val="auto"/>
                      <w:spacing w:val="-1"/>
                      <w:kern w:val="2"/>
                      <w:sz w:val="21"/>
                      <w:szCs w:val="21"/>
                      <w:highlight w:val="none"/>
                      <w:vertAlign w:val="baseline"/>
                      <w:lang w:val="en-US" w:eastAsia="en-US" w:bidi="ar-SA"/>
                    </w:rPr>
                    <w:t>监测达标后，排入医院污水处理站进一步处理</w:t>
                  </w:r>
                  <w:r>
                    <w:rPr>
                      <w:rFonts w:hint="eastAsia" w:ascii="Times New Roman" w:hAnsi="Times New Roman" w:cs="Times New Roman"/>
                      <w:color w:val="auto"/>
                      <w:spacing w:val="-1"/>
                      <w:kern w:val="2"/>
                      <w:sz w:val="21"/>
                      <w:szCs w:val="21"/>
                      <w:highlight w:val="none"/>
                      <w:vertAlign w:val="baseline"/>
                      <w:lang w:val="en-US" w:eastAsia="zh-CN" w:bidi="ar-SA"/>
                    </w:rPr>
                    <w:t>。</w:t>
                  </w:r>
                </w:p>
                <w:p w14:paraId="422BB7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cs="Times New Roman"/>
                      <w:color w:val="auto"/>
                      <w:spacing w:val="-1"/>
                      <w:kern w:val="2"/>
                      <w:sz w:val="21"/>
                      <w:szCs w:val="21"/>
                      <w:highlight w:val="none"/>
                      <w:vertAlign w:val="baseline"/>
                      <w:lang w:val="en-US" w:eastAsia="zh-CN" w:bidi="ar-SA"/>
                    </w:rPr>
                    <w:t>医疗废水经下水管道收集直接排至医院污水处理站。</w:t>
                  </w:r>
                </w:p>
              </w:tc>
              <w:tc>
                <w:tcPr>
                  <w:tcW w:w="799" w:type="dxa"/>
                  <w:tcBorders>
                    <w:tl2br w:val="nil"/>
                    <w:tr2bl w:val="nil"/>
                  </w:tcBorders>
                  <w:shd w:val="clear" w:color="auto" w:fill="auto"/>
                  <w:vAlign w:val="center"/>
                </w:tcPr>
                <w:p w14:paraId="3174CF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已建</w:t>
                  </w:r>
                </w:p>
              </w:tc>
            </w:tr>
            <w:tr w14:paraId="5907AF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460" w:type="dxa"/>
                  <w:vMerge w:val="continue"/>
                  <w:tcBorders>
                    <w:tl2br w:val="nil"/>
                    <w:tr2bl w:val="nil"/>
                  </w:tcBorders>
                  <w:vAlign w:val="center"/>
                </w:tcPr>
                <w:p w14:paraId="1A7571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p>
              </w:tc>
              <w:tc>
                <w:tcPr>
                  <w:tcW w:w="1914" w:type="dxa"/>
                  <w:gridSpan w:val="2"/>
                  <w:tcBorders>
                    <w:tl2br w:val="nil"/>
                    <w:tr2bl w:val="nil"/>
                  </w:tcBorders>
                  <w:shd w:val="clear" w:color="auto" w:fill="auto"/>
                  <w:vAlign w:val="center"/>
                </w:tcPr>
                <w:p w14:paraId="6CD36B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cs="Times New Roman"/>
                      <w:color w:val="auto"/>
                      <w:spacing w:val="-1"/>
                      <w:kern w:val="2"/>
                      <w:sz w:val="21"/>
                      <w:szCs w:val="21"/>
                      <w:highlight w:val="none"/>
                      <w:vertAlign w:val="baseline"/>
                      <w:lang w:val="en-US" w:eastAsia="zh-CN" w:bidi="ar-SA"/>
                    </w:rPr>
                    <w:t>废物治理</w:t>
                  </w:r>
                </w:p>
              </w:tc>
              <w:tc>
                <w:tcPr>
                  <w:tcW w:w="5566" w:type="dxa"/>
                  <w:tcBorders>
                    <w:tl2br w:val="nil"/>
                    <w:tr2bl w:val="nil"/>
                  </w:tcBorders>
                  <w:shd w:val="clear" w:color="auto" w:fill="auto"/>
                  <w:vAlign w:val="center"/>
                </w:tcPr>
                <w:p w14:paraId="73FECC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default" w:ascii="Times New Roman" w:hAnsi="Times New Roman" w:cs="Times New Roman"/>
                      <w:color w:val="auto"/>
                      <w:spacing w:val="-1"/>
                      <w:kern w:val="2"/>
                      <w:sz w:val="21"/>
                      <w:szCs w:val="21"/>
                      <w:highlight w:val="none"/>
                      <w:vertAlign w:val="baseline"/>
                      <w:lang w:val="en-US" w:eastAsia="zh-CN" w:bidi="ar-SA"/>
                    </w:rPr>
                  </w:pPr>
                  <w:r>
                    <w:rPr>
                      <w:rFonts w:hint="default" w:ascii="Times New Roman" w:hAnsi="Times New Roman" w:cs="Times New Roman"/>
                      <w:color w:val="auto"/>
                      <w:spacing w:val="-1"/>
                      <w:kern w:val="2"/>
                      <w:sz w:val="21"/>
                      <w:szCs w:val="21"/>
                      <w:highlight w:val="none"/>
                      <w:vertAlign w:val="baseline"/>
                      <w:lang w:val="en-US" w:eastAsia="zh-CN" w:bidi="ar-SA"/>
                    </w:rPr>
                    <w:t>本项目放射性固体废物经专用屏蔽废物桶收集后，每日转运至对应楼层放射性废物库暂存衰变，待衰变10个以上半衰期且经检测满足清洁解控水平后，按医疗废物处理。本项目共设置6座放射性废物库：负一层药物生产区设1座（建筑面积17.28m²）；一层SPECT诊断区设2座（建筑面积分别为7.52m²、8.33m²）；二层PET诊断区设2座（建筑面积分别为8.26m²、9.22m²）；三层核素治疗区设1座（建筑面积6.98m²）。</w:t>
                  </w:r>
                </w:p>
                <w:p w14:paraId="35F31B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both"/>
                    <w:textAlignment w:val="auto"/>
                    <w:rPr>
                      <w:rFonts w:hint="default"/>
                      <w:color w:val="auto"/>
                      <w:highlight w:val="none"/>
                      <w:lang w:val="en-US" w:eastAsia="en-US"/>
                    </w:rPr>
                  </w:pPr>
                  <w:r>
                    <w:rPr>
                      <w:rFonts w:hint="eastAsia" w:ascii="Times New Roman" w:hAnsi="Times New Roman" w:eastAsia="宋体" w:cs="Times New Roman"/>
                      <w:color w:val="auto"/>
                      <w:spacing w:val="-1"/>
                      <w:kern w:val="2"/>
                      <w:sz w:val="21"/>
                      <w:szCs w:val="21"/>
                      <w:highlight w:val="none"/>
                      <w:vertAlign w:val="baseline"/>
                      <w:lang w:val="en-US" w:eastAsia="zh-CN" w:bidi="ar-SA"/>
                    </w:rPr>
                    <w:t>医疗废物及生活垃圾依托医院现有处置系统</w:t>
                  </w:r>
                  <w:r>
                    <w:rPr>
                      <w:rFonts w:hint="eastAsia" w:cs="Times New Roman"/>
                      <w:color w:val="auto"/>
                      <w:spacing w:val="-1"/>
                      <w:kern w:val="2"/>
                      <w:sz w:val="21"/>
                      <w:szCs w:val="21"/>
                      <w:highlight w:val="none"/>
                      <w:vertAlign w:val="baseline"/>
                      <w:lang w:val="en-US" w:eastAsia="zh-CN" w:bidi="ar-SA"/>
                    </w:rPr>
                    <w:t>。</w:t>
                  </w:r>
                </w:p>
              </w:tc>
              <w:tc>
                <w:tcPr>
                  <w:tcW w:w="799" w:type="dxa"/>
                  <w:tcBorders>
                    <w:tl2br w:val="nil"/>
                    <w:tr2bl w:val="nil"/>
                  </w:tcBorders>
                  <w:shd w:val="clear" w:color="auto" w:fill="auto"/>
                  <w:vAlign w:val="center"/>
                </w:tcPr>
                <w:p w14:paraId="56F88C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en-US"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已建</w:t>
                  </w:r>
                </w:p>
              </w:tc>
            </w:tr>
          </w:tbl>
          <w:p w14:paraId="1F65D843">
            <w:pPr>
              <w:pStyle w:val="32"/>
              <w:keepNext w:val="0"/>
              <w:keepLines w:val="0"/>
              <w:suppressLineNumbers w:val="0"/>
              <w:spacing w:before="0" w:beforeLines="50" w:beforeAutospacing="0" w:after="0" w:afterLines="0" w:afterAutospacing="0" w:line="360" w:lineRule="auto"/>
              <w:ind w:left="0" w:right="120" w:rightChars="50" w:firstLine="482" w:firstLineChars="200"/>
              <w:jc w:val="both"/>
              <w:rPr>
                <w:rFonts w:hint="default" w:ascii="Times New Roman" w:hAnsi="Times New Roman" w:eastAsia="宋体" w:cs="Times New Roman"/>
                <w:b/>
                <w:color w:val="auto"/>
                <w:sz w:val="24"/>
                <w:szCs w:val="21"/>
                <w:highlight w:val="none"/>
              </w:rPr>
            </w:pPr>
            <w:r>
              <w:rPr>
                <w:rFonts w:hint="default" w:ascii="Times New Roman" w:hAnsi="Times New Roman" w:eastAsia="宋体" w:cs="Times New Roman"/>
                <w:b/>
                <w:color w:val="auto"/>
                <w:sz w:val="24"/>
                <w:szCs w:val="21"/>
                <w:highlight w:val="none"/>
              </w:rPr>
              <w:t>1.</w:t>
            </w:r>
            <w:r>
              <w:rPr>
                <w:rFonts w:hint="default" w:ascii="Times New Roman" w:hAnsi="Times New Roman" w:eastAsia="宋体" w:cs="Times New Roman"/>
                <w:b/>
                <w:color w:val="auto"/>
                <w:sz w:val="24"/>
                <w:szCs w:val="21"/>
                <w:highlight w:val="none"/>
                <w:lang w:val="en-US" w:eastAsia="zh-CN"/>
              </w:rPr>
              <w:t>3</w:t>
            </w:r>
            <w:r>
              <w:rPr>
                <w:rFonts w:hint="default" w:ascii="Times New Roman" w:hAnsi="Times New Roman" w:eastAsia="宋体" w:cs="Times New Roman"/>
                <w:b/>
                <w:color w:val="auto"/>
                <w:sz w:val="24"/>
                <w:szCs w:val="21"/>
                <w:highlight w:val="none"/>
              </w:rPr>
              <w:t>.2辐射安全管理现状</w:t>
            </w:r>
          </w:p>
          <w:p w14:paraId="5EB9207C">
            <w:pPr>
              <w:keepNext w:val="0"/>
              <w:keepLines w:val="0"/>
              <w:widowControl w:val="0"/>
              <w:suppressLineNumbers w:val="0"/>
              <w:autoSpaceDE w:val="0"/>
              <w:autoSpaceDN w:val="0"/>
              <w:spacing w:before="0" w:beforeAutospacing="0" w:after="0" w:afterAutospacing="0" w:line="360" w:lineRule="auto"/>
              <w:ind w:left="600" w:leftChars="250" w:right="0" w:right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（1）辐射环境安全管理机构</w:t>
            </w:r>
          </w:p>
          <w:p w14:paraId="4882D3F7">
            <w:pPr>
              <w:pStyle w:val="32"/>
              <w:keepNext w:val="0"/>
              <w:keepLines w:val="0"/>
              <w:suppressLineNumbers w:val="0"/>
              <w:tabs>
                <w:tab w:val="left" w:pos="1190"/>
              </w:tabs>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rPr>
              <w:t>为了加强辐射安全和防护管理，保障各类人员的健康，</w:t>
            </w:r>
            <w:r>
              <w:rPr>
                <w:rFonts w:hint="default" w:ascii="Times New Roman" w:hAnsi="Times New Roman" w:cs="Times New Roman"/>
                <w:color w:val="auto"/>
                <w:sz w:val="24"/>
                <w:szCs w:val="22"/>
                <w:highlight w:val="none"/>
                <w:lang w:val="en-US" w:eastAsia="zh-CN" w:bidi="ar-SA"/>
              </w:rPr>
              <w:t>新疆医科大学附属肿瘤医院</w:t>
            </w:r>
            <w:r>
              <w:rPr>
                <w:rFonts w:hint="default" w:ascii="Times New Roman" w:hAnsi="Times New Roman" w:eastAsia="宋体" w:cs="Times New Roman"/>
                <w:color w:val="auto"/>
                <w:sz w:val="24"/>
                <w:szCs w:val="22"/>
                <w:highlight w:val="none"/>
                <w:lang w:val="en-US" w:eastAsia="zh-CN" w:bidi="ar-SA"/>
              </w:rPr>
              <w:t>于</w:t>
            </w:r>
            <w:r>
              <w:rPr>
                <w:rFonts w:hint="default" w:ascii="Times New Roman" w:hAnsi="Times New Roman" w:cs="Times New Roman"/>
                <w:color w:val="auto"/>
                <w:sz w:val="24"/>
                <w:szCs w:val="22"/>
                <w:highlight w:val="none"/>
                <w:lang w:val="en-US" w:eastAsia="zh-CN" w:bidi="ar-SA"/>
              </w:rPr>
              <w:t>2025年10月27日</w:t>
            </w:r>
            <w:r>
              <w:rPr>
                <w:rFonts w:hint="default" w:ascii="Times New Roman" w:hAnsi="Times New Roman" w:eastAsia="宋体" w:cs="Times New Roman"/>
                <w:color w:val="auto"/>
                <w:sz w:val="24"/>
                <w:szCs w:val="22"/>
                <w:highlight w:val="none"/>
                <w:lang w:val="en-US" w:eastAsia="zh-CN" w:bidi="ar-SA"/>
              </w:rPr>
              <w:t>发布了《</w:t>
            </w:r>
            <w:r>
              <w:rPr>
                <w:rFonts w:hint="default" w:ascii="Times New Roman" w:hAnsi="Times New Roman" w:cs="Times New Roman"/>
                <w:color w:val="auto"/>
                <w:sz w:val="24"/>
                <w:szCs w:val="22"/>
                <w:highlight w:val="none"/>
                <w:lang w:val="en-US" w:eastAsia="zh-CN" w:bidi="ar-SA"/>
              </w:rPr>
              <w:t>关于调整放射防护及辐射安全管理委员会委员的通知</w:t>
            </w:r>
            <w:r>
              <w:rPr>
                <w:rFonts w:hint="default" w:ascii="Times New Roman" w:hAnsi="Times New Roman" w:eastAsia="宋体" w:cs="Times New Roman"/>
                <w:color w:val="auto"/>
                <w:sz w:val="24"/>
                <w:szCs w:val="22"/>
                <w:highlight w:val="none"/>
                <w:lang w:val="en-US" w:eastAsia="zh-CN" w:bidi="ar-SA"/>
              </w:rPr>
              <w:t>》（</w:t>
            </w:r>
            <w:r>
              <w:rPr>
                <w:rFonts w:hint="default" w:ascii="Times New Roman" w:hAnsi="Times New Roman" w:cs="Times New Roman"/>
                <w:color w:val="auto"/>
                <w:sz w:val="24"/>
                <w:szCs w:val="22"/>
                <w:highlight w:val="none"/>
                <w:lang w:val="en-US" w:eastAsia="zh-CN" w:bidi="ar-SA"/>
              </w:rPr>
              <w:t>新医大附肿〔2025〕75号</w:t>
            </w:r>
            <w:r>
              <w:rPr>
                <w:rFonts w:hint="default" w:ascii="Times New Roman" w:hAnsi="Times New Roman" w:eastAsia="宋体" w:cs="Times New Roman"/>
                <w:color w:val="auto"/>
                <w:sz w:val="24"/>
                <w:szCs w:val="22"/>
                <w:highlight w:val="none"/>
                <w:lang w:val="en-US" w:eastAsia="zh-CN" w:bidi="ar-SA"/>
              </w:rPr>
              <w:t>），该通知调整了辐射安全管理委员</w:t>
            </w:r>
            <w:r>
              <w:rPr>
                <w:rFonts w:hint="default" w:ascii="Times New Roman" w:hAnsi="Times New Roman" w:cs="Times New Roman"/>
                <w:color w:val="auto"/>
                <w:sz w:val="24"/>
                <w:szCs w:val="22"/>
                <w:highlight w:val="none"/>
                <w:lang w:val="en-US" w:eastAsia="zh-CN" w:bidi="ar-SA"/>
              </w:rPr>
              <w:t>会</w:t>
            </w:r>
            <w:r>
              <w:rPr>
                <w:rFonts w:hint="default" w:ascii="Times New Roman" w:hAnsi="Times New Roman" w:eastAsia="宋体" w:cs="Times New Roman"/>
                <w:color w:val="auto"/>
                <w:sz w:val="24"/>
                <w:szCs w:val="22"/>
                <w:highlight w:val="none"/>
                <w:lang w:val="en-US" w:eastAsia="zh-CN" w:bidi="ar-SA"/>
              </w:rPr>
              <w:t>相关成员，具体为</w:t>
            </w:r>
            <w:r>
              <w:rPr>
                <w:rFonts w:hint="default" w:ascii="Times New Roman" w:hAnsi="Times New Roman" w:cs="Times New Roman"/>
                <w:color w:val="auto"/>
                <w:sz w:val="24"/>
                <w:szCs w:val="22"/>
                <w:highlight w:val="none"/>
                <w:lang w:val="en-US" w:eastAsia="zh-CN" w:bidi="ar-SA"/>
              </w:rPr>
              <w:t>由医院法人</w:t>
            </w:r>
            <w:r>
              <w:rPr>
                <w:rFonts w:hint="default" w:ascii="Times New Roman" w:hAnsi="Times New Roman" w:eastAsia="宋体" w:cs="Times New Roman"/>
                <w:color w:val="auto"/>
                <w:sz w:val="24"/>
                <w:szCs w:val="22"/>
                <w:highlight w:val="none"/>
                <w:lang w:val="en-US" w:eastAsia="zh-CN" w:bidi="ar-SA"/>
              </w:rPr>
              <w:t>张永刚担任放射防护及辐射安全管理委员会主任，吴兰华担任放射防护及辐射安全管理委员会副主任，相关科室人员任放射防护及辐射安全管理委员会委员，</w:t>
            </w:r>
            <w:r>
              <w:rPr>
                <w:rFonts w:hint="default" w:ascii="Times New Roman" w:hAnsi="Times New Roman" w:cs="Times New Roman"/>
                <w:color w:val="auto"/>
                <w:sz w:val="24"/>
                <w:szCs w:val="22"/>
                <w:highlight w:val="none"/>
                <w:lang w:val="en-US" w:eastAsia="zh-CN" w:bidi="ar-SA"/>
              </w:rPr>
              <w:t>戴姗姗</w:t>
            </w:r>
            <w:r>
              <w:rPr>
                <w:rFonts w:hint="default" w:ascii="Times New Roman" w:hAnsi="Times New Roman" w:eastAsia="宋体" w:cs="Times New Roman"/>
                <w:color w:val="auto"/>
                <w:sz w:val="24"/>
                <w:szCs w:val="22"/>
                <w:highlight w:val="none"/>
                <w:lang w:val="en-US" w:eastAsia="zh-CN" w:bidi="ar-SA"/>
              </w:rPr>
              <w:t>任辐射安全管理专职人员</w:t>
            </w:r>
            <w:r>
              <w:rPr>
                <w:rFonts w:hint="default" w:ascii="Times New Roman" w:hAnsi="Times New Roman"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lang w:val="en-US" w:eastAsia="zh-CN" w:bidi="ar-SA"/>
              </w:rPr>
              <w:t>辐射环境安全管理机构文件见附件</w:t>
            </w:r>
            <w:r>
              <w:rPr>
                <w:rFonts w:hint="default" w:ascii="Times New Roman" w:hAnsi="Times New Roman" w:cs="Times New Roman"/>
                <w:color w:val="auto"/>
                <w:sz w:val="24"/>
                <w:szCs w:val="22"/>
                <w:highlight w:val="none"/>
                <w:lang w:val="en-US" w:eastAsia="zh-CN" w:bidi="ar-SA"/>
              </w:rPr>
              <w:t>3</w:t>
            </w:r>
            <w:r>
              <w:rPr>
                <w:rFonts w:hint="default" w:ascii="Times New Roman" w:hAnsi="Times New Roman" w:eastAsia="宋体" w:cs="Times New Roman"/>
                <w:color w:val="auto"/>
                <w:sz w:val="24"/>
                <w:szCs w:val="22"/>
                <w:highlight w:val="none"/>
                <w:lang w:val="en-US" w:eastAsia="zh-CN" w:bidi="ar-SA"/>
              </w:rPr>
              <w:t>。</w:t>
            </w:r>
          </w:p>
          <w:p w14:paraId="2686BDC9">
            <w:pPr>
              <w:pStyle w:val="19"/>
              <w:keepNext w:val="0"/>
              <w:keepLines w:val="0"/>
              <w:widowControl w:val="0"/>
              <w:suppressLineNumbers w:val="0"/>
              <w:autoSpaceDE w:val="0"/>
              <w:autoSpaceDN w:val="0"/>
              <w:spacing w:before="0" w:beforeAutospacing="0" w:after="0" w:afterAutospacing="0" w:line="360" w:lineRule="auto"/>
              <w:ind w:left="120" w:leftChars="50" w:right="120" w:rightChars="50" w:firstLine="480" w:firstLineChars="200"/>
              <w:jc w:val="both"/>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（2）已建立的辐射防护规章制度及执行情况</w:t>
            </w:r>
          </w:p>
          <w:p w14:paraId="7252DF0D">
            <w:pPr>
              <w:pStyle w:val="32"/>
              <w:keepNext w:val="0"/>
              <w:keepLines w:val="0"/>
              <w:suppressLineNumbers w:val="0"/>
              <w:tabs>
                <w:tab w:val="left" w:pos="1190"/>
              </w:tabs>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cs="Times New Roman"/>
                <w:color w:val="auto"/>
                <w:sz w:val="24"/>
                <w:szCs w:val="22"/>
                <w:highlight w:val="none"/>
                <w:lang w:val="en-US" w:eastAsia="zh-CN" w:bidi="ar-SA"/>
              </w:rPr>
              <w:t>新疆医科大学附属肿瘤医院</w:t>
            </w:r>
            <w:r>
              <w:rPr>
                <w:rFonts w:hint="default" w:ascii="Times New Roman" w:hAnsi="Times New Roman" w:eastAsia="宋体" w:cs="Times New Roman"/>
                <w:color w:val="auto"/>
                <w:sz w:val="24"/>
                <w:szCs w:val="22"/>
                <w:highlight w:val="none"/>
                <w:lang w:val="en-US" w:eastAsia="zh-CN" w:bidi="ar-SA"/>
              </w:rPr>
              <w:t>制定了</w:t>
            </w:r>
            <w:r>
              <w:rPr>
                <w:rFonts w:hint="default" w:ascii="Times New Roman" w:hAnsi="Times New Roman" w:cs="Times New Roman"/>
                <w:color w:val="auto"/>
                <w:sz w:val="24"/>
                <w:szCs w:val="22"/>
                <w:highlight w:val="none"/>
                <w:lang w:val="en-US" w:eastAsia="zh-CN" w:bidi="ar-SA"/>
              </w:rPr>
              <w:t>一系列辐射安全管理制度</w:t>
            </w:r>
            <w:r>
              <w:rPr>
                <w:rFonts w:hint="default" w:ascii="Times New Roman" w:hAnsi="Times New Roman" w:eastAsia="宋体" w:cs="Times New Roman"/>
                <w:color w:val="auto"/>
                <w:sz w:val="24"/>
                <w:szCs w:val="22"/>
                <w:highlight w:val="none"/>
                <w:lang w:val="en-US" w:eastAsia="zh-CN" w:bidi="ar-SA"/>
              </w:rPr>
              <w:t>，其中包含《新疆医科大学附属肿瘤医院放射防护及辐射安全管理制度》《辐射安全总则》《辐射防护和安全保卫制度》《操作规程》《岗位职责》《设备检修维护制度》《人员培训制度》《辐射监测方案》《个人剂量管理和健康管理规定》《辐射监测仪器使用维护操作规程》《台账管理制度》《医院放射性废物处理规范》《放射防护及辐射安全管理制度(修订)的通知》《核医学SOP制度》《核医学规章制度细则》</w:t>
            </w:r>
            <w:r>
              <w:rPr>
                <w:rFonts w:hint="default" w:ascii="Times New Roman" w:hAnsi="Times New Roman" w:cs="Times New Roman"/>
                <w:color w:val="auto"/>
                <w:sz w:val="24"/>
                <w:szCs w:val="22"/>
                <w:highlight w:val="none"/>
                <w:lang w:val="en-US" w:eastAsia="zh-CN" w:bidi="ar-SA"/>
              </w:rPr>
              <w:t>。新疆医科大学附属肿瘤医院</w:t>
            </w:r>
            <w:r>
              <w:rPr>
                <w:rFonts w:hint="default" w:ascii="Times New Roman" w:hAnsi="Times New Roman" w:eastAsia="宋体" w:cs="Times New Roman"/>
                <w:color w:val="auto"/>
                <w:sz w:val="24"/>
                <w:szCs w:val="22"/>
                <w:highlight w:val="none"/>
                <w:lang w:val="en-US" w:eastAsia="zh-CN" w:bidi="ar-SA"/>
              </w:rPr>
              <w:t>现有的辐射防护规章制度较完善，</w:t>
            </w:r>
            <w:r>
              <w:rPr>
                <w:rFonts w:hint="default" w:ascii="Times New Roman" w:hAnsi="Times New Roman" w:cs="Times New Roman"/>
                <w:color w:val="auto"/>
                <w:sz w:val="24"/>
                <w:szCs w:val="22"/>
                <w:highlight w:val="none"/>
                <w:lang w:val="en-US" w:eastAsia="zh-CN" w:bidi="ar-SA"/>
              </w:rPr>
              <w:t>执行情况较好，核技术利用期间未发生重大辐射事故</w:t>
            </w:r>
            <w:r>
              <w:rPr>
                <w:rFonts w:hint="default" w:ascii="Times New Roman" w:hAnsi="Times New Roman" w:eastAsia="宋体" w:cs="Times New Roman"/>
                <w:color w:val="auto"/>
                <w:sz w:val="24"/>
                <w:szCs w:val="22"/>
                <w:highlight w:val="none"/>
                <w:lang w:val="en-US" w:eastAsia="zh-CN" w:bidi="ar-SA"/>
              </w:rPr>
              <w:t>。</w:t>
            </w:r>
          </w:p>
          <w:p w14:paraId="563E48D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53" w:lineRule="auto"/>
              <w:ind w:left="600" w:leftChars="250" w:right="0" w:right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（3）辐射工作人员培训</w:t>
            </w:r>
          </w:p>
          <w:p w14:paraId="6969869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53" w:lineRule="auto"/>
              <w:ind w:left="0" w:right="0" w:firstLine="480" w:firstLineChars="200"/>
              <w:jc w:val="left"/>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本项目</w:t>
            </w:r>
            <w:r>
              <w:rPr>
                <w:rFonts w:hint="default" w:ascii="Times New Roman" w:hAnsi="Times New Roman" w:cs="Times New Roman"/>
                <w:color w:val="auto"/>
                <w:sz w:val="24"/>
                <w:szCs w:val="22"/>
                <w:highlight w:val="none"/>
                <w:lang w:val="en-US" w:eastAsia="zh-CN" w:bidi="ar-SA"/>
              </w:rPr>
              <w:t>依托现有</w:t>
            </w:r>
            <w:r>
              <w:rPr>
                <w:rFonts w:hint="eastAsia" w:cs="Times New Roman"/>
                <w:color w:val="auto"/>
                <w:sz w:val="24"/>
                <w:szCs w:val="22"/>
                <w:highlight w:val="none"/>
                <w:lang w:val="en-US" w:eastAsia="zh-CN" w:bidi="ar-SA"/>
              </w:rPr>
              <w:t>35名</w:t>
            </w:r>
            <w:r>
              <w:rPr>
                <w:rFonts w:hint="default" w:ascii="Times New Roman" w:hAnsi="Times New Roman" w:cs="Times New Roman"/>
                <w:color w:val="auto"/>
                <w:sz w:val="24"/>
                <w:szCs w:val="22"/>
                <w:highlight w:val="none"/>
                <w:lang w:val="en-US" w:eastAsia="zh-CN" w:bidi="ar-SA"/>
              </w:rPr>
              <w:t>辐射工作人员，不新增劳动定员</w:t>
            </w:r>
            <w:r>
              <w:rPr>
                <w:rFonts w:hint="default" w:ascii="Times New Roman" w:hAnsi="Times New Roman" w:eastAsia="宋体" w:cs="Times New Roman"/>
                <w:color w:val="auto"/>
                <w:sz w:val="24"/>
                <w:szCs w:val="22"/>
                <w:highlight w:val="none"/>
                <w:lang w:val="en-US" w:eastAsia="zh-CN" w:bidi="ar-SA"/>
              </w:rPr>
              <w:t>。</w:t>
            </w:r>
            <w:r>
              <w:rPr>
                <w:rFonts w:hint="default" w:ascii="Times New Roman" w:hAnsi="Times New Roman" w:cs="Times New Roman"/>
                <w:color w:val="auto"/>
                <w:sz w:val="24"/>
                <w:szCs w:val="22"/>
                <w:highlight w:val="none"/>
                <w:lang w:val="en-US" w:eastAsia="zh-CN" w:bidi="ar-SA"/>
              </w:rPr>
              <w:t>医院</w:t>
            </w:r>
            <w:r>
              <w:rPr>
                <w:rFonts w:hint="default" w:ascii="Times New Roman" w:hAnsi="Times New Roman" w:eastAsia="宋体" w:cs="Times New Roman"/>
                <w:color w:val="auto"/>
                <w:sz w:val="24"/>
                <w:szCs w:val="22"/>
                <w:highlight w:val="none"/>
                <w:lang w:val="en-US" w:eastAsia="zh-CN" w:bidi="ar-SA"/>
              </w:rPr>
              <w:t>核技术利用辐射安全与防护考核培训证书见附件</w:t>
            </w:r>
            <w:r>
              <w:rPr>
                <w:rFonts w:hint="default" w:ascii="Times New Roman" w:hAnsi="Times New Roman" w:cs="Times New Roman"/>
                <w:color w:val="auto"/>
                <w:sz w:val="24"/>
                <w:szCs w:val="22"/>
                <w:highlight w:val="none"/>
                <w:lang w:val="en-US" w:eastAsia="zh-CN" w:bidi="ar-SA"/>
              </w:rPr>
              <w:t>4</w:t>
            </w:r>
            <w:r>
              <w:rPr>
                <w:rFonts w:hint="default" w:ascii="Times New Roman" w:hAnsi="Times New Roman" w:eastAsia="宋体" w:cs="Times New Roman"/>
                <w:color w:val="auto"/>
                <w:sz w:val="24"/>
                <w:szCs w:val="22"/>
                <w:highlight w:val="none"/>
                <w:lang w:val="en-US" w:eastAsia="zh-CN" w:bidi="ar-SA"/>
              </w:rPr>
              <w:t>。</w:t>
            </w:r>
          </w:p>
          <w:p w14:paraId="5CC0427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53" w:lineRule="auto"/>
              <w:ind w:left="600" w:leftChars="250" w:right="0" w:rightChars="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（4）辐射工作人员个人剂量监测</w:t>
            </w:r>
          </w:p>
          <w:p w14:paraId="2CDFCE63">
            <w:pPr>
              <w:pStyle w:val="32"/>
              <w:keepNext w:val="0"/>
              <w:keepLines w:val="0"/>
              <w:pageBreakBefore w:val="0"/>
              <w:widowControl w:val="0"/>
              <w:suppressLineNumbers w:val="0"/>
              <w:tabs>
                <w:tab w:val="left" w:pos="1190"/>
              </w:tabs>
              <w:kinsoku/>
              <w:wordWrap/>
              <w:overflowPunct/>
              <w:topLinePunct w:val="0"/>
              <w:autoSpaceDE w:val="0"/>
              <w:autoSpaceDN w:val="0"/>
              <w:bidi w:val="0"/>
              <w:adjustRightInd/>
              <w:snapToGrid/>
              <w:spacing w:before="0" w:beforeLines="0" w:beforeAutospacing="0" w:after="0" w:afterLines="0" w:afterAutospacing="0" w:line="353" w:lineRule="auto"/>
              <w:ind w:left="0" w:right="0" w:firstLine="480" w:firstLineChars="200"/>
              <w:jc w:val="both"/>
              <w:textAlignment w:val="auto"/>
              <w:rPr>
                <w:rFonts w:hint="default" w:ascii="Times New Roman" w:hAnsi="Times New Roman" w:eastAsia="宋体" w:cs="Times New Roman"/>
                <w:b/>
                <w:bCs/>
                <w:color w:val="auto"/>
                <w:sz w:val="24"/>
                <w:szCs w:val="22"/>
                <w:highlight w:val="none"/>
                <w:lang w:val="en-US" w:eastAsia="zh-CN" w:bidi="ar-SA"/>
              </w:rPr>
            </w:pPr>
            <w:r>
              <w:rPr>
                <w:rFonts w:hint="default" w:ascii="Times New Roman" w:hAnsi="Times New Roman" w:cs="Times New Roman"/>
                <w:color w:val="auto"/>
                <w:sz w:val="24"/>
                <w:szCs w:val="22"/>
                <w:highlight w:val="none"/>
                <w:lang w:val="en-US" w:eastAsia="zh-CN" w:bidi="ar-SA"/>
              </w:rPr>
              <w:t>新疆医科大学附属肿瘤医院</w:t>
            </w:r>
            <w:r>
              <w:rPr>
                <w:rFonts w:hint="default" w:ascii="Times New Roman" w:hAnsi="Times New Roman" w:eastAsia="宋体" w:cs="Times New Roman"/>
                <w:color w:val="auto"/>
                <w:sz w:val="24"/>
                <w:szCs w:val="22"/>
                <w:highlight w:val="none"/>
                <w:lang w:val="en-US" w:eastAsia="zh-CN" w:bidi="ar-SA"/>
              </w:rPr>
              <w:t>已为辐射工作人员开展个人剂量监测委托监测多年</w:t>
            </w:r>
            <w:r>
              <w:rPr>
                <w:rFonts w:hint="default" w:ascii="Times New Roman" w:hAnsi="Times New Roman"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lang w:val="en-US" w:eastAsia="zh-CN" w:bidi="ar-SA"/>
              </w:rPr>
              <w:t>现有辐射工作人员个人剂量监测报告见</w:t>
            </w:r>
            <w:r>
              <w:rPr>
                <w:rFonts w:hint="default" w:ascii="Times New Roman" w:hAnsi="Times New Roman" w:cs="Times New Roman"/>
                <w:color w:val="auto"/>
                <w:sz w:val="24"/>
                <w:szCs w:val="22"/>
                <w:highlight w:val="none"/>
                <w:lang w:val="en-US" w:eastAsia="zh-CN" w:bidi="ar-SA"/>
              </w:rPr>
              <w:t>附件5</w:t>
            </w:r>
            <w:r>
              <w:rPr>
                <w:rFonts w:hint="default" w:ascii="Times New Roman" w:hAnsi="Times New Roman" w:eastAsia="宋体" w:cs="Times New Roman"/>
                <w:color w:val="auto"/>
                <w:sz w:val="24"/>
                <w:szCs w:val="22"/>
                <w:highlight w:val="none"/>
                <w:lang w:val="en-US" w:eastAsia="zh-CN" w:bidi="ar-SA"/>
              </w:rPr>
              <w:t>。</w:t>
            </w:r>
          </w:p>
          <w:p w14:paraId="2482247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53" w:lineRule="auto"/>
              <w:ind w:left="600" w:leftChars="250" w:right="0" w:rightChars="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（5）辐射事故应急管理</w:t>
            </w:r>
          </w:p>
          <w:p w14:paraId="4545F3F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53" w:lineRule="auto"/>
              <w:ind w:left="0" w:right="0" w:rightChars="0"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新疆医科大学附属肿瘤医院</w:t>
            </w:r>
            <w:r>
              <w:rPr>
                <w:rFonts w:hint="default" w:ascii="Times New Roman" w:hAnsi="Times New Roman" w:eastAsia="宋体" w:cs="Times New Roman"/>
                <w:color w:val="auto"/>
                <w:kern w:val="0"/>
                <w:sz w:val="24"/>
                <w:szCs w:val="24"/>
                <w:highlight w:val="none"/>
                <w:lang w:val="en-US" w:eastAsia="zh-CN" w:bidi="ar"/>
              </w:rPr>
              <w:t>已依据《</w:t>
            </w:r>
            <w:r>
              <w:rPr>
                <w:rFonts w:hint="default" w:ascii="Times New Roman" w:hAnsi="Times New Roman" w:eastAsia="宋体" w:cs="Times New Roman"/>
                <w:color w:val="auto"/>
                <w:kern w:val="0"/>
                <w:sz w:val="24"/>
                <w:szCs w:val="24"/>
                <w:highlight w:val="none"/>
                <w:vertAlign w:val="baseline"/>
                <w:lang w:val="en-US" w:eastAsia="zh-CN" w:bidi="ar"/>
              </w:rPr>
              <w:t>放射性同位素</w:t>
            </w:r>
            <w:r>
              <w:rPr>
                <w:rFonts w:hint="default" w:ascii="Times New Roman" w:hAnsi="Times New Roman" w:eastAsia="宋体" w:cs="Times New Roman"/>
                <w:color w:val="auto"/>
                <w:kern w:val="0"/>
                <w:sz w:val="24"/>
                <w:szCs w:val="24"/>
                <w:highlight w:val="none"/>
                <w:lang w:val="en-US" w:eastAsia="zh-CN" w:bidi="ar"/>
              </w:rPr>
              <w:t>与射线装置安全和防护管理办法》、《</w:t>
            </w:r>
            <w:r>
              <w:rPr>
                <w:rFonts w:hint="default" w:ascii="Times New Roman" w:hAnsi="Times New Roman" w:eastAsia="宋体" w:cs="Times New Roman"/>
                <w:color w:val="auto"/>
                <w:kern w:val="0"/>
                <w:sz w:val="24"/>
                <w:szCs w:val="24"/>
                <w:highlight w:val="none"/>
                <w:vertAlign w:val="baseline"/>
                <w:lang w:val="en-US" w:eastAsia="zh-CN" w:bidi="ar"/>
              </w:rPr>
              <w:t>放射性同位素</w:t>
            </w:r>
            <w:r>
              <w:rPr>
                <w:rFonts w:hint="default" w:ascii="Times New Roman" w:hAnsi="Times New Roman" w:eastAsia="宋体" w:cs="Times New Roman"/>
                <w:color w:val="auto"/>
                <w:kern w:val="0"/>
                <w:sz w:val="24"/>
                <w:szCs w:val="24"/>
                <w:highlight w:val="none"/>
                <w:lang w:val="en-US" w:eastAsia="zh-CN" w:bidi="ar"/>
              </w:rPr>
              <w:t>与射线装置安全和防护条例》《</w:t>
            </w:r>
            <w:r>
              <w:rPr>
                <w:rFonts w:hint="default" w:ascii="Times New Roman" w:hAnsi="Times New Roman" w:eastAsia="宋体" w:cs="Times New Roman"/>
                <w:color w:val="auto"/>
                <w:kern w:val="0"/>
                <w:sz w:val="24"/>
                <w:szCs w:val="24"/>
                <w:highlight w:val="none"/>
                <w:vertAlign w:val="baseline"/>
                <w:lang w:val="en-US" w:eastAsia="zh-CN" w:bidi="ar"/>
              </w:rPr>
              <w:t>放射性同位素</w:t>
            </w:r>
            <w:r>
              <w:rPr>
                <w:rFonts w:hint="default" w:ascii="Times New Roman" w:hAnsi="Times New Roman" w:eastAsia="宋体" w:cs="Times New Roman"/>
                <w:color w:val="auto"/>
                <w:kern w:val="0"/>
                <w:sz w:val="24"/>
                <w:szCs w:val="24"/>
                <w:highlight w:val="none"/>
                <w:lang w:val="en-US" w:eastAsia="zh-CN" w:bidi="ar"/>
              </w:rPr>
              <w:t>与射线装置安全许可管理办法》等法律法规的要求，</w:t>
            </w:r>
            <w:r>
              <w:rPr>
                <w:rFonts w:hint="default" w:ascii="Times New Roman" w:hAnsi="Times New Roman" w:cs="Times New Roman"/>
                <w:color w:val="auto"/>
                <w:kern w:val="0"/>
                <w:sz w:val="24"/>
                <w:szCs w:val="24"/>
                <w:highlight w:val="none"/>
                <w:lang w:val="en-US" w:eastAsia="zh-CN" w:bidi="ar"/>
              </w:rPr>
              <w:t>于2025年10月27日修订了《新疆医科大学附属肿瘤医院辐射事故应急处理预案》</w:t>
            </w:r>
            <w:r>
              <w:rPr>
                <w:rFonts w:hint="default" w:ascii="Times New Roman" w:hAnsi="Times New Roman" w:eastAsia="宋体" w:cs="Times New Roman"/>
                <w:color w:val="auto"/>
                <w:kern w:val="0"/>
                <w:sz w:val="24"/>
                <w:szCs w:val="24"/>
                <w:highlight w:val="none"/>
                <w:lang w:val="en-US" w:eastAsia="zh-CN" w:bidi="ar"/>
              </w:rPr>
              <w:t>同时该预案中进一步明确规定了医院有关意外放射事件处理的组织机构及其职责、事故报告、信息发布和应急处理程序等，其内容能够满足医院实际辐射工作的需要。</w:t>
            </w:r>
            <w:r>
              <w:rPr>
                <w:rFonts w:hint="default" w:ascii="Times New Roman" w:hAnsi="Times New Roman" w:cs="Times New Roman"/>
                <w:color w:val="auto"/>
                <w:kern w:val="0"/>
                <w:sz w:val="24"/>
                <w:szCs w:val="24"/>
                <w:highlight w:val="none"/>
                <w:lang w:val="en-US" w:eastAsia="zh-CN" w:bidi="ar"/>
              </w:rPr>
              <w:t>预案</w:t>
            </w:r>
            <w:r>
              <w:rPr>
                <w:rFonts w:hint="default" w:ascii="Times New Roman" w:hAnsi="Times New Roman" w:eastAsia="宋体" w:cs="Times New Roman"/>
                <w:color w:val="auto"/>
                <w:sz w:val="24"/>
                <w:szCs w:val="22"/>
                <w:highlight w:val="none"/>
                <w:lang w:val="en-US" w:eastAsia="zh-CN" w:bidi="ar-SA"/>
              </w:rPr>
              <w:t>见附件</w:t>
            </w:r>
            <w:r>
              <w:rPr>
                <w:rFonts w:hint="default" w:ascii="Times New Roman" w:hAnsi="Times New Roman" w:cs="Times New Roman"/>
                <w:color w:val="auto"/>
                <w:sz w:val="24"/>
                <w:szCs w:val="22"/>
                <w:highlight w:val="none"/>
                <w:lang w:val="en-US" w:eastAsia="zh-CN" w:bidi="ar-SA"/>
              </w:rPr>
              <w:t>6。</w:t>
            </w:r>
          </w:p>
          <w:p w14:paraId="62B7BB6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53" w:lineRule="auto"/>
              <w:ind w:left="600" w:leftChars="250" w:right="0" w:rightChars="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（6）辐射环境监测</w:t>
            </w:r>
          </w:p>
          <w:p w14:paraId="340BAB4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53" w:lineRule="auto"/>
              <w:ind w:left="0" w:right="0" w:rightChars="0"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新疆医科大学附属肿瘤医院</w:t>
            </w:r>
            <w:r>
              <w:rPr>
                <w:rFonts w:hint="default" w:ascii="Times New Roman" w:hAnsi="Times New Roman" w:eastAsia="宋体" w:cs="Times New Roman"/>
                <w:color w:val="auto"/>
                <w:kern w:val="0"/>
                <w:sz w:val="24"/>
                <w:szCs w:val="24"/>
                <w:highlight w:val="none"/>
                <w:lang w:val="en-US" w:eastAsia="zh-CN" w:bidi="ar"/>
              </w:rPr>
              <w:t>已依据《</w:t>
            </w:r>
            <w:r>
              <w:rPr>
                <w:rFonts w:hint="default" w:ascii="Times New Roman" w:hAnsi="Times New Roman" w:eastAsia="宋体" w:cs="Times New Roman"/>
                <w:color w:val="auto"/>
                <w:kern w:val="0"/>
                <w:sz w:val="24"/>
                <w:szCs w:val="24"/>
                <w:highlight w:val="none"/>
                <w:vertAlign w:val="baseline"/>
                <w:lang w:val="en-US" w:eastAsia="zh-CN" w:bidi="ar"/>
              </w:rPr>
              <w:t>放射性同位素</w:t>
            </w:r>
            <w:r>
              <w:rPr>
                <w:rFonts w:hint="default" w:ascii="Times New Roman" w:hAnsi="Times New Roman" w:eastAsia="宋体" w:cs="Times New Roman"/>
                <w:color w:val="auto"/>
                <w:kern w:val="0"/>
                <w:sz w:val="24"/>
                <w:szCs w:val="24"/>
                <w:highlight w:val="none"/>
                <w:lang w:val="en-US" w:eastAsia="zh-CN" w:bidi="ar"/>
              </w:rPr>
              <w:t>与射线装置安全和防护管理办法》、《</w:t>
            </w:r>
            <w:r>
              <w:rPr>
                <w:rFonts w:hint="default" w:ascii="Times New Roman" w:hAnsi="Times New Roman" w:eastAsia="宋体" w:cs="Times New Roman"/>
                <w:color w:val="auto"/>
                <w:kern w:val="0"/>
                <w:sz w:val="24"/>
                <w:szCs w:val="24"/>
                <w:highlight w:val="none"/>
                <w:vertAlign w:val="baseline"/>
                <w:lang w:val="en-US" w:eastAsia="zh-CN" w:bidi="ar"/>
              </w:rPr>
              <w:t>放射性同位素</w:t>
            </w:r>
            <w:r>
              <w:rPr>
                <w:rFonts w:hint="default" w:ascii="Times New Roman" w:hAnsi="Times New Roman" w:eastAsia="宋体" w:cs="Times New Roman"/>
                <w:color w:val="auto"/>
                <w:kern w:val="0"/>
                <w:sz w:val="24"/>
                <w:szCs w:val="24"/>
                <w:highlight w:val="none"/>
                <w:lang w:val="en-US" w:eastAsia="zh-CN" w:bidi="ar"/>
              </w:rPr>
              <w:t>与射线装置安全和防护条例》《</w:t>
            </w:r>
            <w:r>
              <w:rPr>
                <w:rFonts w:hint="default" w:ascii="Times New Roman" w:hAnsi="Times New Roman" w:eastAsia="宋体" w:cs="Times New Roman"/>
                <w:color w:val="auto"/>
                <w:kern w:val="0"/>
                <w:sz w:val="24"/>
                <w:szCs w:val="24"/>
                <w:highlight w:val="none"/>
                <w:vertAlign w:val="baseline"/>
                <w:lang w:val="en-US" w:eastAsia="zh-CN" w:bidi="ar"/>
              </w:rPr>
              <w:t>放射性同位素</w:t>
            </w:r>
            <w:r>
              <w:rPr>
                <w:rFonts w:hint="default" w:ascii="Times New Roman" w:hAnsi="Times New Roman" w:eastAsia="宋体" w:cs="Times New Roman"/>
                <w:color w:val="auto"/>
                <w:kern w:val="0"/>
                <w:sz w:val="24"/>
                <w:szCs w:val="24"/>
                <w:highlight w:val="none"/>
                <w:lang w:val="en-US" w:eastAsia="zh-CN" w:bidi="ar"/>
              </w:rPr>
              <w:t>与射线装置安全许可管理办法》等法律法规的要求，每年委托有资质单位对现有辐射工作场所进行监测，保证辐射工作场所的人员安全。医院也制定了《辐射监测方案》，定期自主监测，保证出现异常照射情况能及时发现。</w:t>
            </w:r>
          </w:p>
          <w:p w14:paraId="5F7D32FD">
            <w:pPr>
              <w:pStyle w:val="32"/>
              <w:keepNext w:val="0"/>
              <w:keepLines w:val="0"/>
              <w:pageBreakBefore w:val="0"/>
              <w:widowControl w:val="0"/>
              <w:suppressLineNumbers w:val="0"/>
              <w:tabs>
                <w:tab w:val="left" w:pos="1190"/>
              </w:tabs>
              <w:kinsoku/>
              <w:wordWrap/>
              <w:overflowPunct/>
              <w:topLinePunct w:val="0"/>
              <w:autoSpaceDE w:val="0"/>
              <w:autoSpaceDN w:val="0"/>
              <w:bidi w:val="0"/>
              <w:adjustRightInd/>
              <w:snapToGrid/>
              <w:spacing w:before="0" w:beforeLines="0" w:beforeAutospacing="0" w:after="0" w:afterLines="0" w:afterAutospacing="0" w:line="353" w:lineRule="auto"/>
              <w:ind w:left="0" w:right="0" w:firstLine="480" w:firstLineChars="200"/>
              <w:jc w:val="both"/>
              <w:textAlignment w:val="auto"/>
              <w:rPr>
                <w:rFonts w:hint="default" w:cs="Times New Roman"/>
                <w:color w:val="auto"/>
                <w:sz w:val="24"/>
                <w:szCs w:val="22"/>
                <w:highlight w:val="none"/>
                <w:lang w:val="en-US" w:eastAsia="zh-CN" w:bidi="ar-SA"/>
              </w:rPr>
            </w:pPr>
            <w:r>
              <w:rPr>
                <w:rFonts w:hint="eastAsia" w:cs="Times New Roman"/>
                <w:color w:val="auto"/>
                <w:sz w:val="24"/>
                <w:szCs w:val="22"/>
                <w:highlight w:val="none"/>
                <w:lang w:val="en-US" w:eastAsia="zh-CN" w:bidi="ar-SA"/>
              </w:rPr>
              <w:t>（7）现有核技术利用项目合规情况</w:t>
            </w:r>
          </w:p>
          <w:p w14:paraId="19691F3C">
            <w:pPr>
              <w:pStyle w:val="32"/>
              <w:keepNext w:val="0"/>
              <w:keepLines w:val="0"/>
              <w:pageBreakBefore w:val="0"/>
              <w:widowControl w:val="0"/>
              <w:suppressLineNumbers w:val="0"/>
              <w:tabs>
                <w:tab w:val="left" w:pos="1190"/>
              </w:tabs>
              <w:kinsoku/>
              <w:wordWrap/>
              <w:overflowPunct/>
              <w:topLinePunct w:val="0"/>
              <w:autoSpaceDE w:val="0"/>
              <w:autoSpaceDN w:val="0"/>
              <w:bidi w:val="0"/>
              <w:adjustRightInd/>
              <w:snapToGrid/>
              <w:spacing w:before="0" w:beforeLines="0" w:beforeAutospacing="0" w:after="0" w:afterLines="0" w:afterAutospacing="0" w:line="353" w:lineRule="auto"/>
              <w:ind w:left="0" w:right="0" w:firstLine="480" w:firstLineChars="200"/>
              <w:jc w:val="both"/>
              <w:textAlignment w:val="auto"/>
              <w:rPr>
                <w:rFonts w:hint="eastAsia" w:cs="Times New Roman"/>
                <w:color w:val="auto"/>
                <w:sz w:val="24"/>
                <w:szCs w:val="22"/>
                <w:highlight w:val="none"/>
                <w:lang w:val="en-US" w:eastAsia="zh-CN" w:bidi="ar-SA"/>
              </w:rPr>
            </w:pPr>
            <w:r>
              <w:rPr>
                <w:rFonts w:hint="eastAsia" w:cs="Times New Roman"/>
                <w:color w:val="auto"/>
                <w:sz w:val="24"/>
                <w:szCs w:val="22"/>
                <w:highlight w:val="none"/>
                <w:lang w:val="en-US" w:eastAsia="zh-CN" w:bidi="ar-SA"/>
              </w:rPr>
              <w:t>医院北院区核医学科于2025年1月开工，2025年11月17日取得辐射安全许可证，2026年5月9日单光子诊疗区域、核素治疗区域建成投运并完成竣工环保验收，现有项目配套环境保护设施及辐射防护措施设置规范，现场核查未发现工艺缺陷及需整改完善的问题。</w:t>
            </w:r>
          </w:p>
          <w:p w14:paraId="26AB9A2C">
            <w:pPr>
              <w:pStyle w:val="32"/>
              <w:keepNext w:val="0"/>
              <w:keepLines w:val="0"/>
              <w:pageBreakBefore w:val="0"/>
              <w:widowControl w:val="0"/>
              <w:suppressLineNumbers w:val="0"/>
              <w:tabs>
                <w:tab w:val="left" w:pos="1190"/>
              </w:tabs>
              <w:kinsoku/>
              <w:wordWrap/>
              <w:overflowPunct/>
              <w:topLinePunct w:val="0"/>
              <w:autoSpaceDE w:val="0"/>
              <w:autoSpaceDN w:val="0"/>
              <w:bidi w:val="0"/>
              <w:adjustRightInd/>
              <w:snapToGrid/>
              <w:spacing w:before="0" w:beforeLines="0" w:beforeAutospacing="0" w:after="0" w:afterLines="0" w:afterAutospacing="0" w:line="353"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综上所述，</w:t>
            </w:r>
            <w:r>
              <w:rPr>
                <w:rFonts w:hint="default" w:ascii="Times New Roman" w:hAnsi="Times New Roman" w:cs="Times New Roman"/>
                <w:color w:val="auto"/>
                <w:sz w:val="24"/>
                <w:szCs w:val="22"/>
                <w:highlight w:val="none"/>
                <w:lang w:val="en-US" w:eastAsia="zh-CN" w:bidi="ar-SA"/>
              </w:rPr>
              <w:t>新疆医科大学附属肿瘤医院</w:t>
            </w:r>
            <w:r>
              <w:rPr>
                <w:rFonts w:hint="default" w:ascii="Times New Roman" w:hAnsi="Times New Roman" w:eastAsia="宋体" w:cs="Times New Roman"/>
                <w:color w:val="auto"/>
                <w:sz w:val="24"/>
                <w:szCs w:val="22"/>
                <w:highlight w:val="none"/>
                <w:lang w:val="en-US" w:eastAsia="zh-CN" w:bidi="ar-SA"/>
              </w:rPr>
              <w:t>已许可的核技术利用项目均能正常运行，辐射安全各项管理措施均能较好的执行。</w:t>
            </w:r>
          </w:p>
          <w:p w14:paraId="457A115E">
            <w:pPr>
              <w:pStyle w:val="32"/>
              <w:keepNext w:val="0"/>
              <w:keepLines w:val="0"/>
              <w:pageBreakBefore w:val="0"/>
              <w:widowControl w:val="0"/>
              <w:numPr>
                <w:ilvl w:val="0"/>
                <w:numId w:val="0"/>
              </w:numPr>
              <w:suppressLineNumbers w:val="0"/>
              <w:tabs>
                <w:tab w:val="left" w:pos="598"/>
              </w:tabs>
              <w:kinsoku/>
              <w:wordWrap/>
              <w:overflowPunct/>
              <w:topLinePunct w:val="0"/>
              <w:autoSpaceDE w:val="0"/>
              <w:autoSpaceDN w:val="0"/>
              <w:bidi w:val="0"/>
              <w:adjustRightInd/>
              <w:snapToGrid/>
              <w:spacing w:before="0" w:beforeLines="0" w:beforeAutospacing="0" w:after="0" w:afterLines="0" w:afterAutospacing="0" w:line="353" w:lineRule="auto"/>
              <w:ind w:left="107" w:right="0" w:firstLine="482" w:firstLineChars="200"/>
              <w:jc w:val="both"/>
              <w:textAlignment w:val="auto"/>
              <w:rPr>
                <w:rFonts w:hint="default" w:ascii="Times New Roman" w:hAnsi="Times New Roman" w:eastAsia="宋体" w:cs="Times New Roman"/>
                <w:b/>
                <w:color w:val="auto"/>
                <w:sz w:val="24"/>
                <w:szCs w:val="21"/>
                <w:highlight w:val="none"/>
              </w:rPr>
            </w:pPr>
            <w:r>
              <w:rPr>
                <w:rFonts w:hint="default" w:ascii="Times New Roman" w:hAnsi="Times New Roman" w:eastAsia="宋体" w:cs="Times New Roman"/>
                <w:b/>
                <w:color w:val="auto"/>
                <w:sz w:val="24"/>
                <w:szCs w:val="21"/>
                <w:highlight w:val="none"/>
              </w:rPr>
              <w:t>1.</w:t>
            </w:r>
            <w:r>
              <w:rPr>
                <w:rFonts w:hint="default" w:ascii="Times New Roman" w:hAnsi="Times New Roman" w:eastAsia="宋体" w:cs="Times New Roman"/>
                <w:b/>
                <w:color w:val="auto"/>
                <w:sz w:val="24"/>
                <w:szCs w:val="21"/>
                <w:highlight w:val="none"/>
                <w:lang w:val="en-US" w:eastAsia="zh-CN"/>
              </w:rPr>
              <w:t>4</w:t>
            </w:r>
            <w:r>
              <w:rPr>
                <w:rFonts w:hint="default" w:ascii="Times New Roman" w:hAnsi="Times New Roman" w:eastAsia="宋体" w:cs="Times New Roman"/>
                <w:b/>
                <w:color w:val="auto"/>
                <w:sz w:val="24"/>
                <w:szCs w:val="21"/>
                <w:highlight w:val="none"/>
              </w:rPr>
              <w:t>产业政策的相符性</w:t>
            </w:r>
          </w:p>
          <w:p w14:paraId="6CFBD2B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53" w:lineRule="auto"/>
              <w:ind w:left="0" w:right="0" w:rightChars="0" w:firstLine="480" w:firstLineChars="200"/>
              <w:jc w:val="left"/>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
              </w:rPr>
              <w:t>本项目使用非密封放射性物质</w:t>
            </w:r>
            <w:r>
              <w:rPr>
                <w:rFonts w:hint="default" w:ascii="Times New Roman" w:hAnsi="Times New Roman" w:cs="Times New Roman"/>
                <w:color w:val="auto"/>
                <w:kern w:val="0"/>
                <w:sz w:val="24"/>
                <w:szCs w:val="24"/>
                <w:highlight w:val="none"/>
                <w:lang w:val="en-US" w:eastAsia="zh-CN" w:bidi="ar"/>
              </w:rPr>
              <w:t>开展放射诊疗工作</w:t>
            </w:r>
            <w:r>
              <w:rPr>
                <w:rFonts w:hint="default" w:ascii="Times New Roman" w:hAnsi="Times New Roman" w:eastAsia="宋体" w:cs="Times New Roman"/>
                <w:color w:val="auto"/>
                <w:kern w:val="0"/>
                <w:sz w:val="24"/>
                <w:szCs w:val="24"/>
                <w:highlight w:val="none"/>
                <w:lang w:val="en-US" w:eastAsia="zh-CN" w:bidi="ar"/>
              </w:rPr>
              <w:t>，符合国家发展和改革委员会《产业结构调整指导目录（2024年本）》中鼓励类项目</w:t>
            </w:r>
            <w:r>
              <w:rPr>
                <w:rFonts w:hint="default" w:ascii="Times New Roman" w:hAnsi="Times New Roman"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第六项核能</w:t>
            </w:r>
            <w:r>
              <w:rPr>
                <w:rFonts w:hint="default" w:ascii="Times New Roman" w:hAnsi="Times New Roman"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4．核技术应用：同位素、加速器及辐照应用技术开发，辐射防护技术开发与监测设备制造</w:t>
            </w:r>
            <w:r>
              <w:rPr>
                <w:rFonts w:hint="default" w:ascii="Times New Roman" w:hAnsi="Times New Roman" w:cs="Times New Roman"/>
                <w:color w:val="auto"/>
                <w:kern w:val="0"/>
                <w:sz w:val="24"/>
                <w:szCs w:val="24"/>
                <w:highlight w:val="none"/>
                <w:lang w:val="en-US" w:eastAsia="zh-CN" w:bidi="ar"/>
              </w:rPr>
              <w:t>）和</w:t>
            </w:r>
            <w:r>
              <w:rPr>
                <w:rFonts w:hint="default" w:ascii="Times New Roman" w:hAnsi="Times New Roman" w:eastAsia="宋体" w:cs="Times New Roman"/>
                <w:color w:val="auto"/>
                <w:kern w:val="0"/>
                <w:sz w:val="24"/>
                <w:szCs w:val="24"/>
                <w:highlight w:val="none"/>
                <w:lang w:val="en-US" w:eastAsia="zh-CN" w:bidi="ar"/>
              </w:rPr>
              <w:t>（第十三项医药，4．高端医疗器械创新发展：新型基因、蛋白和细胞诊断设备，新型医用诊断设备和试剂，高性能医学影像设备，高端放射治疗设备，急危重症生命支持设备，人工智能辅助医疗设备，移动与远程诊疗设备，高端康复辅助器具，高端植入介入产品，手术机器人等高端外科设备及耗材，生物医用材料、增材制造技术开发与应用），故本项目建设符合产业政策</w:t>
            </w:r>
            <w:r>
              <w:rPr>
                <w:rFonts w:hint="default" w:ascii="Times New Roman" w:hAnsi="Times New Roman" w:cs="Times New Roman"/>
                <w:color w:val="auto"/>
                <w:kern w:val="0"/>
                <w:sz w:val="24"/>
                <w:szCs w:val="24"/>
                <w:highlight w:val="none"/>
                <w:lang w:val="en-US" w:eastAsia="zh-CN" w:bidi="ar"/>
              </w:rPr>
              <w:t>。</w:t>
            </w:r>
          </w:p>
        </w:tc>
      </w:tr>
    </w:tbl>
    <w:p w14:paraId="7261981F">
      <w:pPr>
        <w:shd w:val="clear"/>
        <w:rPr>
          <w:rFonts w:hint="default" w:ascii="Times New Roman" w:hAnsi="Times New Roman" w:eastAsia="宋体" w:cs="Times New Roman"/>
          <w:color w:val="auto"/>
          <w:sz w:val="24"/>
          <w:highlight w:val="none"/>
        </w:rPr>
        <w:sectPr>
          <w:footerReference r:id="rId3" w:type="default"/>
          <w:pgSz w:w="11910" w:h="16840"/>
          <w:pgMar w:top="1426" w:right="1138" w:bottom="1411" w:left="1411" w:header="0" w:footer="1077" w:gutter="0"/>
          <w:pgBorders>
            <w:top w:val="none" w:sz="0" w:space="0"/>
            <w:left w:val="none" w:sz="0" w:space="0"/>
            <w:bottom w:val="none" w:sz="0" w:space="0"/>
            <w:right w:val="none" w:sz="0" w:space="0"/>
          </w:pgBorders>
          <w:pgNumType w:fmt="decimal" w:start="1"/>
          <w:cols w:equalWidth="0" w:num="1">
            <w:col w:w="8970"/>
          </w:cols>
        </w:sectPr>
      </w:pPr>
    </w:p>
    <w:p w14:paraId="428BD304">
      <w:pPr>
        <w:pStyle w:val="14"/>
        <w:jc w:val="center"/>
        <w:rPr>
          <w:rFonts w:hint="default" w:ascii="Times New Roman" w:hAnsi="Times New Roman" w:eastAsia="宋体" w:cs="Times New Roman"/>
          <w:color w:val="auto"/>
          <w:highlight w:val="none"/>
        </w:rPr>
      </w:pPr>
    </w:p>
    <w:p w14:paraId="66CF7977">
      <w:pPr>
        <w:pStyle w:val="14"/>
        <w:jc w:val="center"/>
        <w:rPr>
          <w:rFonts w:hint="default" w:ascii="Times New Roman" w:hAnsi="Times New Roman" w:eastAsia="宋体" w:cs="Times New Roman"/>
          <w:color w:val="auto"/>
          <w:highlight w:val="none"/>
        </w:rPr>
      </w:pPr>
    </w:p>
    <w:p w14:paraId="584DFAB0">
      <w:pPr>
        <w:jc w:val="center"/>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highlight w:val="none"/>
          <w:lang w:val="en-US" w:eastAsia="zh-CN"/>
        </w:rPr>
        <w:t>图1-1  项目地理位置示意图</w:t>
      </w:r>
      <w:r>
        <w:rPr>
          <w:rFonts w:hint="default" w:ascii="Times New Roman" w:hAnsi="Times New Roman" w:eastAsia="宋体" w:cs="Times New Roman"/>
          <w:color w:val="auto"/>
          <w:highlight w:val="none"/>
        </w:rPr>
        <w:br w:type="page"/>
      </w:r>
    </w:p>
    <w:p w14:paraId="7A345CEC">
      <w:pPr>
        <w:pStyle w:val="14"/>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z w:val="24"/>
          <w:szCs w:val="21"/>
          <w:highlight w:val="none"/>
          <w:lang w:val="en-US" w:eastAsia="zh-CN"/>
        </w:rPr>
        <w:t>图1-2  项目周边关系示意图（评价范围示意图）</w:t>
      </w:r>
    </w:p>
    <w:p w14:paraId="4CDB80B0">
      <w:pPr>
        <w:pStyle w:val="14"/>
        <w:rPr>
          <w:rFonts w:hint="default" w:ascii="Times New Roman" w:hAnsi="Times New Roman" w:eastAsia="宋体" w:cs="Times New Roman"/>
          <w:color w:val="auto"/>
          <w:highlight w:val="none"/>
        </w:rPr>
        <w:sectPr>
          <w:pgSz w:w="11910" w:h="16840"/>
          <w:pgMar w:top="1420" w:right="1134" w:bottom="1417" w:left="1417" w:header="0" w:footer="1077" w:gutter="0"/>
          <w:pgBorders>
            <w:top w:val="none" w:sz="0" w:space="0"/>
            <w:left w:val="none" w:sz="0" w:space="0"/>
            <w:bottom w:val="none" w:sz="0" w:space="0"/>
            <w:right w:val="none" w:sz="0" w:space="0"/>
          </w:pgBorders>
          <w:pgNumType w:fmt="decimal" w:start="1"/>
          <w:cols w:equalWidth="0" w:num="1">
            <w:col w:w="8970"/>
          </w:cols>
        </w:sectPr>
      </w:pPr>
    </w:p>
    <w:p w14:paraId="69FE4739">
      <w:pPr>
        <w:pStyle w:val="14"/>
        <w:ind w:left="0" w:leftChars="0" w:firstLine="0" w:firstLineChars="0"/>
        <w:jc w:val="center"/>
        <w:rPr>
          <w:rFonts w:hint="default" w:ascii="Times New Roman" w:hAnsi="Times New Roman" w:eastAsia="宋体" w:cs="Times New Roman"/>
          <w:color w:val="auto"/>
          <w:sz w:val="24"/>
          <w:szCs w:val="21"/>
          <w:highlight w:val="none"/>
          <w:lang w:val="en-US"/>
        </w:rPr>
      </w:pPr>
    </w:p>
    <w:p w14:paraId="1F030FB1">
      <w:pPr>
        <w:pStyle w:val="14"/>
        <w:rPr>
          <w:rFonts w:hint="default" w:ascii="Times New Roman" w:hAnsi="Times New Roman" w:eastAsia="宋体" w:cs="Times New Roman"/>
          <w:color w:val="auto"/>
          <w:highlight w:val="none"/>
        </w:rPr>
      </w:pPr>
    </w:p>
    <w:p w14:paraId="003C38EA">
      <w:pPr>
        <w:pStyle w:val="6"/>
        <w:shd w:val="clear"/>
        <w:rPr>
          <w:rFonts w:hint="default" w:ascii="Times New Roman" w:hAnsi="Times New Roman" w:eastAsia="宋体" w:cs="Times New Roman"/>
          <w:color w:val="auto"/>
          <w:highlight w:val="none"/>
        </w:rPr>
      </w:pPr>
      <w:bookmarkStart w:id="3" w:name="表2_放射源"/>
      <w:bookmarkEnd w:id="3"/>
      <w:bookmarkStart w:id="4" w:name="_Toc16109"/>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2 放射源</w:t>
      </w:r>
      <w:bookmarkEnd w:id="4"/>
    </w:p>
    <w:tbl>
      <w:tblPr>
        <w:tblStyle w:val="22"/>
        <w:tblW w:w="14294" w:type="dxa"/>
        <w:tblInd w:w="117"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749"/>
        <w:gridCol w:w="1358"/>
        <w:gridCol w:w="2556"/>
        <w:gridCol w:w="1081"/>
        <w:gridCol w:w="1749"/>
        <w:gridCol w:w="1697"/>
        <w:gridCol w:w="1891"/>
        <w:gridCol w:w="1807"/>
        <w:gridCol w:w="1406"/>
      </w:tblGrid>
      <w:tr w14:paraId="39444B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76" w:hRule="atLeast"/>
        </w:trPr>
        <w:tc>
          <w:tcPr>
            <w:tcW w:w="749" w:type="dxa"/>
            <w:tcBorders>
              <w:tl2br w:val="nil"/>
              <w:tr2bl w:val="nil"/>
            </w:tcBorders>
            <w:vAlign w:val="center"/>
          </w:tcPr>
          <w:p w14:paraId="02804F0F">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序号</w:t>
            </w:r>
          </w:p>
        </w:tc>
        <w:tc>
          <w:tcPr>
            <w:tcW w:w="1358" w:type="dxa"/>
            <w:tcBorders>
              <w:tl2br w:val="nil"/>
              <w:tr2bl w:val="nil"/>
            </w:tcBorders>
            <w:vAlign w:val="center"/>
          </w:tcPr>
          <w:p w14:paraId="1737BF82">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核素名称</w:t>
            </w:r>
          </w:p>
        </w:tc>
        <w:tc>
          <w:tcPr>
            <w:tcW w:w="2556" w:type="dxa"/>
            <w:tcBorders>
              <w:tl2br w:val="nil"/>
              <w:tr2bl w:val="nil"/>
            </w:tcBorders>
            <w:vAlign w:val="center"/>
          </w:tcPr>
          <w:p w14:paraId="0575A8A3">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总活度（Bq）/</w:t>
            </w:r>
          </w:p>
          <w:p w14:paraId="4177106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活度（Bq）×枚数</w:t>
            </w:r>
          </w:p>
        </w:tc>
        <w:tc>
          <w:tcPr>
            <w:tcW w:w="1081" w:type="dxa"/>
            <w:tcBorders>
              <w:tl2br w:val="nil"/>
              <w:tr2bl w:val="nil"/>
            </w:tcBorders>
            <w:vAlign w:val="center"/>
          </w:tcPr>
          <w:p w14:paraId="6A065512">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类别</w:t>
            </w:r>
          </w:p>
        </w:tc>
        <w:tc>
          <w:tcPr>
            <w:tcW w:w="1749" w:type="dxa"/>
            <w:tcBorders>
              <w:tl2br w:val="nil"/>
              <w:tr2bl w:val="nil"/>
            </w:tcBorders>
            <w:vAlign w:val="center"/>
          </w:tcPr>
          <w:p w14:paraId="36A05B52">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活动种类</w:t>
            </w:r>
          </w:p>
        </w:tc>
        <w:tc>
          <w:tcPr>
            <w:tcW w:w="1697" w:type="dxa"/>
            <w:tcBorders>
              <w:tl2br w:val="nil"/>
              <w:tr2bl w:val="nil"/>
            </w:tcBorders>
            <w:vAlign w:val="center"/>
          </w:tcPr>
          <w:p w14:paraId="10A7A514">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用途</w:t>
            </w:r>
          </w:p>
        </w:tc>
        <w:tc>
          <w:tcPr>
            <w:tcW w:w="1891" w:type="dxa"/>
            <w:tcBorders>
              <w:tl2br w:val="nil"/>
              <w:tr2bl w:val="nil"/>
            </w:tcBorders>
            <w:vAlign w:val="center"/>
          </w:tcPr>
          <w:p w14:paraId="28C5FD66">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使用场所</w:t>
            </w:r>
          </w:p>
        </w:tc>
        <w:tc>
          <w:tcPr>
            <w:tcW w:w="1807" w:type="dxa"/>
            <w:tcBorders>
              <w:tl2br w:val="nil"/>
              <w:tr2bl w:val="nil"/>
            </w:tcBorders>
            <w:vAlign w:val="center"/>
          </w:tcPr>
          <w:p w14:paraId="3D97B81B">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储存方式与地点</w:t>
            </w:r>
          </w:p>
        </w:tc>
        <w:tc>
          <w:tcPr>
            <w:tcW w:w="1406" w:type="dxa"/>
            <w:tcBorders>
              <w:tl2br w:val="nil"/>
              <w:tr2bl w:val="nil"/>
            </w:tcBorders>
            <w:vAlign w:val="center"/>
          </w:tcPr>
          <w:p w14:paraId="08259E4A">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z w:val="21"/>
                <w:highlight w:val="none"/>
              </w:rPr>
              <w:t>备注</w:t>
            </w:r>
          </w:p>
        </w:tc>
      </w:tr>
      <w:tr w14:paraId="532743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7" w:hRule="atLeast"/>
        </w:trPr>
        <w:tc>
          <w:tcPr>
            <w:tcW w:w="749" w:type="dxa"/>
            <w:tcBorders>
              <w:tl2br w:val="nil"/>
              <w:tr2bl w:val="nil"/>
            </w:tcBorders>
            <w:vAlign w:val="center"/>
          </w:tcPr>
          <w:p w14:paraId="385E3766">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w:t>
            </w:r>
          </w:p>
        </w:tc>
        <w:tc>
          <w:tcPr>
            <w:tcW w:w="1358" w:type="dxa"/>
            <w:tcBorders>
              <w:tl2br w:val="nil"/>
              <w:tr2bl w:val="nil"/>
            </w:tcBorders>
            <w:shd w:val="clear" w:color="auto" w:fill="auto"/>
            <w:vAlign w:val="center"/>
          </w:tcPr>
          <w:p w14:paraId="5C58FB83">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szCs w:val="21"/>
                <w:highlight w:val="none"/>
                <w:lang w:val="en-US" w:eastAsia="zh-CN" w:bidi="ar-SA"/>
              </w:rPr>
              <w:t>本项目不涉及</w:t>
            </w:r>
          </w:p>
        </w:tc>
        <w:tc>
          <w:tcPr>
            <w:tcW w:w="2556" w:type="dxa"/>
            <w:tcBorders>
              <w:tl2br w:val="nil"/>
              <w:tr2bl w:val="nil"/>
            </w:tcBorders>
            <w:shd w:val="clear" w:color="auto" w:fill="auto"/>
            <w:vAlign w:val="center"/>
          </w:tcPr>
          <w:p w14:paraId="6A465581">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1081" w:type="dxa"/>
            <w:tcBorders>
              <w:tl2br w:val="nil"/>
              <w:tr2bl w:val="nil"/>
            </w:tcBorders>
            <w:shd w:val="clear" w:color="auto" w:fill="auto"/>
            <w:vAlign w:val="center"/>
          </w:tcPr>
          <w:p w14:paraId="4C981355">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1749" w:type="dxa"/>
            <w:tcBorders>
              <w:tl2br w:val="nil"/>
              <w:tr2bl w:val="nil"/>
            </w:tcBorders>
            <w:shd w:val="clear" w:color="auto" w:fill="auto"/>
            <w:vAlign w:val="center"/>
          </w:tcPr>
          <w:p w14:paraId="76544C9A">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1697" w:type="dxa"/>
            <w:tcBorders>
              <w:tl2br w:val="nil"/>
              <w:tr2bl w:val="nil"/>
            </w:tcBorders>
            <w:shd w:val="clear" w:color="auto" w:fill="auto"/>
            <w:vAlign w:val="center"/>
          </w:tcPr>
          <w:p w14:paraId="2B1290D2">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1891" w:type="dxa"/>
            <w:tcBorders>
              <w:tl2br w:val="nil"/>
              <w:tr2bl w:val="nil"/>
            </w:tcBorders>
            <w:shd w:val="clear" w:color="auto" w:fill="auto"/>
            <w:vAlign w:val="center"/>
          </w:tcPr>
          <w:p w14:paraId="286B06E7">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1807" w:type="dxa"/>
            <w:tcBorders>
              <w:tl2br w:val="nil"/>
              <w:tr2bl w:val="nil"/>
            </w:tcBorders>
            <w:vAlign w:val="center"/>
          </w:tcPr>
          <w:p w14:paraId="463AAAF1">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0"/>
                <w:highlight w:val="none"/>
                <w:lang w:val="en-US" w:eastAsia="zh-CN"/>
              </w:rPr>
            </w:pPr>
            <w:r>
              <w:rPr>
                <w:rFonts w:hint="default" w:ascii="Times New Roman" w:hAnsi="Times New Roman" w:cs="Times New Roman"/>
                <w:color w:val="auto"/>
                <w:sz w:val="21"/>
                <w:highlight w:val="none"/>
                <w:lang w:val="en-US" w:eastAsia="zh-CN"/>
              </w:rPr>
              <w:t>/</w:t>
            </w:r>
          </w:p>
        </w:tc>
        <w:tc>
          <w:tcPr>
            <w:tcW w:w="1406" w:type="dxa"/>
            <w:tcBorders>
              <w:tl2br w:val="nil"/>
              <w:tr2bl w:val="nil"/>
            </w:tcBorders>
            <w:vAlign w:val="center"/>
          </w:tcPr>
          <w:p w14:paraId="2CD3D4D3">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highlight w:val="none"/>
                <w:lang w:val="en-US" w:eastAsia="zh-CN"/>
              </w:rPr>
              <w:t>/</w:t>
            </w:r>
          </w:p>
        </w:tc>
      </w:tr>
      <w:tr w14:paraId="60EB68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07" w:hRule="atLeast"/>
        </w:trPr>
        <w:tc>
          <w:tcPr>
            <w:tcW w:w="0" w:type="auto"/>
            <w:tcBorders>
              <w:tl2br w:val="nil"/>
              <w:tr2bl w:val="nil"/>
            </w:tcBorders>
            <w:vAlign w:val="center"/>
          </w:tcPr>
          <w:p w14:paraId="5E9BDDC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shd w:val="clear" w:color="auto" w:fill="auto"/>
            <w:vAlign w:val="center"/>
          </w:tcPr>
          <w:p w14:paraId="79479573">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shd w:val="clear" w:color="auto" w:fill="auto"/>
            <w:vAlign w:val="center"/>
          </w:tcPr>
          <w:p w14:paraId="69F14B5D">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shd w:val="clear" w:color="auto" w:fill="auto"/>
            <w:vAlign w:val="center"/>
          </w:tcPr>
          <w:p w14:paraId="74466AD6">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shd w:val="clear" w:color="auto" w:fill="auto"/>
            <w:vAlign w:val="center"/>
          </w:tcPr>
          <w:p w14:paraId="0CF7A2F0">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shd w:val="clear" w:color="auto" w:fill="auto"/>
            <w:vAlign w:val="center"/>
          </w:tcPr>
          <w:p w14:paraId="52702927">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1891" w:type="dxa"/>
            <w:tcBorders>
              <w:tl2br w:val="nil"/>
              <w:tr2bl w:val="nil"/>
            </w:tcBorders>
            <w:shd w:val="clear" w:color="auto" w:fill="auto"/>
            <w:vAlign w:val="center"/>
          </w:tcPr>
          <w:p w14:paraId="69AC6516">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1807" w:type="dxa"/>
            <w:tcBorders>
              <w:tl2br w:val="nil"/>
              <w:tr2bl w:val="nil"/>
            </w:tcBorders>
            <w:shd w:val="clear" w:color="auto" w:fill="auto"/>
            <w:vAlign w:val="center"/>
          </w:tcPr>
          <w:p w14:paraId="1BF379D5">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vAlign w:val="center"/>
          </w:tcPr>
          <w:p w14:paraId="0F36E5A7">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highlight w:val="none"/>
                <w:lang w:val="en-US" w:eastAsia="zh-CN"/>
              </w:rPr>
              <w:t>/</w:t>
            </w:r>
          </w:p>
        </w:tc>
      </w:tr>
      <w:tr w14:paraId="5FA300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0" w:type="auto"/>
            <w:tcBorders>
              <w:tl2br w:val="nil"/>
              <w:tr2bl w:val="nil"/>
            </w:tcBorders>
            <w:vAlign w:val="center"/>
          </w:tcPr>
          <w:p w14:paraId="7DAFDD1B">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highlight w:val="none"/>
                <w:lang w:val="en-US" w:eastAsia="zh-CN"/>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shd w:val="clear" w:color="auto" w:fill="auto"/>
            <w:vAlign w:val="center"/>
          </w:tcPr>
          <w:p w14:paraId="5ED246CC">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vertAlign w:val="superscript"/>
                <w:lang w:val="en-US" w:eastAsia="zh-CN" w:bidi="ar-SA"/>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shd w:val="clear" w:color="auto" w:fill="auto"/>
            <w:vAlign w:val="center"/>
          </w:tcPr>
          <w:p w14:paraId="468C2E50">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shd w:val="clear" w:color="auto" w:fill="auto"/>
            <w:vAlign w:val="center"/>
          </w:tcPr>
          <w:p w14:paraId="7EB18BD2">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shd w:val="clear" w:color="auto" w:fill="auto"/>
            <w:vAlign w:val="center"/>
          </w:tcPr>
          <w:p w14:paraId="12CA4499">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shd w:val="clear" w:color="auto" w:fill="auto"/>
            <w:vAlign w:val="center"/>
          </w:tcPr>
          <w:p w14:paraId="5B7E259A">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1891" w:type="dxa"/>
            <w:tcBorders>
              <w:tl2br w:val="nil"/>
              <w:tr2bl w:val="nil"/>
            </w:tcBorders>
            <w:shd w:val="clear" w:color="auto" w:fill="auto"/>
            <w:vAlign w:val="center"/>
          </w:tcPr>
          <w:p w14:paraId="06409398">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1807" w:type="dxa"/>
            <w:tcBorders>
              <w:tl2br w:val="nil"/>
              <w:tr2bl w:val="nil"/>
            </w:tcBorders>
            <w:shd w:val="clear" w:color="auto" w:fill="auto"/>
            <w:vAlign w:val="center"/>
          </w:tcPr>
          <w:p w14:paraId="2229A193">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highlight w:val="none"/>
                <w:lang w:val="en-US" w:eastAsia="zh-CN"/>
              </w:rPr>
              <w:t>/</w:t>
            </w:r>
          </w:p>
        </w:tc>
        <w:tc>
          <w:tcPr>
            <w:tcW w:w="0" w:type="auto"/>
            <w:tcBorders>
              <w:tl2br w:val="nil"/>
              <w:tr2bl w:val="nil"/>
            </w:tcBorders>
            <w:vAlign w:val="center"/>
          </w:tcPr>
          <w:p w14:paraId="54791DE6">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highlight w:val="none"/>
                <w:lang w:val="en-US" w:eastAsia="zh-CN"/>
              </w:rPr>
              <w:t>/</w:t>
            </w:r>
          </w:p>
        </w:tc>
      </w:tr>
    </w:tbl>
    <w:p w14:paraId="7CF09D7E">
      <w:pPr>
        <w:shd w:val="clear"/>
        <w:spacing w:before="158"/>
        <w:ind w:left="428"/>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pacing w:val="-1"/>
          <w:w w:val="99"/>
          <w:sz w:val="21"/>
          <w:highlight w:val="none"/>
        </w:rPr>
        <w:t>注：放射源包括放射性中子源，对其要说明是何种核素以及产生的中子流强度</w:t>
      </w:r>
      <w:r>
        <w:rPr>
          <w:rFonts w:hint="default" w:ascii="Times New Roman" w:hAnsi="Times New Roman" w:eastAsia="宋体" w:cs="Times New Roman"/>
          <w:color w:val="auto"/>
          <w:spacing w:val="2"/>
          <w:w w:val="99"/>
          <w:sz w:val="21"/>
          <w:highlight w:val="none"/>
        </w:rPr>
        <w:t>（</w:t>
      </w:r>
      <w:r>
        <w:rPr>
          <w:rFonts w:hint="default" w:ascii="Times New Roman" w:hAnsi="Times New Roman" w:eastAsia="宋体" w:cs="Times New Roman"/>
          <w:color w:val="auto"/>
          <w:spacing w:val="1"/>
          <w:w w:val="99"/>
          <w:sz w:val="21"/>
          <w:highlight w:val="none"/>
        </w:rPr>
        <w:t>n</w:t>
      </w:r>
      <w:r>
        <w:rPr>
          <w:rFonts w:hint="default" w:ascii="Times New Roman" w:hAnsi="Times New Roman" w:eastAsia="宋体" w:cs="Times New Roman"/>
          <w:color w:val="auto"/>
          <w:spacing w:val="-1"/>
          <w:w w:val="99"/>
          <w:sz w:val="21"/>
          <w:highlight w:val="none"/>
        </w:rPr>
        <w:t>/</w:t>
      </w:r>
      <w:r>
        <w:rPr>
          <w:rFonts w:hint="default" w:ascii="Times New Roman" w:hAnsi="Times New Roman" w:eastAsia="宋体" w:cs="Times New Roman"/>
          <w:color w:val="auto"/>
          <w:w w:val="99"/>
          <w:sz w:val="21"/>
          <w:highlight w:val="none"/>
        </w:rPr>
        <w:t>s</w:t>
      </w:r>
      <w:r>
        <w:rPr>
          <w:rFonts w:hint="default" w:ascii="Times New Roman" w:hAnsi="Times New Roman" w:eastAsia="宋体" w:cs="Times New Roman"/>
          <w:color w:val="auto"/>
          <w:spacing w:val="-104"/>
          <w:w w:val="99"/>
          <w:sz w:val="21"/>
          <w:highlight w:val="none"/>
        </w:rPr>
        <w:t>）</w:t>
      </w:r>
      <w:r>
        <w:rPr>
          <w:rFonts w:hint="default" w:ascii="Times New Roman" w:hAnsi="Times New Roman" w:eastAsia="宋体" w:cs="Times New Roman"/>
          <w:color w:val="auto"/>
          <w:w w:val="99"/>
          <w:sz w:val="21"/>
          <w:highlight w:val="none"/>
        </w:rPr>
        <w:t>。</w:t>
      </w:r>
    </w:p>
    <w:p w14:paraId="61E30F02">
      <w:pPr>
        <w:shd w:val="clear"/>
        <w:rPr>
          <w:rFonts w:hint="default" w:ascii="Times New Roman" w:hAnsi="Times New Roman" w:eastAsia="宋体" w:cs="Times New Roman"/>
          <w:color w:val="auto"/>
          <w:highlight w:val="none"/>
        </w:rPr>
      </w:pPr>
      <w:bookmarkStart w:id="5" w:name="表3_非密封放射性物质"/>
      <w:bookmarkEnd w:id="5"/>
      <w:r>
        <w:rPr>
          <w:rFonts w:hint="default" w:ascii="Times New Roman" w:hAnsi="Times New Roman" w:eastAsia="宋体" w:cs="Times New Roman"/>
          <w:color w:val="auto"/>
          <w:highlight w:val="none"/>
        </w:rPr>
        <w:br w:type="page"/>
      </w:r>
    </w:p>
    <w:p w14:paraId="7860D6B2">
      <w:pPr>
        <w:pStyle w:val="6"/>
        <w:shd w:val="clear"/>
        <w:rPr>
          <w:rFonts w:hint="default" w:ascii="Times New Roman" w:hAnsi="Times New Roman" w:eastAsia="宋体" w:cs="Times New Roman"/>
          <w:color w:val="auto"/>
          <w:highlight w:val="none"/>
          <w:lang w:val="en-US" w:eastAsia="zh-CN"/>
        </w:rPr>
      </w:pPr>
      <w:bookmarkStart w:id="6" w:name="_Toc14752"/>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3 非密封放射性物质</w:t>
      </w:r>
      <w:bookmarkEnd w:id="6"/>
      <w:r>
        <w:rPr>
          <w:rFonts w:hint="eastAsia" w:cs="Times New Roman"/>
          <w:color w:val="auto"/>
          <w:highlight w:val="none"/>
          <w:lang w:val="en-US" w:eastAsia="zh-CN"/>
        </w:rPr>
        <w:t xml:space="preserve">   </w:t>
      </w:r>
    </w:p>
    <w:tbl>
      <w:tblPr>
        <w:tblStyle w:val="22"/>
        <w:tblW w:w="14583" w:type="dxa"/>
        <w:tblInd w:w="7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4"/>
        <w:gridCol w:w="1467"/>
        <w:gridCol w:w="2438"/>
        <w:gridCol w:w="641"/>
        <w:gridCol w:w="1328"/>
        <w:gridCol w:w="1363"/>
        <w:gridCol w:w="997"/>
        <w:gridCol w:w="1175"/>
        <w:gridCol w:w="1233"/>
        <w:gridCol w:w="1577"/>
        <w:gridCol w:w="1640"/>
      </w:tblGrid>
      <w:tr w14:paraId="2A95B8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5" w:hRule="atLeast"/>
        </w:trPr>
        <w:tc>
          <w:tcPr>
            <w:tcW w:w="724" w:type="dxa"/>
            <w:tcBorders>
              <w:tl2br w:val="nil"/>
              <w:tr2bl w:val="nil"/>
            </w:tcBorders>
            <w:shd w:val="clear" w:color="auto" w:fill="auto"/>
            <w:noWrap/>
            <w:vAlign w:val="center"/>
          </w:tcPr>
          <w:p w14:paraId="0A07A313">
            <w:pPr>
              <w:keepNext w:val="0"/>
              <w:keepLines w:val="0"/>
              <w:suppressLineNumbers w:val="0"/>
              <w:autoSpaceDE w:val="0"/>
              <w:autoSpaceDN w:val="0"/>
              <w:bidi w:val="0"/>
              <w:spacing w:before="0" w:beforeAutospacing="0" w:after="0" w:afterAutospacing="0"/>
              <w:ind w:left="0" w:right="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eastAsia="宋体" w:cs="Times New Roman"/>
                <w:b w:val="0"/>
                <w:bCs w:val="0"/>
                <w:color w:val="auto"/>
                <w:sz w:val="15"/>
                <w:szCs w:val="15"/>
                <w:highlight w:val="none"/>
                <w:lang w:val="en-US" w:eastAsia="zh-CN" w:bidi="ar-SA"/>
              </w:rPr>
              <w:t>序号</w:t>
            </w:r>
          </w:p>
        </w:tc>
        <w:tc>
          <w:tcPr>
            <w:tcW w:w="1467" w:type="dxa"/>
            <w:tcBorders>
              <w:tl2br w:val="nil"/>
              <w:tr2bl w:val="nil"/>
            </w:tcBorders>
            <w:shd w:val="clear" w:color="auto" w:fill="auto"/>
            <w:noWrap/>
            <w:vAlign w:val="center"/>
          </w:tcPr>
          <w:p w14:paraId="3F84A751">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bidi="ar-SA"/>
              </w:rPr>
            </w:pPr>
            <w:r>
              <w:rPr>
                <w:rFonts w:hint="default" w:ascii="Times New Roman" w:hAnsi="Times New Roman" w:eastAsia="宋体" w:cs="Times New Roman"/>
                <w:b w:val="0"/>
                <w:bCs w:val="0"/>
                <w:color w:val="auto"/>
                <w:sz w:val="15"/>
                <w:szCs w:val="15"/>
                <w:highlight w:val="none"/>
                <w:lang w:val="en-US" w:eastAsia="zh-CN" w:bidi="ar"/>
              </w:rPr>
              <w:t>核素</w:t>
            </w:r>
          </w:p>
        </w:tc>
        <w:tc>
          <w:tcPr>
            <w:tcW w:w="2438" w:type="dxa"/>
            <w:tcBorders>
              <w:tl2br w:val="nil"/>
              <w:tr2bl w:val="nil"/>
            </w:tcBorders>
            <w:shd w:val="clear" w:color="auto" w:fill="auto"/>
            <w:noWrap/>
            <w:vAlign w:val="center"/>
          </w:tcPr>
          <w:p w14:paraId="3CCA6BDE">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15"/>
                <w:szCs w:val="15"/>
                <w:highlight w:val="none"/>
                <w:lang w:val="en-US" w:eastAsia="zh-CN" w:bidi="ar"/>
              </w:rPr>
            </w:pPr>
            <w:r>
              <w:rPr>
                <w:rFonts w:hint="default" w:ascii="Times New Roman" w:hAnsi="Times New Roman" w:eastAsia="宋体" w:cs="Times New Roman"/>
                <w:b w:val="0"/>
                <w:bCs w:val="0"/>
                <w:color w:val="auto"/>
                <w:sz w:val="15"/>
                <w:szCs w:val="15"/>
                <w:highlight w:val="none"/>
                <w:lang w:val="en-US" w:eastAsia="zh-CN" w:bidi="ar"/>
              </w:rPr>
              <w:t>理化性质</w:t>
            </w:r>
          </w:p>
        </w:tc>
        <w:tc>
          <w:tcPr>
            <w:tcW w:w="641" w:type="dxa"/>
            <w:tcBorders>
              <w:tl2br w:val="nil"/>
              <w:tr2bl w:val="nil"/>
            </w:tcBorders>
            <w:shd w:val="clear" w:color="auto" w:fill="auto"/>
            <w:noWrap/>
            <w:vAlign w:val="center"/>
          </w:tcPr>
          <w:p w14:paraId="31192595">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15"/>
                <w:szCs w:val="15"/>
                <w:highlight w:val="none"/>
                <w:lang w:val="en-US" w:eastAsia="zh-CN" w:bidi="ar"/>
              </w:rPr>
            </w:pPr>
            <w:r>
              <w:rPr>
                <w:rFonts w:hint="default" w:ascii="Times New Roman" w:hAnsi="Times New Roman" w:eastAsia="宋体" w:cs="Times New Roman"/>
                <w:b w:val="0"/>
                <w:bCs w:val="0"/>
                <w:color w:val="auto"/>
                <w:sz w:val="15"/>
                <w:szCs w:val="15"/>
                <w:highlight w:val="none"/>
                <w:lang w:val="en-US" w:eastAsia="zh-CN" w:bidi="ar"/>
              </w:rPr>
              <w:t>活动种类</w:t>
            </w:r>
          </w:p>
        </w:tc>
        <w:tc>
          <w:tcPr>
            <w:tcW w:w="1328" w:type="dxa"/>
            <w:tcBorders>
              <w:tl2br w:val="nil"/>
              <w:tr2bl w:val="nil"/>
            </w:tcBorders>
            <w:shd w:val="clear" w:color="auto" w:fill="auto"/>
            <w:noWrap/>
            <w:vAlign w:val="center"/>
          </w:tcPr>
          <w:p w14:paraId="33C96106">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15"/>
                <w:szCs w:val="15"/>
                <w:highlight w:val="none"/>
                <w:lang w:val="en-US" w:eastAsia="zh-CN" w:bidi="ar"/>
              </w:rPr>
            </w:pPr>
            <w:r>
              <w:rPr>
                <w:rFonts w:hint="default" w:ascii="Times New Roman" w:hAnsi="Times New Roman" w:eastAsia="宋体" w:cs="Times New Roman"/>
                <w:b w:val="0"/>
                <w:bCs w:val="0"/>
                <w:color w:val="auto"/>
                <w:sz w:val="15"/>
                <w:szCs w:val="15"/>
                <w:highlight w:val="none"/>
                <w:lang w:val="en-US" w:eastAsia="zh-CN" w:bidi="ar"/>
              </w:rPr>
              <w:t>实际日最大</w:t>
            </w:r>
          </w:p>
          <w:p w14:paraId="792ABBEF">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b w:val="0"/>
                <w:bCs w:val="0"/>
                <w:color w:val="auto"/>
                <w:sz w:val="15"/>
                <w:szCs w:val="15"/>
                <w:highlight w:val="none"/>
                <w:lang w:val="en-US" w:eastAsia="zh-CN" w:bidi="ar"/>
              </w:rPr>
              <w:t>操作量（Bq）</w:t>
            </w:r>
          </w:p>
        </w:tc>
        <w:tc>
          <w:tcPr>
            <w:tcW w:w="1363" w:type="dxa"/>
            <w:tcBorders>
              <w:tl2br w:val="nil"/>
              <w:tr2bl w:val="nil"/>
            </w:tcBorders>
            <w:shd w:val="clear" w:color="auto" w:fill="auto"/>
            <w:noWrap/>
            <w:vAlign w:val="center"/>
          </w:tcPr>
          <w:p w14:paraId="77F7A565">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bidi="ar-SA"/>
              </w:rPr>
            </w:pPr>
            <w:r>
              <w:rPr>
                <w:rFonts w:hint="default" w:ascii="Times New Roman" w:hAnsi="Times New Roman" w:eastAsia="宋体" w:cs="Times New Roman"/>
                <w:b w:val="0"/>
                <w:bCs w:val="0"/>
                <w:i w:val="0"/>
                <w:iCs w:val="0"/>
                <w:color w:val="auto"/>
                <w:sz w:val="15"/>
                <w:szCs w:val="15"/>
                <w:highlight w:val="none"/>
                <w:u w:val="none"/>
                <w:lang w:val="en-US" w:eastAsia="zh-CN" w:bidi="ar-SA"/>
              </w:rPr>
              <w:t>日等效最大操作量（Bq）</w:t>
            </w:r>
          </w:p>
        </w:tc>
        <w:tc>
          <w:tcPr>
            <w:tcW w:w="997" w:type="dxa"/>
            <w:tcBorders>
              <w:tl2br w:val="nil"/>
              <w:tr2bl w:val="nil"/>
            </w:tcBorders>
            <w:shd w:val="clear" w:color="auto" w:fill="auto"/>
            <w:noWrap/>
            <w:vAlign w:val="center"/>
          </w:tcPr>
          <w:p w14:paraId="63E5CF80">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b w:val="0"/>
                <w:bCs w:val="0"/>
                <w:i w:val="0"/>
                <w:iCs w:val="0"/>
                <w:color w:val="auto"/>
                <w:sz w:val="15"/>
                <w:szCs w:val="15"/>
                <w:highlight w:val="none"/>
                <w:u w:val="none"/>
                <w:lang w:val="en-US" w:eastAsia="zh-CN" w:bidi="ar-SA"/>
              </w:rPr>
              <w:t>年最大用量</w:t>
            </w:r>
          </w:p>
          <w:p w14:paraId="10E2348C">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bidi="ar-SA"/>
              </w:rPr>
            </w:pPr>
            <w:r>
              <w:rPr>
                <w:rFonts w:hint="default" w:ascii="Times New Roman" w:hAnsi="Times New Roman" w:eastAsia="宋体" w:cs="Times New Roman"/>
                <w:b w:val="0"/>
                <w:bCs w:val="0"/>
                <w:i w:val="0"/>
                <w:iCs w:val="0"/>
                <w:color w:val="auto"/>
                <w:sz w:val="15"/>
                <w:szCs w:val="15"/>
                <w:highlight w:val="none"/>
                <w:u w:val="none"/>
                <w:lang w:val="en-US" w:eastAsia="zh-CN" w:bidi="ar-SA"/>
              </w:rPr>
              <w:t>（Bq）</w:t>
            </w:r>
          </w:p>
        </w:tc>
        <w:tc>
          <w:tcPr>
            <w:tcW w:w="1175" w:type="dxa"/>
            <w:tcBorders>
              <w:tl2br w:val="nil"/>
              <w:tr2bl w:val="nil"/>
            </w:tcBorders>
            <w:shd w:val="clear" w:color="auto" w:fill="auto"/>
            <w:vAlign w:val="center"/>
          </w:tcPr>
          <w:p w14:paraId="0E929BF1">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bidi="ar-SA"/>
              </w:rPr>
            </w:pPr>
            <w:r>
              <w:rPr>
                <w:rFonts w:hint="default" w:ascii="Times New Roman" w:hAnsi="Times New Roman" w:eastAsia="宋体" w:cs="Times New Roman"/>
                <w:b w:val="0"/>
                <w:bCs w:val="0"/>
                <w:i w:val="0"/>
                <w:iCs w:val="0"/>
                <w:color w:val="auto"/>
                <w:sz w:val="15"/>
                <w:szCs w:val="15"/>
                <w:highlight w:val="none"/>
                <w:u w:val="none"/>
                <w:lang w:val="en-US" w:eastAsia="zh-CN" w:bidi="ar-SA"/>
              </w:rPr>
              <w:t>用途</w:t>
            </w:r>
          </w:p>
        </w:tc>
        <w:tc>
          <w:tcPr>
            <w:tcW w:w="1233" w:type="dxa"/>
            <w:tcBorders>
              <w:tl2br w:val="nil"/>
              <w:tr2bl w:val="nil"/>
            </w:tcBorders>
            <w:shd w:val="clear" w:color="auto" w:fill="auto"/>
            <w:vAlign w:val="center"/>
          </w:tcPr>
          <w:p w14:paraId="5AA2E5BE">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15"/>
                <w:szCs w:val="15"/>
                <w:highlight w:val="none"/>
                <w:lang w:val="en-US" w:eastAsia="zh-CN" w:bidi="ar"/>
              </w:rPr>
            </w:pPr>
            <w:r>
              <w:rPr>
                <w:rFonts w:hint="default" w:ascii="Times New Roman" w:hAnsi="Times New Roman" w:eastAsia="宋体" w:cs="Times New Roman"/>
                <w:b w:val="0"/>
                <w:bCs w:val="0"/>
                <w:color w:val="auto"/>
                <w:sz w:val="15"/>
                <w:szCs w:val="15"/>
                <w:highlight w:val="none"/>
                <w:lang w:val="en-US" w:eastAsia="zh-CN" w:bidi="ar"/>
              </w:rPr>
              <w:t>操作</w:t>
            </w:r>
          </w:p>
          <w:p w14:paraId="059AC895">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color w:val="auto"/>
                <w:sz w:val="15"/>
                <w:szCs w:val="15"/>
                <w:highlight w:val="none"/>
                <w:lang w:val="en-US" w:eastAsia="zh-CN" w:bidi="ar"/>
              </w:rPr>
            </w:pPr>
            <w:r>
              <w:rPr>
                <w:rFonts w:hint="default" w:ascii="Times New Roman" w:hAnsi="Times New Roman" w:eastAsia="宋体" w:cs="Times New Roman"/>
                <w:b w:val="0"/>
                <w:bCs w:val="0"/>
                <w:color w:val="auto"/>
                <w:sz w:val="15"/>
                <w:szCs w:val="15"/>
                <w:highlight w:val="none"/>
                <w:lang w:val="en-US" w:eastAsia="zh-CN" w:bidi="ar"/>
              </w:rPr>
              <w:t>方式</w:t>
            </w:r>
          </w:p>
        </w:tc>
        <w:tc>
          <w:tcPr>
            <w:tcW w:w="1577" w:type="dxa"/>
            <w:tcBorders>
              <w:tl2br w:val="nil"/>
              <w:tr2bl w:val="nil"/>
            </w:tcBorders>
            <w:shd w:val="clear" w:color="auto" w:fill="auto"/>
            <w:vAlign w:val="center"/>
          </w:tcPr>
          <w:p w14:paraId="23366B8B">
            <w:pPr>
              <w:keepNext w:val="0"/>
              <w:keepLines w:val="0"/>
              <w:suppressLineNumbers w:val="0"/>
              <w:autoSpaceDE/>
              <w:autoSpaceDN/>
              <w:bidi w:val="0"/>
              <w:spacing w:before="120" w:beforeAutospacing="0" w:after="120" w:afterAutospacing="0"/>
              <w:ind w:left="0" w:right="0"/>
              <w:jc w:val="center"/>
              <w:rPr>
                <w:rFonts w:hint="default" w:ascii="Times New Roman" w:hAnsi="Times New Roman" w:eastAsia="宋体" w:cs="Times New Roman"/>
                <w:b w:val="0"/>
                <w:bCs w:val="0"/>
                <w:color w:val="auto"/>
                <w:sz w:val="15"/>
                <w:szCs w:val="15"/>
                <w:highlight w:val="none"/>
                <w:lang w:val="en-US" w:eastAsia="zh-CN"/>
              </w:rPr>
            </w:pPr>
            <w:r>
              <w:rPr>
                <w:rFonts w:hint="default" w:ascii="Times New Roman" w:hAnsi="Times New Roman" w:eastAsia="宋体" w:cs="Times New Roman"/>
                <w:b w:val="0"/>
                <w:bCs w:val="0"/>
                <w:color w:val="auto"/>
                <w:sz w:val="15"/>
                <w:szCs w:val="15"/>
                <w:highlight w:val="none"/>
                <w:lang w:val="en-US" w:eastAsia="zh-CN"/>
              </w:rPr>
              <w:t>使用场所</w:t>
            </w:r>
          </w:p>
        </w:tc>
        <w:tc>
          <w:tcPr>
            <w:tcW w:w="1640" w:type="dxa"/>
            <w:tcBorders>
              <w:tl2br w:val="nil"/>
              <w:tr2bl w:val="nil"/>
            </w:tcBorders>
            <w:shd w:val="clear" w:color="auto" w:fill="auto"/>
            <w:vAlign w:val="center"/>
          </w:tcPr>
          <w:p w14:paraId="16A08004">
            <w:pPr>
              <w:keepNext w:val="0"/>
              <w:keepLines w:val="0"/>
              <w:suppressLineNumbers w:val="0"/>
              <w:autoSpaceDE/>
              <w:autoSpaceDN/>
              <w:bidi w:val="0"/>
              <w:spacing w:before="120" w:beforeAutospacing="0" w:after="120" w:afterAutospacing="0"/>
              <w:ind w:left="0" w:right="0"/>
              <w:jc w:val="center"/>
              <w:rPr>
                <w:rFonts w:hint="default" w:ascii="Times New Roman" w:hAnsi="Times New Roman" w:eastAsia="宋体" w:cs="Times New Roman"/>
                <w:b w:val="0"/>
                <w:bCs w:val="0"/>
                <w:color w:val="auto"/>
                <w:sz w:val="15"/>
                <w:szCs w:val="15"/>
                <w:highlight w:val="none"/>
                <w:lang w:val="en-US" w:eastAsia="zh-CN"/>
              </w:rPr>
            </w:pPr>
            <w:r>
              <w:rPr>
                <w:rFonts w:hint="default" w:ascii="Times New Roman" w:hAnsi="Times New Roman" w:eastAsia="宋体" w:cs="Times New Roman"/>
                <w:b w:val="0"/>
                <w:bCs w:val="0"/>
                <w:color w:val="auto"/>
                <w:sz w:val="15"/>
                <w:szCs w:val="15"/>
                <w:highlight w:val="none"/>
                <w:lang w:val="en-US" w:eastAsia="zh-CN"/>
              </w:rPr>
              <w:t>储存方式与地点</w:t>
            </w:r>
          </w:p>
        </w:tc>
      </w:tr>
      <w:tr w14:paraId="692D85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5" w:hRule="exact"/>
        </w:trPr>
        <w:tc>
          <w:tcPr>
            <w:tcW w:w="724" w:type="dxa"/>
            <w:tcBorders>
              <w:tl2br w:val="nil"/>
              <w:tr2bl w:val="nil"/>
            </w:tcBorders>
            <w:shd w:val="clear" w:color="auto" w:fill="auto"/>
            <w:noWrap/>
            <w:vAlign w:val="center"/>
          </w:tcPr>
          <w:p w14:paraId="147C1373">
            <w:pPr>
              <w:keepNext w:val="0"/>
              <w:keepLines w:val="0"/>
              <w:suppressLineNumbers w:val="0"/>
              <w:autoSpaceDE w:val="0"/>
              <w:autoSpaceDN w:val="0"/>
              <w:bidi w:val="0"/>
              <w:spacing w:before="0" w:beforeAutospacing="0" w:after="0" w:afterAutospacing="0"/>
              <w:ind w:left="0" w:right="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1</w:t>
            </w:r>
          </w:p>
        </w:tc>
        <w:tc>
          <w:tcPr>
            <w:tcW w:w="1467" w:type="dxa"/>
            <w:tcBorders>
              <w:tl2br w:val="nil"/>
              <w:tr2bl w:val="nil"/>
            </w:tcBorders>
            <w:shd w:val="clear" w:color="auto" w:fill="auto"/>
            <w:noWrap/>
            <w:vAlign w:val="center"/>
          </w:tcPr>
          <w:p w14:paraId="08681B1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vertAlign w:val="baseline"/>
                <w:lang w:val="en-US" w:eastAsia="zh-CN"/>
              </w:rPr>
              <w:t>F-18</w:t>
            </w:r>
          </w:p>
        </w:tc>
        <w:tc>
          <w:tcPr>
            <w:tcW w:w="2438" w:type="dxa"/>
            <w:tcBorders>
              <w:tl2br w:val="nil"/>
              <w:tr2bl w:val="nil"/>
            </w:tcBorders>
            <w:shd w:val="clear" w:color="auto" w:fill="auto"/>
            <w:noWrap/>
            <w:vAlign w:val="center"/>
          </w:tcPr>
          <w:p w14:paraId="4A274D36">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液态，低毒，半衰期109.8min</w:t>
            </w:r>
          </w:p>
        </w:tc>
        <w:tc>
          <w:tcPr>
            <w:tcW w:w="641" w:type="dxa"/>
            <w:tcBorders>
              <w:tl2br w:val="nil"/>
              <w:tr2bl w:val="nil"/>
            </w:tcBorders>
            <w:shd w:val="clear" w:color="auto" w:fill="auto"/>
            <w:noWrap/>
            <w:vAlign w:val="center"/>
          </w:tcPr>
          <w:p w14:paraId="206C5A6D">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cs="Times New Roman"/>
                <w:b w:val="0"/>
                <w:bCs w:val="0"/>
                <w:i w:val="0"/>
                <w:iCs w:val="0"/>
                <w:color w:val="auto"/>
                <w:kern w:val="0"/>
                <w:sz w:val="15"/>
                <w:szCs w:val="15"/>
                <w:highlight w:val="none"/>
                <w:u w:val="none"/>
                <w:lang w:val="en-US" w:eastAsia="zh-CN" w:bidi="ar"/>
              </w:rPr>
              <w:t>生产</w:t>
            </w:r>
          </w:p>
        </w:tc>
        <w:tc>
          <w:tcPr>
            <w:tcW w:w="1328" w:type="dxa"/>
            <w:tcBorders>
              <w:tl2br w:val="nil"/>
              <w:tr2bl w:val="nil"/>
            </w:tcBorders>
            <w:shd w:val="clear" w:color="auto" w:fill="auto"/>
            <w:noWrap/>
            <w:vAlign w:val="center"/>
          </w:tcPr>
          <w:p w14:paraId="5FED030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7.40E+10</w:t>
            </w:r>
          </w:p>
        </w:tc>
        <w:tc>
          <w:tcPr>
            <w:tcW w:w="1363" w:type="dxa"/>
            <w:tcBorders>
              <w:tl2br w:val="nil"/>
              <w:tr2bl w:val="nil"/>
            </w:tcBorders>
            <w:shd w:val="clear" w:color="auto" w:fill="auto"/>
            <w:noWrap/>
            <w:vAlign w:val="center"/>
          </w:tcPr>
          <w:p w14:paraId="00B3FBD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7.40E+08</w:t>
            </w:r>
          </w:p>
        </w:tc>
        <w:tc>
          <w:tcPr>
            <w:tcW w:w="997" w:type="dxa"/>
            <w:tcBorders>
              <w:tl2br w:val="nil"/>
              <w:tr2bl w:val="nil"/>
            </w:tcBorders>
            <w:shd w:val="clear" w:color="auto" w:fill="auto"/>
            <w:vAlign w:val="center"/>
          </w:tcPr>
          <w:p w14:paraId="6B5AAE0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1.85E+13</w:t>
            </w:r>
          </w:p>
        </w:tc>
        <w:tc>
          <w:tcPr>
            <w:tcW w:w="1175" w:type="dxa"/>
            <w:vMerge w:val="restart"/>
            <w:tcBorders>
              <w:tl2br w:val="nil"/>
              <w:tr2bl w:val="nil"/>
            </w:tcBorders>
            <w:shd w:val="clear" w:color="auto" w:fill="auto"/>
            <w:vAlign w:val="center"/>
          </w:tcPr>
          <w:p w14:paraId="1931860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cs="Times New Roman"/>
                <w:color w:val="auto"/>
                <w:kern w:val="0"/>
                <w:sz w:val="15"/>
                <w:szCs w:val="15"/>
                <w:highlight w:val="none"/>
                <w:lang w:val="en-US" w:eastAsia="zh-CN"/>
              </w:rPr>
              <w:t>生产放药</w:t>
            </w:r>
          </w:p>
        </w:tc>
        <w:tc>
          <w:tcPr>
            <w:tcW w:w="1233" w:type="dxa"/>
            <w:tcBorders>
              <w:tl2br w:val="nil"/>
              <w:tr2bl w:val="nil"/>
            </w:tcBorders>
            <w:shd w:val="clear" w:color="auto" w:fill="auto"/>
            <w:noWrap/>
            <w:vAlign w:val="center"/>
          </w:tcPr>
          <w:p w14:paraId="04ABA88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color w:val="auto"/>
                <w:kern w:val="0"/>
                <w:sz w:val="15"/>
                <w:szCs w:val="15"/>
                <w:highlight w:val="none"/>
                <w:lang w:val="en-US" w:eastAsia="zh-CN"/>
              </w:rPr>
              <w:t>简单操作</w:t>
            </w:r>
          </w:p>
        </w:tc>
        <w:tc>
          <w:tcPr>
            <w:tcW w:w="1577" w:type="dxa"/>
            <w:vMerge w:val="restart"/>
            <w:tcBorders>
              <w:tl2br w:val="nil"/>
              <w:tr2bl w:val="nil"/>
            </w:tcBorders>
            <w:shd w:val="clear" w:color="auto" w:fill="auto"/>
            <w:noWrap/>
            <w:vAlign w:val="center"/>
          </w:tcPr>
          <w:p w14:paraId="479024E9">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cs="Times New Roman"/>
                <w:b w:val="0"/>
                <w:bCs w:val="0"/>
                <w:i w:val="0"/>
                <w:iCs w:val="0"/>
                <w:color w:val="auto"/>
                <w:sz w:val="15"/>
                <w:szCs w:val="15"/>
                <w:highlight w:val="none"/>
                <w:u w:val="none"/>
                <w:lang w:val="en-US" w:eastAsia="zh-CN" w:bidi="ar-SA"/>
              </w:rPr>
              <w:t>北院区</w:t>
            </w:r>
            <w:r>
              <w:rPr>
                <w:rFonts w:hint="default" w:ascii="Times New Roman" w:hAnsi="Times New Roman" w:eastAsia="宋体" w:cs="Times New Roman"/>
                <w:b w:val="0"/>
                <w:bCs w:val="0"/>
                <w:i w:val="0"/>
                <w:iCs w:val="0"/>
                <w:color w:val="auto"/>
                <w:sz w:val="15"/>
                <w:szCs w:val="15"/>
                <w:highlight w:val="none"/>
                <w:u w:val="none"/>
                <w:lang w:val="en-US" w:eastAsia="zh-CN" w:bidi="ar-SA"/>
              </w:rPr>
              <w:t>核医学楼负一层正电子药物生产车间</w:t>
            </w:r>
          </w:p>
        </w:tc>
        <w:tc>
          <w:tcPr>
            <w:tcW w:w="1640" w:type="dxa"/>
            <w:vMerge w:val="restart"/>
            <w:tcBorders>
              <w:tl2br w:val="nil"/>
              <w:tr2bl w:val="nil"/>
            </w:tcBorders>
            <w:shd w:val="clear" w:color="auto" w:fill="auto"/>
            <w:noWrap/>
            <w:vAlign w:val="center"/>
          </w:tcPr>
          <w:p w14:paraId="4593EED0">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cs="Times New Roman"/>
                <w:b w:val="0"/>
                <w:bCs w:val="0"/>
                <w:i w:val="0"/>
                <w:iCs w:val="0"/>
                <w:color w:val="auto"/>
                <w:sz w:val="15"/>
                <w:szCs w:val="15"/>
                <w:highlight w:val="none"/>
                <w:u w:val="none"/>
                <w:lang w:val="en-US" w:eastAsia="zh-CN" w:bidi="ar-SA"/>
              </w:rPr>
              <w:t>完成生产后转移至核医学楼二层PET诊断区储源室。</w:t>
            </w:r>
          </w:p>
        </w:tc>
      </w:tr>
      <w:tr w14:paraId="072993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exact"/>
        </w:trPr>
        <w:tc>
          <w:tcPr>
            <w:tcW w:w="724" w:type="dxa"/>
            <w:tcBorders>
              <w:tl2br w:val="nil"/>
              <w:tr2bl w:val="nil"/>
            </w:tcBorders>
            <w:shd w:val="clear" w:color="auto" w:fill="auto"/>
            <w:noWrap/>
            <w:vAlign w:val="center"/>
          </w:tcPr>
          <w:p w14:paraId="4594410B">
            <w:pPr>
              <w:keepNext w:val="0"/>
              <w:keepLines w:val="0"/>
              <w:suppressLineNumbers w:val="0"/>
              <w:autoSpaceDE w:val="0"/>
              <w:autoSpaceDN w:val="0"/>
              <w:bidi w:val="0"/>
              <w:spacing w:before="0" w:beforeAutospacing="0" w:after="0" w:afterAutospacing="0"/>
              <w:ind w:left="0" w:right="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2</w:t>
            </w:r>
          </w:p>
        </w:tc>
        <w:tc>
          <w:tcPr>
            <w:tcW w:w="1467" w:type="dxa"/>
            <w:tcBorders>
              <w:tl2br w:val="nil"/>
              <w:tr2bl w:val="nil"/>
            </w:tcBorders>
            <w:shd w:val="clear" w:color="auto" w:fill="auto"/>
            <w:noWrap/>
            <w:vAlign w:val="center"/>
          </w:tcPr>
          <w:p w14:paraId="5B6A1C5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Ga-68</w:t>
            </w:r>
          </w:p>
        </w:tc>
        <w:tc>
          <w:tcPr>
            <w:tcW w:w="2438" w:type="dxa"/>
            <w:tcBorders>
              <w:tl2br w:val="nil"/>
              <w:tr2bl w:val="nil"/>
            </w:tcBorders>
            <w:shd w:val="clear" w:color="auto" w:fill="auto"/>
            <w:noWrap/>
            <w:vAlign w:val="center"/>
          </w:tcPr>
          <w:p w14:paraId="110AFDD8">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液态，低毒，半衰期 68min</w:t>
            </w:r>
          </w:p>
        </w:tc>
        <w:tc>
          <w:tcPr>
            <w:tcW w:w="641" w:type="dxa"/>
            <w:tcBorders>
              <w:tl2br w:val="nil"/>
              <w:tr2bl w:val="nil"/>
            </w:tcBorders>
            <w:shd w:val="clear" w:color="auto" w:fill="auto"/>
            <w:noWrap/>
            <w:vAlign w:val="center"/>
          </w:tcPr>
          <w:p w14:paraId="2B68D2A6">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cs="Times New Roman"/>
                <w:b w:val="0"/>
                <w:bCs w:val="0"/>
                <w:i w:val="0"/>
                <w:iCs w:val="0"/>
                <w:color w:val="auto"/>
                <w:kern w:val="0"/>
                <w:sz w:val="15"/>
                <w:szCs w:val="15"/>
                <w:highlight w:val="none"/>
                <w:u w:val="none"/>
                <w:lang w:val="en-US" w:eastAsia="zh-CN" w:bidi="ar"/>
              </w:rPr>
              <w:t>生产</w:t>
            </w:r>
          </w:p>
        </w:tc>
        <w:tc>
          <w:tcPr>
            <w:tcW w:w="1328" w:type="dxa"/>
            <w:tcBorders>
              <w:tl2br w:val="nil"/>
              <w:tr2bl w:val="nil"/>
            </w:tcBorders>
            <w:shd w:val="clear" w:color="auto" w:fill="auto"/>
            <w:noWrap/>
            <w:vAlign w:val="center"/>
          </w:tcPr>
          <w:p w14:paraId="58CC85A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3.70E+10</w:t>
            </w:r>
          </w:p>
        </w:tc>
        <w:tc>
          <w:tcPr>
            <w:tcW w:w="1363" w:type="dxa"/>
            <w:tcBorders>
              <w:tl2br w:val="nil"/>
              <w:tr2bl w:val="nil"/>
            </w:tcBorders>
            <w:shd w:val="clear" w:color="auto" w:fill="auto"/>
            <w:noWrap/>
            <w:vAlign w:val="center"/>
          </w:tcPr>
          <w:p w14:paraId="1F7193E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3.70E+08</w:t>
            </w:r>
          </w:p>
        </w:tc>
        <w:tc>
          <w:tcPr>
            <w:tcW w:w="997" w:type="dxa"/>
            <w:tcBorders>
              <w:tl2br w:val="nil"/>
              <w:tr2bl w:val="nil"/>
            </w:tcBorders>
            <w:shd w:val="clear" w:color="auto" w:fill="auto"/>
            <w:vAlign w:val="center"/>
          </w:tcPr>
          <w:p w14:paraId="0458069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9.25E+12</w:t>
            </w:r>
          </w:p>
        </w:tc>
        <w:tc>
          <w:tcPr>
            <w:tcW w:w="1175" w:type="dxa"/>
            <w:vMerge w:val="continue"/>
            <w:tcBorders>
              <w:tl2br w:val="nil"/>
              <w:tr2bl w:val="nil"/>
            </w:tcBorders>
            <w:shd w:val="clear" w:color="auto" w:fill="auto"/>
            <w:vAlign w:val="center"/>
          </w:tcPr>
          <w:p w14:paraId="7E07C5B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233" w:type="dxa"/>
            <w:tcBorders>
              <w:tl2br w:val="nil"/>
              <w:tr2bl w:val="nil"/>
            </w:tcBorders>
            <w:shd w:val="clear" w:color="auto" w:fill="auto"/>
            <w:noWrap/>
            <w:vAlign w:val="center"/>
          </w:tcPr>
          <w:p w14:paraId="66AC2E8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color w:val="auto"/>
                <w:kern w:val="0"/>
                <w:sz w:val="15"/>
                <w:szCs w:val="15"/>
                <w:highlight w:val="none"/>
                <w:lang w:val="en-US" w:eastAsia="zh-CN"/>
              </w:rPr>
              <w:t>简单操作</w:t>
            </w:r>
          </w:p>
        </w:tc>
        <w:tc>
          <w:tcPr>
            <w:tcW w:w="1577" w:type="dxa"/>
            <w:vMerge w:val="continue"/>
            <w:tcBorders>
              <w:tl2br w:val="nil"/>
              <w:tr2bl w:val="nil"/>
            </w:tcBorders>
            <w:shd w:val="clear" w:color="auto" w:fill="auto"/>
            <w:noWrap/>
            <w:vAlign w:val="center"/>
          </w:tcPr>
          <w:p w14:paraId="33D69A14">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c>
          <w:tcPr>
            <w:tcW w:w="1640" w:type="dxa"/>
            <w:vMerge w:val="continue"/>
            <w:tcBorders>
              <w:tl2br w:val="nil"/>
              <w:tr2bl w:val="nil"/>
            </w:tcBorders>
            <w:shd w:val="clear" w:color="auto" w:fill="auto"/>
            <w:noWrap/>
            <w:vAlign w:val="center"/>
          </w:tcPr>
          <w:p w14:paraId="4F41C7A5">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r>
      <w:tr w14:paraId="3F0769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5" w:hRule="exact"/>
        </w:trPr>
        <w:tc>
          <w:tcPr>
            <w:tcW w:w="724" w:type="dxa"/>
            <w:tcBorders>
              <w:tl2br w:val="nil"/>
              <w:tr2bl w:val="nil"/>
            </w:tcBorders>
            <w:shd w:val="clear" w:color="auto" w:fill="auto"/>
            <w:noWrap/>
            <w:vAlign w:val="center"/>
          </w:tcPr>
          <w:p w14:paraId="7CBE7A06">
            <w:pPr>
              <w:keepNext w:val="0"/>
              <w:keepLines w:val="0"/>
              <w:suppressLineNumbers w:val="0"/>
              <w:autoSpaceDE w:val="0"/>
              <w:autoSpaceDN w:val="0"/>
              <w:bidi w:val="0"/>
              <w:spacing w:before="0" w:beforeAutospacing="0" w:after="0" w:afterAutospacing="0"/>
              <w:ind w:left="0" w:right="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3</w:t>
            </w:r>
          </w:p>
        </w:tc>
        <w:tc>
          <w:tcPr>
            <w:tcW w:w="1467" w:type="dxa"/>
            <w:tcBorders>
              <w:tl2br w:val="nil"/>
              <w:tr2bl w:val="nil"/>
            </w:tcBorders>
            <w:shd w:val="clear" w:color="auto" w:fill="auto"/>
            <w:noWrap/>
            <w:vAlign w:val="center"/>
          </w:tcPr>
          <w:p w14:paraId="0EC0750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C-11</w:t>
            </w:r>
          </w:p>
        </w:tc>
        <w:tc>
          <w:tcPr>
            <w:tcW w:w="2438" w:type="dxa"/>
            <w:tcBorders>
              <w:tl2br w:val="nil"/>
              <w:tr2bl w:val="nil"/>
            </w:tcBorders>
            <w:shd w:val="clear" w:color="auto" w:fill="auto"/>
            <w:noWrap/>
            <w:vAlign w:val="center"/>
          </w:tcPr>
          <w:p w14:paraId="0BB81FA4">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液态，低毒，半衰期20.39min</w:t>
            </w:r>
          </w:p>
        </w:tc>
        <w:tc>
          <w:tcPr>
            <w:tcW w:w="641" w:type="dxa"/>
            <w:tcBorders>
              <w:tl2br w:val="nil"/>
              <w:tr2bl w:val="nil"/>
            </w:tcBorders>
            <w:shd w:val="clear" w:color="auto" w:fill="auto"/>
            <w:noWrap/>
            <w:vAlign w:val="center"/>
          </w:tcPr>
          <w:p w14:paraId="5022AD0D">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生产</w:t>
            </w:r>
          </w:p>
        </w:tc>
        <w:tc>
          <w:tcPr>
            <w:tcW w:w="1328" w:type="dxa"/>
            <w:tcBorders>
              <w:tl2br w:val="nil"/>
              <w:tr2bl w:val="nil"/>
            </w:tcBorders>
            <w:shd w:val="clear" w:color="auto" w:fill="auto"/>
            <w:noWrap/>
            <w:vAlign w:val="center"/>
          </w:tcPr>
          <w:p w14:paraId="488FF1A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1.48E+10</w:t>
            </w:r>
          </w:p>
        </w:tc>
        <w:tc>
          <w:tcPr>
            <w:tcW w:w="1363" w:type="dxa"/>
            <w:tcBorders>
              <w:tl2br w:val="nil"/>
              <w:tr2bl w:val="nil"/>
            </w:tcBorders>
            <w:shd w:val="clear" w:color="auto" w:fill="auto"/>
            <w:noWrap/>
            <w:vAlign w:val="center"/>
          </w:tcPr>
          <w:p w14:paraId="24ADF61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1.48E+08</w:t>
            </w:r>
          </w:p>
        </w:tc>
        <w:tc>
          <w:tcPr>
            <w:tcW w:w="997" w:type="dxa"/>
            <w:tcBorders>
              <w:tl2br w:val="nil"/>
              <w:tr2bl w:val="nil"/>
            </w:tcBorders>
            <w:shd w:val="clear" w:color="auto" w:fill="auto"/>
            <w:vAlign w:val="center"/>
          </w:tcPr>
          <w:p w14:paraId="247A563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3.70E+12</w:t>
            </w:r>
          </w:p>
        </w:tc>
        <w:tc>
          <w:tcPr>
            <w:tcW w:w="1175" w:type="dxa"/>
            <w:vMerge w:val="continue"/>
            <w:tcBorders>
              <w:tl2br w:val="nil"/>
              <w:tr2bl w:val="nil"/>
            </w:tcBorders>
            <w:shd w:val="clear" w:color="auto" w:fill="auto"/>
            <w:vAlign w:val="center"/>
          </w:tcPr>
          <w:p w14:paraId="4752FC3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233" w:type="dxa"/>
            <w:tcBorders>
              <w:tl2br w:val="nil"/>
              <w:tr2bl w:val="nil"/>
            </w:tcBorders>
            <w:shd w:val="clear" w:color="auto" w:fill="auto"/>
            <w:noWrap/>
            <w:vAlign w:val="center"/>
          </w:tcPr>
          <w:p w14:paraId="30E3286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color w:val="auto"/>
                <w:kern w:val="0"/>
                <w:sz w:val="15"/>
                <w:szCs w:val="15"/>
                <w:highlight w:val="none"/>
                <w:lang w:val="en-US" w:eastAsia="zh-CN"/>
              </w:rPr>
              <w:t>简单操作</w:t>
            </w:r>
          </w:p>
        </w:tc>
        <w:tc>
          <w:tcPr>
            <w:tcW w:w="1577" w:type="dxa"/>
            <w:vMerge w:val="continue"/>
            <w:tcBorders>
              <w:tl2br w:val="nil"/>
              <w:tr2bl w:val="nil"/>
            </w:tcBorders>
            <w:shd w:val="clear" w:color="auto" w:fill="auto"/>
            <w:noWrap/>
            <w:vAlign w:val="center"/>
          </w:tcPr>
          <w:p w14:paraId="37BB0913">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c>
          <w:tcPr>
            <w:tcW w:w="1640" w:type="dxa"/>
            <w:vMerge w:val="continue"/>
            <w:tcBorders>
              <w:tl2br w:val="nil"/>
              <w:tr2bl w:val="nil"/>
            </w:tcBorders>
            <w:shd w:val="clear" w:color="auto" w:fill="auto"/>
            <w:noWrap/>
            <w:vAlign w:val="center"/>
          </w:tcPr>
          <w:p w14:paraId="36031CF5">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r>
      <w:tr w14:paraId="69A9B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5" w:hRule="exact"/>
        </w:trPr>
        <w:tc>
          <w:tcPr>
            <w:tcW w:w="724" w:type="dxa"/>
            <w:tcBorders>
              <w:tl2br w:val="nil"/>
              <w:tr2bl w:val="nil"/>
            </w:tcBorders>
            <w:shd w:val="clear" w:color="auto" w:fill="auto"/>
            <w:noWrap/>
            <w:vAlign w:val="center"/>
          </w:tcPr>
          <w:p w14:paraId="2D1D89B6">
            <w:pPr>
              <w:keepNext w:val="0"/>
              <w:keepLines w:val="0"/>
              <w:suppressLineNumbers w:val="0"/>
              <w:autoSpaceDE w:val="0"/>
              <w:autoSpaceDN w:val="0"/>
              <w:bidi w:val="0"/>
              <w:spacing w:before="0" w:beforeAutospacing="0" w:after="0" w:afterAutospacing="0"/>
              <w:ind w:left="0" w:right="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4</w:t>
            </w:r>
          </w:p>
        </w:tc>
        <w:tc>
          <w:tcPr>
            <w:tcW w:w="1467" w:type="dxa"/>
            <w:tcBorders>
              <w:tl2br w:val="nil"/>
              <w:tr2bl w:val="nil"/>
            </w:tcBorders>
            <w:shd w:val="clear" w:color="auto" w:fill="auto"/>
            <w:noWrap/>
            <w:vAlign w:val="center"/>
          </w:tcPr>
          <w:p w14:paraId="331E787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N-13</w:t>
            </w:r>
          </w:p>
        </w:tc>
        <w:tc>
          <w:tcPr>
            <w:tcW w:w="2438" w:type="dxa"/>
            <w:tcBorders>
              <w:tl2br w:val="nil"/>
              <w:tr2bl w:val="nil"/>
            </w:tcBorders>
            <w:shd w:val="clear" w:color="auto" w:fill="auto"/>
            <w:noWrap/>
            <w:vAlign w:val="center"/>
          </w:tcPr>
          <w:p w14:paraId="78E7863E">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液态，低毒，半衰期10.0min</w:t>
            </w:r>
          </w:p>
        </w:tc>
        <w:tc>
          <w:tcPr>
            <w:tcW w:w="641" w:type="dxa"/>
            <w:tcBorders>
              <w:tl2br w:val="nil"/>
              <w:tr2bl w:val="nil"/>
            </w:tcBorders>
            <w:shd w:val="clear" w:color="auto" w:fill="auto"/>
            <w:noWrap/>
            <w:vAlign w:val="center"/>
          </w:tcPr>
          <w:p w14:paraId="175B509A">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生产</w:t>
            </w:r>
          </w:p>
        </w:tc>
        <w:tc>
          <w:tcPr>
            <w:tcW w:w="1328" w:type="dxa"/>
            <w:tcBorders>
              <w:tl2br w:val="nil"/>
              <w:tr2bl w:val="nil"/>
            </w:tcBorders>
            <w:shd w:val="clear" w:color="auto" w:fill="auto"/>
            <w:noWrap/>
            <w:vAlign w:val="center"/>
          </w:tcPr>
          <w:p w14:paraId="6169C73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1.48E+10</w:t>
            </w:r>
          </w:p>
        </w:tc>
        <w:tc>
          <w:tcPr>
            <w:tcW w:w="1363" w:type="dxa"/>
            <w:tcBorders>
              <w:tl2br w:val="nil"/>
              <w:tr2bl w:val="nil"/>
            </w:tcBorders>
            <w:shd w:val="clear" w:color="auto" w:fill="auto"/>
            <w:noWrap/>
            <w:vAlign w:val="center"/>
          </w:tcPr>
          <w:p w14:paraId="26E8725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1.48E+08</w:t>
            </w:r>
          </w:p>
        </w:tc>
        <w:tc>
          <w:tcPr>
            <w:tcW w:w="997" w:type="dxa"/>
            <w:tcBorders>
              <w:tl2br w:val="nil"/>
              <w:tr2bl w:val="nil"/>
            </w:tcBorders>
            <w:shd w:val="clear" w:color="auto" w:fill="auto"/>
            <w:vAlign w:val="center"/>
          </w:tcPr>
          <w:p w14:paraId="2CA65A9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3.70E+12</w:t>
            </w:r>
          </w:p>
        </w:tc>
        <w:tc>
          <w:tcPr>
            <w:tcW w:w="1175" w:type="dxa"/>
            <w:vMerge w:val="continue"/>
            <w:tcBorders>
              <w:tl2br w:val="nil"/>
              <w:tr2bl w:val="nil"/>
            </w:tcBorders>
            <w:shd w:val="clear" w:color="auto" w:fill="auto"/>
            <w:vAlign w:val="center"/>
          </w:tcPr>
          <w:p w14:paraId="4E5ED50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233" w:type="dxa"/>
            <w:tcBorders>
              <w:tl2br w:val="nil"/>
              <w:tr2bl w:val="nil"/>
            </w:tcBorders>
            <w:shd w:val="clear" w:color="auto" w:fill="auto"/>
            <w:noWrap/>
            <w:vAlign w:val="center"/>
          </w:tcPr>
          <w:p w14:paraId="413FE8F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color w:val="auto"/>
                <w:kern w:val="0"/>
                <w:sz w:val="15"/>
                <w:szCs w:val="15"/>
                <w:highlight w:val="none"/>
                <w:lang w:val="en-US" w:eastAsia="zh-CN"/>
              </w:rPr>
              <w:t>简单操作</w:t>
            </w:r>
          </w:p>
        </w:tc>
        <w:tc>
          <w:tcPr>
            <w:tcW w:w="1577" w:type="dxa"/>
            <w:vMerge w:val="continue"/>
            <w:tcBorders>
              <w:tl2br w:val="nil"/>
              <w:tr2bl w:val="nil"/>
            </w:tcBorders>
            <w:shd w:val="clear" w:color="auto" w:fill="auto"/>
            <w:noWrap/>
            <w:vAlign w:val="center"/>
          </w:tcPr>
          <w:p w14:paraId="3DFDBB3C">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c>
          <w:tcPr>
            <w:tcW w:w="1640" w:type="dxa"/>
            <w:vMerge w:val="continue"/>
            <w:tcBorders>
              <w:tl2br w:val="nil"/>
              <w:tr2bl w:val="nil"/>
            </w:tcBorders>
            <w:shd w:val="clear" w:color="auto" w:fill="auto"/>
            <w:noWrap/>
            <w:vAlign w:val="center"/>
          </w:tcPr>
          <w:p w14:paraId="00E6A121">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r>
      <w:tr w14:paraId="1D1CF9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exact"/>
        </w:trPr>
        <w:tc>
          <w:tcPr>
            <w:tcW w:w="724" w:type="dxa"/>
            <w:shd w:val="clear" w:color="auto" w:fill="auto"/>
            <w:vAlign w:val="center"/>
          </w:tcPr>
          <w:p w14:paraId="68211ECC">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5</w:t>
            </w:r>
          </w:p>
        </w:tc>
        <w:tc>
          <w:tcPr>
            <w:tcW w:w="1467" w:type="dxa"/>
            <w:shd w:val="clear" w:color="auto" w:fill="auto"/>
            <w:vAlign w:val="center"/>
          </w:tcPr>
          <w:p w14:paraId="0812A4D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vertAlign w:val="baseline"/>
                <w:lang w:val="en-US" w:eastAsia="zh-CN"/>
              </w:rPr>
              <w:t>F-18</w:t>
            </w:r>
          </w:p>
        </w:tc>
        <w:tc>
          <w:tcPr>
            <w:tcW w:w="2438" w:type="dxa"/>
            <w:shd w:val="clear" w:color="auto" w:fill="auto"/>
            <w:vAlign w:val="center"/>
          </w:tcPr>
          <w:p w14:paraId="1B1C207C">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液态，低毒，半衰期109.8min</w:t>
            </w:r>
          </w:p>
        </w:tc>
        <w:tc>
          <w:tcPr>
            <w:tcW w:w="641" w:type="dxa"/>
            <w:shd w:val="clear" w:color="auto" w:fill="auto"/>
            <w:vAlign w:val="center"/>
          </w:tcPr>
          <w:p w14:paraId="10DE658E">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656387A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3.70E+10</w:t>
            </w:r>
          </w:p>
        </w:tc>
        <w:tc>
          <w:tcPr>
            <w:tcW w:w="1363" w:type="dxa"/>
            <w:shd w:val="clear" w:color="auto" w:fill="auto"/>
            <w:vAlign w:val="center"/>
          </w:tcPr>
          <w:p w14:paraId="221C53C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3.70E+07</w:t>
            </w:r>
          </w:p>
        </w:tc>
        <w:tc>
          <w:tcPr>
            <w:tcW w:w="997" w:type="dxa"/>
            <w:shd w:val="clear" w:color="auto" w:fill="auto"/>
            <w:vAlign w:val="center"/>
          </w:tcPr>
          <w:p w14:paraId="0E054E4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9.25E+12</w:t>
            </w:r>
          </w:p>
        </w:tc>
        <w:tc>
          <w:tcPr>
            <w:tcW w:w="1175" w:type="dxa"/>
            <w:vMerge w:val="restart"/>
            <w:shd w:val="clear" w:color="auto" w:fill="auto"/>
            <w:vAlign w:val="center"/>
          </w:tcPr>
          <w:p w14:paraId="5F51FBA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cs="Times New Roman"/>
                <w:color w:val="auto"/>
                <w:kern w:val="0"/>
                <w:sz w:val="15"/>
                <w:szCs w:val="15"/>
                <w:highlight w:val="none"/>
                <w:lang w:val="en-US" w:eastAsia="zh-CN"/>
              </w:rPr>
              <w:t>PET诊断</w:t>
            </w:r>
          </w:p>
        </w:tc>
        <w:tc>
          <w:tcPr>
            <w:tcW w:w="1233" w:type="dxa"/>
            <w:shd w:val="clear" w:color="auto" w:fill="auto"/>
            <w:vAlign w:val="center"/>
          </w:tcPr>
          <w:p w14:paraId="2D0E8AB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color w:val="auto"/>
                <w:kern w:val="0"/>
                <w:sz w:val="15"/>
                <w:szCs w:val="15"/>
                <w:highlight w:val="none"/>
                <w:lang w:val="en-US" w:eastAsia="zh-CN"/>
              </w:rPr>
              <w:t>很简单操作</w:t>
            </w:r>
          </w:p>
        </w:tc>
        <w:tc>
          <w:tcPr>
            <w:tcW w:w="1577" w:type="dxa"/>
            <w:vMerge w:val="restart"/>
            <w:shd w:val="clear" w:color="auto" w:fill="auto"/>
            <w:vAlign w:val="center"/>
          </w:tcPr>
          <w:p w14:paraId="324FA1CB">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b w:val="0"/>
                <w:bCs w:val="0"/>
                <w:i w:val="0"/>
                <w:iCs w:val="0"/>
                <w:color w:val="auto"/>
                <w:sz w:val="15"/>
                <w:szCs w:val="15"/>
                <w:highlight w:val="none"/>
                <w:u w:val="none"/>
                <w:lang w:val="en-US" w:eastAsia="zh-CN" w:bidi="ar-SA"/>
              </w:rPr>
              <w:t>北院区核医学楼二层PET诊断区</w:t>
            </w:r>
          </w:p>
        </w:tc>
        <w:tc>
          <w:tcPr>
            <w:tcW w:w="1640" w:type="dxa"/>
            <w:vMerge w:val="restart"/>
            <w:shd w:val="clear" w:color="auto" w:fill="auto"/>
            <w:vAlign w:val="center"/>
          </w:tcPr>
          <w:p w14:paraId="4D4BA7E2">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b w:val="0"/>
                <w:bCs w:val="0"/>
                <w:i w:val="0"/>
                <w:iCs w:val="0"/>
                <w:color w:val="auto"/>
                <w:sz w:val="15"/>
                <w:szCs w:val="15"/>
                <w:highlight w:val="none"/>
                <w:u w:val="none"/>
                <w:lang w:val="en-US" w:eastAsia="zh-CN" w:bidi="ar-SA"/>
              </w:rPr>
              <w:t>储存</w:t>
            </w:r>
            <w:r>
              <w:rPr>
                <w:rFonts w:hint="default" w:ascii="Times New Roman" w:hAnsi="Times New Roman" w:cs="Times New Roman"/>
                <w:b w:val="0"/>
                <w:bCs w:val="0"/>
                <w:i w:val="0"/>
                <w:iCs w:val="0"/>
                <w:color w:val="auto"/>
                <w:sz w:val="15"/>
                <w:szCs w:val="15"/>
                <w:highlight w:val="none"/>
                <w:u w:val="none"/>
                <w:lang w:val="en-US" w:eastAsia="zh-CN" w:bidi="ar-SA"/>
              </w:rPr>
              <w:t>在</w:t>
            </w:r>
            <w:r>
              <w:rPr>
                <w:rFonts w:hint="default" w:ascii="Times New Roman" w:hAnsi="Times New Roman" w:eastAsia="宋体" w:cs="Times New Roman"/>
                <w:b w:val="0"/>
                <w:bCs w:val="0"/>
                <w:i w:val="0"/>
                <w:iCs w:val="0"/>
                <w:color w:val="auto"/>
                <w:sz w:val="15"/>
                <w:szCs w:val="15"/>
                <w:highlight w:val="none"/>
                <w:u w:val="none"/>
                <w:lang w:val="en-US" w:eastAsia="zh-CN" w:bidi="ar-SA"/>
              </w:rPr>
              <w:t>核医学楼二层PET诊断区储源室，按需生产不长期储存</w:t>
            </w:r>
            <w:r>
              <w:rPr>
                <w:rFonts w:hint="default" w:ascii="Times New Roman" w:hAnsi="Times New Roman" w:cs="Times New Roman"/>
                <w:b w:val="0"/>
                <w:bCs w:val="0"/>
                <w:i w:val="0"/>
                <w:iCs w:val="0"/>
                <w:color w:val="auto"/>
                <w:sz w:val="15"/>
                <w:szCs w:val="15"/>
                <w:highlight w:val="none"/>
                <w:u w:val="none"/>
                <w:lang w:val="en-US" w:eastAsia="zh-CN" w:bidi="ar-SA"/>
              </w:rPr>
              <w:t>。</w:t>
            </w:r>
          </w:p>
        </w:tc>
      </w:tr>
      <w:tr w14:paraId="25BF7C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exact"/>
        </w:trPr>
        <w:tc>
          <w:tcPr>
            <w:tcW w:w="724" w:type="dxa"/>
            <w:shd w:val="clear" w:color="auto" w:fill="auto"/>
            <w:vAlign w:val="center"/>
          </w:tcPr>
          <w:p w14:paraId="6C33B815">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6</w:t>
            </w:r>
          </w:p>
        </w:tc>
        <w:tc>
          <w:tcPr>
            <w:tcW w:w="1467" w:type="dxa"/>
            <w:shd w:val="clear" w:color="auto" w:fill="auto"/>
            <w:vAlign w:val="center"/>
          </w:tcPr>
          <w:p w14:paraId="570F79C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Ga-68</w:t>
            </w:r>
          </w:p>
        </w:tc>
        <w:tc>
          <w:tcPr>
            <w:tcW w:w="2438" w:type="dxa"/>
            <w:shd w:val="clear" w:color="auto" w:fill="auto"/>
            <w:vAlign w:val="center"/>
          </w:tcPr>
          <w:p w14:paraId="13EDFF25">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液态，低毒，半衰期 68min</w:t>
            </w:r>
          </w:p>
        </w:tc>
        <w:tc>
          <w:tcPr>
            <w:tcW w:w="641" w:type="dxa"/>
            <w:shd w:val="clear" w:color="auto" w:fill="auto"/>
            <w:vAlign w:val="center"/>
          </w:tcPr>
          <w:p w14:paraId="13BF4B42">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473F1D2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1.85E+10</w:t>
            </w:r>
          </w:p>
        </w:tc>
        <w:tc>
          <w:tcPr>
            <w:tcW w:w="1363" w:type="dxa"/>
            <w:shd w:val="clear" w:color="auto" w:fill="auto"/>
            <w:vAlign w:val="center"/>
          </w:tcPr>
          <w:p w14:paraId="4FED1C0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1.85E+07</w:t>
            </w:r>
          </w:p>
        </w:tc>
        <w:tc>
          <w:tcPr>
            <w:tcW w:w="997" w:type="dxa"/>
            <w:shd w:val="clear" w:color="auto" w:fill="auto"/>
            <w:vAlign w:val="center"/>
          </w:tcPr>
          <w:p w14:paraId="67D7929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4.63E+12</w:t>
            </w:r>
          </w:p>
        </w:tc>
        <w:tc>
          <w:tcPr>
            <w:tcW w:w="1175" w:type="dxa"/>
            <w:vMerge w:val="continue"/>
            <w:shd w:val="clear" w:color="auto" w:fill="auto"/>
            <w:vAlign w:val="center"/>
          </w:tcPr>
          <w:p w14:paraId="2541A04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233" w:type="dxa"/>
            <w:shd w:val="clear" w:color="auto" w:fill="auto"/>
            <w:vAlign w:val="center"/>
          </w:tcPr>
          <w:p w14:paraId="22BC2AB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color w:val="auto"/>
                <w:kern w:val="0"/>
                <w:sz w:val="15"/>
                <w:szCs w:val="15"/>
                <w:highlight w:val="none"/>
                <w:lang w:val="en-US" w:eastAsia="zh-CN"/>
              </w:rPr>
              <w:t>很简单操作</w:t>
            </w:r>
          </w:p>
        </w:tc>
        <w:tc>
          <w:tcPr>
            <w:tcW w:w="1577" w:type="dxa"/>
            <w:vMerge w:val="continue"/>
            <w:shd w:val="clear" w:color="auto" w:fill="auto"/>
            <w:vAlign w:val="center"/>
          </w:tcPr>
          <w:p w14:paraId="5F0F50D7">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c>
          <w:tcPr>
            <w:tcW w:w="1640" w:type="dxa"/>
            <w:vMerge w:val="continue"/>
            <w:shd w:val="clear" w:color="auto" w:fill="auto"/>
            <w:vAlign w:val="center"/>
          </w:tcPr>
          <w:p w14:paraId="3E2ECBF9">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r>
      <w:tr w14:paraId="032F3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5" w:hRule="exact"/>
        </w:trPr>
        <w:tc>
          <w:tcPr>
            <w:tcW w:w="724" w:type="dxa"/>
            <w:shd w:val="clear" w:color="auto" w:fill="auto"/>
            <w:vAlign w:val="center"/>
          </w:tcPr>
          <w:p w14:paraId="728FB2DF">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7</w:t>
            </w:r>
          </w:p>
        </w:tc>
        <w:tc>
          <w:tcPr>
            <w:tcW w:w="1467" w:type="dxa"/>
            <w:shd w:val="clear" w:color="auto" w:fill="auto"/>
            <w:vAlign w:val="center"/>
          </w:tcPr>
          <w:p w14:paraId="204D4FB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C-11</w:t>
            </w:r>
          </w:p>
        </w:tc>
        <w:tc>
          <w:tcPr>
            <w:tcW w:w="2438" w:type="dxa"/>
            <w:shd w:val="clear" w:color="auto" w:fill="auto"/>
            <w:vAlign w:val="center"/>
          </w:tcPr>
          <w:p w14:paraId="2720F588">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液态，低毒，半衰期20.39min</w:t>
            </w:r>
          </w:p>
        </w:tc>
        <w:tc>
          <w:tcPr>
            <w:tcW w:w="641" w:type="dxa"/>
            <w:shd w:val="clear" w:color="auto" w:fill="auto"/>
            <w:vAlign w:val="center"/>
          </w:tcPr>
          <w:p w14:paraId="13DBC74C">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571530F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7.40E+09</w:t>
            </w:r>
          </w:p>
        </w:tc>
        <w:tc>
          <w:tcPr>
            <w:tcW w:w="1363" w:type="dxa"/>
            <w:shd w:val="clear" w:color="auto" w:fill="auto"/>
            <w:vAlign w:val="center"/>
          </w:tcPr>
          <w:p w14:paraId="3BC67FF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7.40E+06</w:t>
            </w:r>
          </w:p>
        </w:tc>
        <w:tc>
          <w:tcPr>
            <w:tcW w:w="997" w:type="dxa"/>
            <w:shd w:val="clear" w:color="auto" w:fill="auto"/>
            <w:vAlign w:val="center"/>
          </w:tcPr>
          <w:p w14:paraId="7DC1764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1.85E+12</w:t>
            </w:r>
          </w:p>
        </w:tc>
        <w:tc>
          <w:tcPr>
            <w:tcW w:w="1175" w:type="dxa"/>
            <w:vMerge w:val="continue"/>
            <w:shd w:val="clear" w:color="auto" w:fill="auto"/>
            <w:vAlign w:val="center"/>
          </w:tcPr>
          <w:p w14:paraId="2E59153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233" w:type="dxa"/>
            <w:shd w:val="clear" w:color="auto" w:fill="auto"/>
            <w:vAlign w:val="center"/>
          </w:tcPr>
          <w:p w14:paraId="3869B51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color w:val="auto"/>
                <w:kern w:val="0"/>
                <w:sz w:val="15"/>
                <w:szCs w:val="15"/>
                <w:highlight w:val="none"/>
                <w:lang w:val="en-US" w:eastAsia="zh-CN"/>
              </w:rPr>
              <w:t>很简单操作</w:t>
            </w:r>
          </w:p>
        </w:tc>
        <w:tc>
          <w:tcPr>
            <w:tcW w:w="1577" w:type="dxa"/>
            <w:vMerge w:val="continue"/>
            <w:shd w:val="clear" w:color="auto" w:fill="auto"/>
            <w:vAlign w:val="center"/>
          </w:tcPr>
          <w:p w14:paraId="53F4CE99">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c>
          <w:tcPr>
            <w:tcW w:w="1640" w:type="dxa"/>
            <w:vMerge w:val="continue"/>
            <w:shd w:val="clear" w:color="auto" w:fill="auto"/>
            <w:vAlign w:val="center"/>
          </w:tcPr>
          <w:p w14:paraId="26D3ABF2">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r>
      <w:tr w14:paraId="744CEF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exact"/>
        </w:trPr>
        <w:tc>
          <w:tcPr>
            <w:tcW w:w="724" w:type="dxa"/>
            <w:shd w:val="clear" w:color="auto" w:fill="auto"/>
            <w:vAlign w:val="center"/>
          </w:tcPr>
          <w:p w14:paraId="58E75C20">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8</w:t>
            </w:r>
          </w:p>
        </w:tc>
        <w:tc>
          <w:tcPr>
            <w:tcW w:w="1467" w:type="dxa"/>
            <w:shd w:val="clear" w:color="auto" w:fill="auto"/>
            <w:vAlign w:val="center"/>
          </w:tcPr>
          <w:p w14:paraId="07044B7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N-13</w:t>
            </w:r>
          </w:p>
        </w:tc>
        <w:tc>
          <w:tcPr>
            <w:tcW w:w="2438" w:type="dxa"/>
            <w:shd w:val="clear" w:color="auto" w:fill="auto"/>
            <w:vAlign w:val="center"/>
          </w:tcPr>
          <w:p w14:paraId="5941431E">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液态，低毒，半衰期10.0min</w:t>
            </w:r>
          </w:p>
        </w:tc>
        <w:tc>
          <w:tcPr>
            <w:tcW w:w="641" w:type="dxa"/>
            <w:shd w:val="clear" w:color="auto" w:fill="auto"/>
            <w:vAlign w:val="center"/>
          </w:tcPr>
          <w:p w14:paraId="2AECC254">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520898E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7.40E+09</w:t>
            </w:r>
          </w:p>
        </w:tc>
        <w:tc>
          <w:tcPr>
            <w:tcW w:w="1363" w:type="dxa"/>
            <w:shd w:val="clear" w:color="auto" w:fill="auto"/>
            <w:vAlign w:val="center"/>
          </w:tcPr>
          <w:p w14:paraId="394E87F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7.40E+06</w:t>
            </w:r>
          </w:p>
        </w:tc>
        <w:tc>
          <w:tcPr>
            <w:tcW w:w="997" w:type="dxa"/>
            <w:shd w:val="clear" w:color="auto" w:fill="auto"/>
            <w:vAlign w:val="center"/>
          </w:tcPr>
          <w:p w14:paraId="3117DCC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1.85E+12</w:t>
            </w:r>
          </w:p>
        </w:tc>
        <w:tc>
          <w:tcPr>
            <w:tcW w:w="1175" w:type="dxa"/>
            <w:vMerge w:val="continue"/>
            <w:shd w:val="clear" w:color="auto" w:fill="auto"/>
            <w:vAlign w:val="center"/>
          </w:tcPr>
          <w:p w14:paraId="4763673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233" w:type="dxa"/>
            <w:shd w:val="clear" w:color="auto" w:fill="auto"/>
            <w:vAlign w:val="center"/>
          </w:tcPr>
          <w:p w14:paraId="511F4C4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color w:val="auto"/>
                <w:kern w:val="0"/>
                <w:sz w:val="15"/>
                <w:szCs w:val="15"/>
                <w:highlight w:val="none"/>
                <w:lang w:val="en-US" w:eastAsia="zh-CN"/>
              </w:rPr>
              <w:t>很简单操作</w:t>
            </w:r>
          </w:p>
        </w:tc>
        <w:tc>
          <w:tcPr>
            <w:tcW w:w="1577" w:type="dxa"/>
            <w:vMerge w:val="continue"/>
            <w:shd w:val="clear" w:color="auto" w:fill="auto"/>
            <w:vAlign w:val="center"/>
          </w:tcPr>
          <w:p w14:paraId="532D8981">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c>
          <w:tcPr>
            <w:tcW w:w="1640" w:type="dxa"/>
            <w:vMerge w:val="continue"/>
            <w:shd w:val="clear" w:color="auto" w:fill="auto"/>
            <w:vAlign w:val="center"/>
          </w:tcPr>
          <w:p w14:paraId="7D22A865">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r>
      <w:tr w14:paraId="432F6C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exact"/>
        </w:trPr>
        <w:tc>
          <w:tcPr>
            <w:tcW w:w="724" w:type="dxa"/>
            <w:shd w:val="clear" w:color="auto" w:fill="auto"/>
            <w:vAlign w:val="center"/>
          </w:tcPr>
          <w:p w14:paraId="66B9E35F">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9</w:t>
            </w:r>
          </w:p>
        </w:tc>
        <w:tc>
          <w:tcPr>
            <w:tcW w:w="1467" w:type="dxa"/>
            <w:shd w:val="clear" w:color="auto" w:fill="auto"/>
            <w:vAlign w:val="center"/>
          </w:tcPr>
          <w:p w14:paraId="7BD44FD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Mo-99(Tc-99m)</w:t>
            </w:r>
          </w:p>
        </w:tc>
        <w:tc>
          <w:tcPr>
            <w:tcW w:w="2438" w:type="dxa"/>
            <w:shd w:val="clear" w:color="auto" w:fill="auto"/>
            <w:vAlign w:val="center"/>
          </w:tcPr>
          <w:p w14:paraId="0F992019">
            <w:pPr>
              <w:keepNext w:val="0"/>
              <w:keepLines w:val="0"/>
              <w:widowControl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15"/>
                <w:szCs w:val="15"/>
                <w:highlight w:val="none"/>
                <w:lang w:val="en-US" w:eastAsia="zh-CN" w:bidi="ar-SA"/>
              </w:rPr>
            </w:pPr>
            <w:r>
              <w:rPr>
                <w:rFonts w:hint="default" w:ascii="Times New Roman" w:hAnsi="Times New Roman" w:eastAsia="宋体" w:cs="Times New Roman"/>
                <w:color w:val="auto"/>
                <w:kern w:val="2"/>
                <w:sz w:val="15"/>
                <w:szCs w:val="15"/>
                <w:highlight w:val="none"/>
                <w:lang w:val="en-US" w:eastAsia="zh-CN" w:bidi="ar-SA"/>
              </w:rPr>
              <w:t>液态，中毒，半衰期</w:t>
            </w:r>
            <w:r>
              <w:rPr>
                <w:rFonts w:hint="default" w:ascii="Times New Roman" w:hAnsi="Times New Roman" w:cs="Times New Roman"/>
                <w:color w:val="auto"/>
                <w:kern w:val="2"/>
                <w:sz w:val="15"/>
                <w:szCs w:val="15"/>
                <w:highlight w:val="none"/>
                <w:lang w:val="en-US" w:eastAsia="zh-CN" w:bidi="ar-SA"/>
              </w:rPr>
              <w:t>6</w:t>
            </w:r>
            <w:r>
              <w:rPr>
                <w:rFonts w:hint="default" w:ascii="Times New Roman" w:hAnsi="Times New Roman" w:eastAsia="宋体" w:cs="Times New Roman"/>
                <w:color w:val="auto"/>
                <w:kern w:val="2"/>
                <w:sz w:val="15"/>
                <w:szCs w:val="15"/>
                <w:highlight w:val="none"/>
                <w:lang w:val="en-US" w:eastAsia="zh-CN" w:bidi="ar-SA"/>
              </w:rPr>
              <w:t>7h</w:t>
            </w:r>
          </w:p>
        </w:tc>
        <w:tc>
          <w:tcPr>
            <w:tcW w:w="641" w:type="dxa"/>
            <w:shd w:val="clear" w:color="auto" w:fill="auto"/>
            <w:vAlign w:val="center"/>
          </w:tcPr>
          <w:p w14:paraId="7CBEEFC5">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cs="Times New Roman"/>
                <w:b w:val="0"/>
                <w:bCs w:val="0"/>
                <w:i w:val="0"/>
                <w:iCs w:val="0"/>
                <w:color w:val="auto"/>
                <w:kern w:val="0"/>
                <w:sz w:val="15"/>
                <w:szCs w:val="15"/>
                <w:highlight w:val="none"/>
                <w:u w:val="none"/>
                <w:lang w:val="en-US" w:eastAsia="zh-CN" w:bidi="ar"/>
              </w:rPr>
              <w:t>生产</w:t>
            </w:r>
          </w:p>
        </w:tc>
        <w:tc>
          <w:tcPr>
            <w:tcW w:w="1328" w:type="dxa"/>
            <w:shd w:val="clear" w:color="auto" w:fill="auto"/>
            <w:vAlign w:val="center"/>
          </w:tcPr>
          <w:p w14:paraId="7D719AF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7.40E+10</w:t>
            </w:r>
          </w:p>
        </w:tc>
        <w:tc>
          <w:tcPr>
            <w:tcW w:w="1363" w:type="dxa"/>
            <w:shd w:val="clear" w:color="auto" w:fill="auto"/>
            <w:vAlign w:val="center"/>
          </w:tcPr>
          <w:p w14:paraId="49F5A34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7.40E+08</w:t>
            </w:r>
          </w:p>
        </w:tc>
        <w:tc>
          <w:tcPr>
            <w:tcW w:w="997" w:type="dxa"/>
            <w:shd w:val="clear" w:color="auto" w:fill="auto"/>
            <w:vAlign w:val="center"/>
          </w:tcPr>
          <w:p w14:paraId="7BBC07D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eastAsia" w:ascii="Times New Roman" w:hAnsi="Times New Roman" w:eastAsia="宋体" w:cs="Times New Roman"/>
                <w:color w:val="auto"/>
                <w:kern w:val="0"/>
                <w:sz w:val="15"/>
                <w:szCs w:val="15"/>
                <w:highlight w:val="none"/>
                <w:lang w:val="en-US" w:eastAsia="zh-CN"/>
              </w:rPr>
              <w:t>1.85E+13</w:t>
            </w:r>
          </w:p>
        </w:tc>
        <w:tc>
          <w:tcPr>
            <w:tcW w:w="1175" w:type="dxa"/>
            <w:vMerge w:val="restart"/>
            <w:shd w:val="clear" w:color="auto" w:fill="auto"/>
            <w:vAlign w:val="center"/>
          </w:tcPr>
          <w:p w14:paraId="6F70B5A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生产放药</w:t>
            </w:r>
          </w:p>
        </w:tc>
        <w:tc>
          <w:tcPr>
            <w:tcW w:w="1233" w:type="dxa"/>
            <w:shd w:val="clear" w:color="auto" w:fill="auto"/>
            <w:vAlign w:val="center"/>
          </w:tcPr>
          <w:p w14:paraId="71A2BEF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源的贮存</w:t>
            </w:r>
          </w:p>
        </w:tc>
        <w:tc>
          <w:tcPr>
            <w:tcW w:w="1577" w:type="dxa"/>
            <w:vMerge w:val="restart"/>
            <w:shd w:val="clear" w:color="auto" w:fill="auto"/>
            <w:vAlign w:val="center"/>
          </w:tcPr>
          <w:p w14:paraId="0BD35DF1">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b w:val="0"/>
                <w:bCs w:val="0"/>
                <w:i w:val="0"/>
                <w:iCs w:val="0"/>
                <w:color w:val="auto"/>
                <w:sz w:val="15"/>
                <w:szCs w:val="15"/>
                <w:highlight w:val="none"/>
                <w:u w:val="none"/>
                <w:lang w:val="en-US" w:eastAsia="zh-CN" w:bidi="ar-SA"/>
              </w:rPr>
              <w:t>北院区核医学楼负一层单光子药物生产车间</w:t>
            </w:r>
          </w:p>
        </w:tc>
        <w:tc>
          <w:tcPr>
            <w:tcW w:w="1640" w:type="dxa"/>
            <w:vMerge w:val="restart"/>
            <w:shd w:val="clear" w:color="auto" w:fill="auto"/>
            <w:vAlign w:val="center"/>
          </w:tcPr>
          <w:p w14:paraId="62074720">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b w:val="0"/>
                <w:bCs w:val="0"/>
                <w:i w:val="0"/>
                <w:iCs w:val="0"/>
                <w:color w:val="auto"/>
                <w:sz w:val="15"/>
                <w:szCs w:val="15"/>
                <w:highlight w:val="none"/>
                <w:u w:val="none"/>
                <w:lang w:val="en-US" w:eastAsia="zh-CN" w:bidi="ar-SA"/>
              </w:rPr>
              <w:t>完成生产后转移至核医学楼一层SPECT诊断区储源室</w:t>
            </w:r>
            <w:r>
              <w:rPr>
                <w:rFonts w:hint="default" w:ascii="Times New Roman" w:hAnsi="Times New Roman" w:cs="Times New Roman"/>
                <w:b w:val="0"/>
                <w:bCs w:val="0"/>
                <w:i w:val="0"/>
                <w:iCs w:val="0"/>
                <w:color w:val="auto"/>
                <w:sz w:val="15"/>
                <w:szCs w:val="15"/>
                <w:highlight w:val="none"/>
                <w:u w:val="none"/>
                <w:lang w:val="en-US" w:eastAsia="zh-CN" w:bidi="ar-SA"/>
              </w:rPr>
              <w:t>。</w:t>
            </w:r>
          </w:p>
        </w:tc>
      </w:tr>
      <w:tr w14:paraId="17B52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exact"/>
        </w:trPr>
        <w:tc>
          <w:tcPr>
            <w:tcW w:w="724" w:type="dxa"/>
            <w:shd w:val="clear" w:color="auto" w:fill="auto"/>
            <w:vAlign w:val="center"/>
          </w:tcPr>
          <w:p w14:paraId="4928197D">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10</w:t>
            </w:r>
          </w:p>
        </w:tc>
        <w:tc>
          <w:tcPr>
            <w:tcW w:w="1467" w:type="dxa"/>
            <w:shd w:val="clear" w:color="auto" w:fill="auto"/>
            <w:vAlign w:val="center"/>
          </w:tcPr>
          <w:p w14:paraId="162E0A2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Tc-99m</w:t>
            </w:r>
          </w:p>
        </w:tc>
        <w:tc>
          <w:tcPr>
            <w:tcW w:w="2438" w:type="dxa"/>
            <w:shd w:val="clear" w:color="auto" w:fill="auto"/>
            <w:vAlign w:val="center"/>
          </w:tcPr>
          <w:p w14:paraId="141161CF">
            <w:pPr>
              <w:keepNext w:val="0"/>
              <w:keepLines w:val="0"/>
              <w:widowControl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15"/>
                <w:szCs w:val="15"/>
                <w:highlight w:val="none"/>
                <w:lang w:val="en-US" w:eastAsia="zh-CN" w:bidi="ar-SA"/>
              </w:rPr>
            </w:pPr>
            <w:r>
              <w:rPr>
                <w:rFonts w:hint="default" w:ascii="Times New Roman" w:hAnsi="Times New Roman" w:eastAsia="宋体" w:cs="Times New Roman"/>
                <w:color w:val="auto"/>
                <w:kern w:val="2"/>
                <w:sz w:val="15"/>
                <w:szCs w:val="15"/>
                <w:highlight w:val="none"/>
                <w:lang w:val="en-US" w:eastAsia="zh-CN" w:bidi="ar-SA"/>
              </w:rPr>
              <w:t>液态，低毒，半衰期</w:t>
            </w:r>
            <w:r>
              <w:rPr>
                <w:rFonts w:hint="default" w:ascii="Times New Roman" w:hAnsi="Times New Roman" w:cs="Times New Roman"/>
                <w:color w:val="auto"/>
                <w:kern w:val="2"/>
                <w:sz w:val="15"/>
                <w:szCs w:val="15"/>
                <w:highlight w:val="none"/>
                <w:lang w:val="en-US" w:eastAsia="zh-CN" w:bidi="ar-SA"/>
              </w:rPr>
              <w:t>6</w:t>
            </w:r>
            <w:r>
              <w:rPr>
                <w:rFonts w:hint="default" w:ascii="Times New Roman" w:hAnsi="Times New Roman" w:eastAsia="宋体" w:cs="Times New Roman"/>
                <w:color w:val="auto"/>
                <w:kern w:val="2"/>
                <w:sz w:val="15"/>
                <w:szCs w:val="15"/>
                <w:highlight w:val="none"/>
                <w:lang w:val="en-US" w:eastAsia="zh-CN" w:bidi="ar-SA"/>
              </w:rPr>
              <w:t>.02</w:t>
            </w:r>
            <w:r>
              <w:rPr>
                <w:rFonts w:hint="eastAsia" w:cs="Times New Roman"/>
                <w:color w:val="auto"/>
                <w:kern w:val="2"/>
                <w:sz w:val="15"/>
                <w:szCs w:val="15"/>
                <w:highlight w:val="none"/>
                <w:lang w:val="en-US" w:eastAsia="zh-CN" w:bidi="ar-SA"/>
              </w:rPr>
              <w:t>h</w:t>
            </w:r>
          </w:p>
        </w:tc>
        <w:tc>
          <w:tcPr>
            <w:tcW w:w="641" w:type="dxa"/>
            <w:shd w:val="clear" w:color="auto" w:fill="auto"/>
            <w:vAlign w:val="center"/>
          </w:tcPr>
          <w:p w14:paraId="16DA6DAB">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cs="Times New Roman"/>
                <w:b w:val="0"/>
                <w:bCs w:val="0"/>
                <w:i w:val="0"/>
                <w:iCs w:val="0"/>
                <w:color w:val="auto"/>
                <w:kern w:val="0"/>
                <w:sz w:val="15"/>
                <w:szCs w:val="15"/>
                <w:highlight w:val="none"/>
                <w:u w:val="none"/>
                <w:lang w:val="en-US" w:eastAsia="zh-CN" w:bidi="ar"/>
              </w:rPr>
              <w:t>生产</w:t>
            </w:r>
          </w:p>
        </w:tc>
        <w:tc>
          <w:tcPr>
            <w:tcW w:w="1328" w:type="dxa"/>
            <w:shd w:val="clear" w:color="auto" w:fill="auto"/>
            <w:vAlign w:val="center"/>
          </w:tcPr>
          <w:p w14:paraId="23DDC56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8.22E+10</w:t>
            </w:r>
          </w:p>
        </w:tc>
        <w:tc>
          <w:tcPr>
            <w:tcW w:w="1363" w:type="dxa"/>
            <w:shd w:val="clear" w:color="auto" w:fill="auto"/>
            <w:vAlign w:val="center"/>
          </w:tcPr>
          <w:p w14:paraId="727A49D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8.22E+07</w:t>
            </w:r>
          </w:p>
        </w:tc>
        <w:tc>
          <w:tcPr>
            <w:tcW w:w="997" w:type="dxa"/>
            <w:shd w:val="clear" w:color="auto" w:fill="auto"/>
            <w:vAlign w:val="center"/>
          </w:tcPr>
          <w:p w14:paraId="41DC3D9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eastAsia" w:ascii="Times New Roman" w:hAnsi="Times New Roman" w:eastAsia="宋体" w:cs="Times New Roman"/>
                <w:color w:val="auto"/>
                <w:kern w:val="0"/>
                <w:sz w:val="15"/>
                <w:szCs w:val="15"/>
                <w:highlight w:val="none"/>
                <w:lang w:val="en-US" w:eastAsia="zh-CN"/>
              </w:rPr>
              <w:t>2.06E+13</w:t>
            </w:r>
          </w:p>
        </w:tc>
        <w:tc>
          <w:tcPr>
            <w:tcW w:w="1175" w:type="dxa"/>
            <w:vMerge w:val="continue"/>
            <w:shd w:val="clear" w:color="auto" w:fill="auto"/>
            <w:vAlign w:val="center"/>
          </w:tcPr>
          <w:p w14:paraId="0726D72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233" w:type="dxa"/>
            <w:shd w:val="clear" w:color="auto" w:fill="auto"/>
            <w:vAlign w:val="center"/>
          </w:tcPr>
          <w:p w14:paraId="6B9ADE3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简单操作</w:t>
            </w:r>
          </w:p>
        </w:tc>
        <w:tc>
          <w:tcPr>
            <w:tcW w:w="1577" w:type="dxa"/>
            <w:vMerge w:val="continue"/>
            <w:shd w:val="clear" w:color="auto" w:fill="auto"/>
            <w:vAlign w:val="center"/>
          </w:tcPr>
          <w:p w14:paraId="622F3F09">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c>
          <w:tcPr>
            <w:tcW w:w="1640" w:type="dxa"/>
            <w:vMerge w:val="continue"/>
            <w:shd w:val="clear" w:color="auto" w:fill="auto"/>
            <w:vAlign w:val="center"/>
          </w:tcPr>
          <w:p w14:paraId="21A77B8D">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r>
      <w:tr w14:paraId="4767A6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6" w:hRule="exact"/>
        </w:trPr>
        <w:tc>
          <w:tcPr>
            <w:tcW w:w="724" w:type="dxa"/>
            <w:shd w:val="clear" w:color="auto" w:fill="auto"/>
            <w:vAlign w:val="center"/>
          </w:tcPr>
          <w:p w14:paraId="08809752">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11</w:t>
            </w:r>
          </w:p>
        </w:tc>
        <w:tc>
          <w:tcPr>
            <w:tcW w:w="1467" w:type="dxa"/>
            <w:shd w:val="clear" w:color="auto" w:fill="auto"/>
            <w:vAlign w:val="center"/>
          </w:tcPr>
          <w:p w14:paraId="2462153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cs="Times New Roman"/>
                <w:color w:val="auto"/>
                <w:kern w:val="0"/>
                <w:sz w:val="15"/>
                <w:szCs w:val="15"/>
                <w:highlight w:val="none"/>
                <w:lang w:val="en-US" w:eastAsia="zh-CN"/>
              </w:rPr>
              <w:t>Y-90</w:t>
            </w:r>
          </w:p>
        </w:tc>
        <w:tc>
          <w:tcPr>
            <w:tcW w:w="2438" w:type="dxa"/>
            <w:shd w:val="clear" w:color="auto" w:fill="auto"/>
            <w:vAlign w:val="center"/>
          </w:tcPr>
          <w:p w14:paraId="440B9EED">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悬浮液，中毒，半衰期 64.2h</w:t>
            </w:r>
          </w:p>
        </w:tc>
        <w:tc>
          <w:tcPr>
            <w:tcW w:w="641" w:type="dxa"/>
            <w:shd w:val="clear" w:color="auto" w:fill="auto"/>
            <w:vAlign w:val="center"/>
          </w:tcPr>
          <w:p w14:paraId="5230F5C0">
            <w:pPr>
              <w:keepNext w:val="0"/>
              <w:keepLines w:val="0"/>
              <w:widowControl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15"/>
                <w:szCs w:val="15"/>
                <w:highlight w:val="none"/>
                <w:lang w:val="en-US" w:eastAsia="zh-CN" w:bidi="ar-SA"/>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1CE6D9C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eastAsia" w:cs="Times New Roman"/>
                <w:color w:val="auto"/>
                <w:kern w:val="0"/>
                <w:sz w:val="15"/>
                <w:szCs w:val="15"/>
                <w:highlight w:val="none"/>
                <w:lang w:val="en-US" w:eastAsia="zh-CN"/>
              </w:rPr>
              <w:t>3.00</w:t>
            </w:r>
            <w:r>
              <w:rPr>
                <w:rFonts w:hint="default" w:ascii="Times New Roman" w:hAnsi="Times New Roman" w:eastAsia="宋体" w:cs="Times New Roman"/>
                <w:color w:val="auto"/>
                <w:kern w:val="0"/>
                <w:sz w:val="15"/>
                <w:szCs w:val="15"/>
                <w:highlight w:val="none"/>
                <w:lang w:val="en-US" w:eastAsia="zh-CN"/>
              </w:rPr>
              <w:t>E+09</w:t>
            </w:r>
          </w:p>
        </w:tc>
        <w:tc>
          <w:tcPr>
            <w:tcW w:w="1363" w:type="dxa"/>
            <w:shd w:val="clear" w:color="auto" w:fill="auto"/>
            <w:vAlign w:val="center"/>
          </w:tcPr>
          <w:p w14:paraId="35C19FF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3.00E+07</w:t>
            </w:r>
          </w:p>
        </w:tc>
        <w:tc>
          <w:tcPr>
            <w:tcW w:w="997" w:type="dxa"/>
            <w:shd w:val="clear" w:color="auto" w:fill="auto"/>
            <w:vAlign w:val="center"/>
          </w:tcPr>
          <w:p w14:paraId="37A2A06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eastAsia" w:ascii="Times New Roman" w:hAnsi="Times New Roman" w:eastAsia="宋体" w:cs="Times New Roman"/>
                <w:i w:val="0"/>
                <w:iCs w:val="0"/>
                <w:color w:val="auto"/>
                <w:sz w:val="15"/>
                <w:szCs w:val="15"/>
                <w:highlight w:val="none"/>
                <w:u w:val="none"/>
                <w:lang w:val="en-US" w:eastAsia="zh-CN" w:bidi="ar-SA"/>
              </w:rPr>
            </w:pPr>
            <w:r>
              <w:rPr>
                <w:rFonts w:hint="default" w:ascii="Times New Roman" w:hAnsi="Times New Roman" w:eastAsia="宋体" w:cs="Times New Roman"/>
                <w:color w:val="auto"/>
                <w:kern w:val="0"/>
                <w:sz w:val="15"/>
                <w:szCs w:val="15"/>
                <w:highlight w:val="none"/>
                <w:lang w:val="en-US" w:eastAsia="zh-CN"/>
              </w:rPr>
              <w:t>9.00E+10</w:t>
            </w:r>
          </w:p>
        </w:tc>
        <w:tc>
          <w:tcPr>
            <w:tcW w:w="1175" w:type="dxa"/>
            <w:shd w:val="clear" w:color="auto" w:fill="auto"/>
            <w:vAlign w:val="center"/>
          </w:tcPr>
          <w:p w14:paraId="7347115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eastAsia" w:cs="Times New Roman"/>
                <w:color w:val="auto"/>
                <w:kern w:val="0"/>
                <w:sz w:val="15"/>
                <w:szCs w:val="15"/>
                <w:highlight w:val="none"/>
                <w:lang w:val="en-US" w:eastAsia="zh-CN"/>
              </w:rPr>
              <w:t>放药分装测活</w:t>
            </w:r>
          </w:p>
        </w:tc>
        <w:tc>
          <w:tcPr>
            <w:tcW w:w="1233" w:type="dxa"/>
            <w:shd w:val="clear" w:color="auto" w:fill="auto"/>
            <w:vAlign w:val="center"/>
          </w:tcPr>
          <w:p w14:paraId="4A11E80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很简单操作</w:t>
            </w:r>
          </w:p>
        </w:tc>
        <w:tc>
          <w:tcPr>
            <w:tcW w:w="1577" w:type="dxa"/>
            <w:vMerge w:val="continue"/>
            <w:shd w:val="clear" w:color="auto" w:fill="auto"/>
            <w:vAlign w:val="center"/>
          </w:tcPr>
          <w:p w14:paraId="6143A2F0">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c>
          <w:tcPr>
            <w:tcW w:w="1640" w:type="dxa"/>
            <w:shd w:val="clear" w:color="auto" w:fill="auto"/>
            <w:vAlign w:val="center"/>
          </w:tcPr>
          <w:p w14:paraId="18AA8412">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eastAsia" w:cs="Times New Roman"/>
                <w:b w:val="0"/>
                <w:bCs w:val="0"/>
                <w:i w:val="0"/>
                <w:iCs w:val="0"/>
                <w:color w:val="auto"/>
                <w:sz w:val="15"/>
                <w:szCs w:val="15"/>
                <w:highlight w:val="none"/>
                <w:u w:val="none"/>
                <w:lang w:val="en-US" w:eastAsia="zh-CN" w:bidi="ar-SA"/>
              </w:rPr>
              <w:t>分装完成用运输铅罐转移至介入2室，按需生产不长期储存</w:t>
            </w:r>
          </w:p>
        </w:tc>
      </w:tr>
      <w:tr w14:paraId="06BAD3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exact"/>
        </w:trPr>
        <w:tc>
          <w:tcPr>
            <w:tcW w:w="724" w:type="dxa"/>
            <w:shd w:val="clear" w:color="auto" w:fill="auto"/>
            <w:vAlign w:val="center"/>
          </w:tcPr>
          <w:p w14:paraId="05536AC4">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12</w:t>
            </w:r>
          </w:p>
        </w:tc>
        <w:tc>
          <w:tcPr>
            <w:tcW w:w="1467" w:type="dxa"/>
            <w:shd w:val="clear" w:color="auto" w:fill="auto"/>
            <w:vAlign w:val="center"/>
          </w:tcPr>
          <w:p w14:paraId="05711CB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Tc-99m</w:t>
            </w:r>
          </w:p>
        </w:tc>
        <w:tc>
          <w:tcPr>
            <w:tcW w:w="2438" w:type="dxa"/>
            <w:shd w:val="clear" w:color="auto" w:fill="auto"/>
            <w:vAlign w:val="center"/>
          </w:tcPr>
          <w:p w14:paraId="5CE5028E">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液态，低毒，半衰期6.02</w:t>
            </w:r>
            <w:r>
              <w:rPr>
                <w:rFonts w:hint="eastAsia" w:cs="Times New Roman"/>
                <w:b w:val="0"/>
                <w:bCs w:val="0"/>
                <w:i w:val="0"/>
                <w:iCs w:val="0"/>
                <w:color w:val="auto"/>
                <w:kern w:val="0"/>
                <w:sz w:val="15"/>
                <w:szCs w:val="15"/>
                <w:highlight w:val="none"/>
                <w:u w:val="none"/>
                <w:lang w:val="en-US" w:eastAsia="zh-CN" w:bidi="ar"/>
              </w:rPr>
              <w:t>h</w:t>
            </w:r>
          </w:p>
        </w:tc>
        <w:tc>
          <w:tcPr>
            <w:tcW w:w="641" w:type="dxa"/>
            <w:shd w:val="clear" w:color="auto" w:fill="auto"/>
            <w:vAlign w:val="center"/>
          </w:tcPr>
          <w:p w14:paraId="0CD1C962">
            <w:pPr>
              <w:keepNext w:val="0"/>
              <w:keepLines w:val="0"/>
              <w:widowControl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15"/>
                <w:szCs w:val="15"/>
                <w:highlight w:val="none"/>
                <w:lang w:val="en-US" w:eastAsia="zh-CN" w:bidi="ar-SA"/>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1D3802F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7.40E+10</w:t>
            </w:r>
          </w:p>
        </w:tc>
        <w:tc>
          <w:tcPr>
            <w:tcW w:w="1363" w:type="dxa"/>
            <w:shd w:val="clear" w:color="auto" w:fill="auto"/>
            <w:vAlign w:val="center"/>
          </w:tcPr>
          <w:p w14:paraId="231CC8F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7.40E+07</w:t>
            </w:r>
          </w:p>
        </w:tc>
        <w:tc>
          <w:tcPr>
            <w:tcW w:w="997" w:type="dxa"/>
            <w:shd w:val="clear" w:color="auto" w:fill="auto"/>
            <w:vAlign w:val="center"/>
          </w:tcPr>
          <w:p w14:paraId="15920D5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eastAsia" w:ascii="Times New Roman" w:hAnsi="Times New Roman" w:eastAsia="宋体" w:cs="Times New Roman"/>
                <w:color w:val="auto"/>
                <w:kern w:val="0"/>
                <w:sz w:val="15"/>
                <w:szCs w:val="15"/>
                <w:highlight w:val="none"/>
                <w:lang w:val="en-US" w:eastAsia="zh-CN"/>
              </w:rPr>
              <w:t>1.85E+13</w:t>
            </w:r>
          </w:p>
        </w:tc>
        <w:tc>
          <w:tcPr>
            <w:tcW w:w="1175" w:type="dxa"/>
            <w:vMerge w:val="restart"/>
            <w:shd w:val="clear" w:color="auto" w:fill="auto"/>
            <w:vAlign w:val="center"/>
          </w:tcPr>
          <w:p w14:paraId="007EB7B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SPECT诊断</w:t>
            </w:r>
          </w:p>
        </w:tc>
        <w:tc>
          <w:tcPr>
            <w:tcW w:w="1233" w:type="dxa"/>
            <w:shd w:val="clear" w:color="auto" w:fill="auto"/>
            <w:vAlign w:val="center"/>
          </w:tcPr>
          <w:p w14:paraId="7C4658D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很简单操作</w:t>
            </w:r>
          </w:p>
        </w:tc>
        <w:tc>
          <w:tcPr>
            <w:tcW w:w="1577" w:type="dxa"/>
            <w:vMerge w:val="restart"/>
            <w:shd w:val="clear" w:color="auto" w:fill="auto"/>
            <w:vAlign w:val="center"/>
          </w:tcPr>
          <w:p w14:paraId="3B8548A2">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color w:val="auto"/>
                <w:kern w:val="0"/>
                <w:sz w:val="15"/>
                <w:szCs w:val="15"/>
                <w:highlight w:val="none"/>
                <w:lang w:val="en-US" w:eastAsia="zh-CN"/>
              </w:rPr>
              <w:t>北院区核医学楼一层SPECT诊断区</w:t>
            </w:r>
          </w:p>
        </w:tc>
        <w:tc>
          <w:tcPr>
            <w:tcW w:w="1640" w:type="dxa"/>
            <w:vMerge w:val="restart"/>
            <w:shd w:val="clear" w:color="auto" w:fill="auto"/>
            <w:vAlign w:val="center"/>
          </w:tcPr>
          <w:p w14:paraId="6B0B1D37">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r>
              <w:rPr>
                <w:rFonts w:hint="default" w:ascii="Times New Roman" w:hAnsi="Times New Roman" w:eastAsia="宋体" w:cs="Times New Roman"/>
                <w:b w:val="0"/>
                <w:bCs w:val="0"/>
                <w:i w:val="0"/>
                <w:iCs w:val="0"/>
                <w:color w:val="auto"/>
                <w:sz w:val="15"/>
                <w:szCs w:val="15"/>
                <w:highlight w:val="none"/>
                <w:u w:val="none"/>
                <w:lang w:val="en-US" w:eastAsia="zh-CN" w:bidi="ar-SA"/>
              </w:rPr>
              <w:t>储存在核医学楼一层SPECT诊断区储源室，按需生产不长期储存</w:t>
            </w:r>
            <w:r>
              <w:rPr>
                <w:rFonts w:hint="default" w:ascii="Times New Roman" w:hAnsi="Times New Roman" w:cs="Times New Roman"/>
                <w:b w:val="0"/>
                <w:bCs w:val="0"/>
                <w:i w:val="0"/>
                <w:iCs w:val="0"/>
                <w:color w:val="auto"/>
                <w:sz w:val="15"/>
                <w:szCs w:val="15"/>
                <w:highlight w:val="none"/>
                <w:u w:val="none"/>
                <w:lang w:val="en-US" w:eastAsia="zh-CN" w:bidi="ar-SA"/>
              </w:rPr>
              <w:t>。</w:t>
            </w:r>
          </w:p>
        </w:tc>
      </w:tr>
      <w:tr w14:paraId="5FFA67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4" w:hRule="exact"/>
        </w:trPr>
        <w:tc>
          <w:tcPr>
            <w:tcW w:w="724" w:type="dxa"/>
            <w:shd w:val="clear" w:color="auto" w:fill="auto"/>
            <w:vAlign w:val="center"/>
          </w:tcPr>
          <w:p w14:paraId="7866F452">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13</w:t>
            </w:r>
          </w:p>
        </w:tc>
        <w:tc>
          <w:tcPr>
            <w:tcW w:w="1467" w:type="dxa"/>
            <w:shd w:val="clear" w:color="auto" w:fill="auto"/>
            <w:vAlign w:val="center"/>
          </w:tcPr>
          <w:p w14:paraId="03A7BCE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vertAlign w:val="baseline"/>
                <w:lang w:val="en-US" w:eastAsia="zh-CN"/>
              </w:rPr>
              <w:t>I-131</w:t>
            </w:r>
          </w:p>
        </w:tc>
        <w:tc>
          <w:tcPr>
            <w:tcW w:w="2438" w:type="dxa"/>
            <w:shd w:val="clear" w:color="auto" w:fill="auto"/>
            <w:vAlign w:val="center"/>
          </w:tcPr>
          <w:p w14:paraId="302F98C5">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液态，中毒，半衰期8.02d</w:t>
            </w:r>
          </w:p>
        </w:tc>
        <w:tc>
          <w:tcPr>
            <w:tcW w:w="641" w:type="dxa"/>
            <w:shd w:val="clear" w:color="auto" w:fill="auto"/>
            <w:vAlign w:val="center"/>
          </w:tcPr>
          <w:p w14:paraId="7E677843">
            <w:pPr>
              <w:keepNext w:val="0"/>
              <w:keepLines w:val="0"/>
              <w:widowControl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15"/>
                <w:szCs w:val="15"/>
                <w:highlight w:val="none"/>
                <w:lang w:val="en-US" w:eastAsia="zh-CN" w:bidi="ar-SA"/>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7A93FBF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1.11E+10</w:t>
            </w:r>
          </w:p>
        </w:tc>
        <w:tc>
          <w:tcPr>
            <w:tcW w:w="1363" w:type="dxa"/>
            <w:shd w:val="clear" w:color="auto" w:fill="auto"/>
            <w:vAlign w:val="center"/>
          </w:tcPr>
          <w:p w14:paraId="79B7D9F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1.11E+09</w:t>
            </w:r>
          </w:p>
        </w:tc>
        <w:tc>
          <w:tcPr>
            <w:tcW w:w="997" w:type="dxa"/>
            <w:shd w:val="clear" w:color="auto" w:fill="auto"/>
            <w:vAlign w:val="center"/>
          </w:tcPr>
          <w:p w14:paraId="32DC6F1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eastAsia" w:ascii="Times New Roman" w:hAnsi="Times New Roman" w:eastAsia="宋体" w:cs="Times New Roman"/>
                <w:color w:val="auto"/>
                <w:kern w:val="0"/>
                <w:sz w:val="15"/>
                <w:szCs w:val="15"/>
                <w:highlight w:val="none"/>
                <w:lang w:val="en-US" w:eastAsia="zh-CN"/>
              </w:rPr>
              <w:t>2.78E+12</w:t>
            </w:r>
          </w:p>
        </w:tc>
        <w:tc>
          <w:tcPr>
            <w:tcW w:w="1175" w:type="dxa"/>
            <w:vMerge w:val="continue"/>
            <w:shd w:val="clear" w:color="auto" w:fill="auto"/>
            <w:vAlign w:val="center"/>
          </w:tcPr>
          <w:p w14:paraId="3CAD11B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233" w:type="dxa"/>
            <w:shd w:val="clear" w:color="auto" w:fill="auto"/>
            <w:vAlign w:val="center"/>
          </w:tcPr>
          <w:p w14:paraId="0000A3A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简单操作</w:t>
            </w:r>
          </w:p>
        </w:tc>
        <w:tc>
          <w:tcPr>
            <w:tcW w:w="1577" w:type="dxa"/>
            <w:vMerge w:val="continue"/>
            <w:shd w:val="clear" w:color="auto" w:fill="auto"/>
            <w:vAlign w:val="center"/>
          </w:tcPr>
          <w:p w14:paraId="365D0F36">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c>
          <w:tcPr>
            <w:tcW w:w="1640" w:type="dxa"/>
            <w:vMerge w:val="continue"/>
            <w:shd w:val="clear" w:color="auto" w:fill="auto"/>
            <w:vAlign w:val="center"/>
          </w:tcPr>
          <w:p w14:paraId="60791ECB">
            <w:pPr>
              <w:keepNext w:val="0"/>
              <w:keepLines w:val="0"/>
              <w:widowControl/>
              <w:suppressLineNumbers w:val="0"/>
              <w:autoSpaceDE w:val="0"/>
              <w:autoSpaceDN w:val="0"/>
              <w:spacing w:before="0" w:beforeAutospacing="0" w:after="0" w:afterAutospacing="0"/>
              <w:ind w:left="0" w:right="0"/>
              <w:jc w:val="center"/>
              <w:textAlignment w:val="center"/>
              <w:rPr>
                <w:rFonts w:hint="default" w:ascii="Times New Roman" w:hAnsi="Times New Roman" w:eastAsia="宋体" w:cs="Times New Roman"/>
                <w:b w:val="0"/>
                <w:bCs w:val="0"/>
                <w:i w:val="0"/>
                <w:iCs w:val="0"/>
                <w:color w:val="auto"/>
                <w:sz w:val="15"/>
                <w:szCs w:val="15"/>
                <w:highlight w:val="none"/>
                <w:u w:val="none"/>
                <w:lang w:val="en-US" w:eastAsia="zh-CN" w:bidi="ar-SA"/>
              </w:rPr>
            </w:pPr>
          </w:p>
        </w:tc>
      </w:tr>
      <w:tr w14:paraId="5824D6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4" w:hRule="exact"/>
        </w:trPr>
        <w:tc>
          <w:tcPr>
            <w:tcW w:w="724" w:type="dxa"/>
            <w:shd w:val="clear" w:color="auto" w:fill="auto"/>
            <w:vAlign w:val="center"/>
          </w:tcPr>
          <w:p w14:paraId="06C841EF">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14</w:t>
            </w:r>
          </w:p>
        </w:tc>
        <w:tc>
          <w:tcPr>
            <w:tcW w:w="1467" w:type="dxa"/>
            <w:shd w:val="clear" w:color="auto" w:fill="auto"/>
            <w:vAlign w:val="center"/>
          </w:tcPr>
          <w:p w14:paraId="19A88C5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vertAlign w:val="baseline"/>
                <w:lang w:val="en-US" w:eastAsia="zh-CN"/>
              </w:rPr>
              <w:t>I-131</w:t>
            </w:r>
          </w:p>
        </w:tc>
        <w:tc>
          <w:tcPr>
            <w:tcW w:w="2438" w:type="dxa"/>
            <w:shd w:val="clear" w:color="auto" w:fill="auto"/>
            <w:vAlign w:val="center"/>
          </w:tcPr>
          <w:p w14:paraId="2E1D81A4">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液态，中毒，半衰期8.02d</w:t>
            </w:r>
          </w:p>
        </w:tc>
        <w:tc>
          <w:tcPr>
            <w:tcW w:w="641" w:type="dxa"/>
            <w:shd w:val="clear" w:color="auto" w:fill="auto"/>
            <w:vAlign w:val="center"/>
          </w:tcPr>
          <w:p w14:paraId="7BF75685">
            <w:pPr>
              <w:keepNext w:val="0"/>
              <w:keepLines w:val="0"/>
              <w:widowControl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15"/>
                <w:szCs w:val="15"/>
                <w:highlight w:val="none"/>
                <w:lang w:val="en-US" w:eastAsia="zh-CN" w:bidi="ar-SA"/>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550655F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1.11E+10</w:t>
            </w:r>
          </w:p>
        </w:tc>
        <w:tc>
          <w:tcPr>
            <w:tcW w:w="1363" w:type="dxa"/>
            <w:shd w:val="clear" w:color="auto" w:fill="auto"/>
            <w:vAlign w:val="center"/>
          </w:tcPr>
          <w:p w14:paraId="70C42B7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1.11E+09</w:t>
            </w:r>
          </w:p>
        </w:tc>
        <w:tc>
          <w:tcPr>
            <w:tcW w:w="997" w:type="dxa"/>
            <w:shd w:val="clear" w:color="auto" w:fill="auto"/>
            <w:vAlign w:val="center"/>
          </w:tcPr>
          <w:p w14:paraId="74C4E7D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5"/>
                <w:szCs w:val="15"/>
                <w:highlight w:val="none"/>
                <w:u w:val="none"/>
                <w:lang w:val="en-US" w:eastAsia="zh-CN" w:bidi="ar-SA"/>
              </w:rPr>
            </w:pPr>
            <w:r>
              <w:rPr>
                <w:rFonts w:hint="default" w:ascii="Times New Roman" w:hAnsi="Times New Roman" w:eastAsia="宋体" w:cs="Times New Roman"/>
                <w:i w:val="0"/>
                <w:iCs w:val="0"/>
                <w:color w:val="auto"/>
                <w:kern w:val="0"/>
                <w:sz w:val="15"/>
                <w:szCs w:val="15"/>
                <w:highlight w:val="none"/>
                <w:u w:val="none"/>
                <w:lang w:val="en-US" w:eastAsia="zh-CN" w:bidi="ar"/>
              </w:rPr>
              <w:t>2.78E+12</w:t>
            </w:r>
          </w:p>
        </w:tc>
        <w:tc>
          <w:tcPr>
            <w:tcW w:w="1175" w:type="dxa"/>
            <w:shd w:val="clear" w:color="auto" w:fill="auto"/>
            <w:vAlign w:val="center"/>
          </w:tcPr>
          <w:p w14:paraId="37C560C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放药分装</w:t>
            </w:r>
            <w:r>
              <w:rPr>
                <w:rFonts w:hint="default" w:ascii="Times New Roman" w:hAnsi="Times New Roman" w:cs="Times New Roman"/>
                <w:color w:val="auto"/>
                <w:kern w:val="0"/>
                <w:sz w:val="15"/>
                <w:szCs w:val="15"/>
                <w:highlight w:val="none"/>
                <w:lang w:val="en-US" w:eastAsia="zh-CN"/>
              </w:rPr>
              <w:t>测活</w:t>
            </w:r>
          </w:p>
        </w:tc>
        <w:tc>
          <w:tcPr>
            <w:tcW w:w="1233" w:type="dxa"/>
            <w:shd w:val="clear" w:color="auto" w:fill="auto"/>
            <w:vAlign w:val="center"/>
          </w:tcPr>
          <w:p w14:paraId="76B888A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简单操作</w:t>
            </w:r>
          </w:p>
        </w:tc>
        <w:tc>
          <w:tcPr>
            <w:tcW w:w="1577" w:type="dxa"/>
            <w:vMerge w:val="restart"/>
            <w:shd w:val="clear" w:color="auto" w:fill="auto"/>
            <w:vAlign w:val="center"/>
          </w:tcPr>
          <w:p w14:paraId="5411E0E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北院区核医学楼</w:t>
            </w:r>
            <w:r>
              <w:rPr>
                <w:rFonts w:hint="default" w:ascii="Times New Roman" w:hAnsi="Times New Roman" w:cs="Times New Roman"/>
                <w:color w:val="auto"/>
                <w:kern w:val="0"/>
                <w:sz w:val="15"/>
                <w:szCs w:val="15"/>
                <w:highlight w:val="none"/>
                <w:lang w:val="en-US" w:eastAsia="zh-CN"/>
              </w:rPr>
              <w:t>三</w:t>
            </w:r>
            <w:r>
              <w:rPr>
                <w:rFonts w:hint="default" w:ascii="Times New Roman" w:hAnsi="Times New Roman" w:eastAsia="宋体" w:cs="Times New Roman"/>
                <w:color w:val="auto"/>
                <w:kern w:val="0"/>
                <w:sz w:val="15"/>
                <w:szCs w:val="15"/>
                <w:highlight w:val="none"/>
                <w:lang w:val="en-US" w:eastAsia="zh-CN"/>
              </w:rPr>
              <w:t>层</w:t>
            </w:r>
            <w:r>
              <w:rPr>
                <w:rFonts w:hint="default" w:ascii="Times New Roman" w:hAnsi="Times New Roman" w:cs="Times New Roman"/>
                <w:color w:val="auto"/>
                <w:kern w:val="0"/>
                <w:sz w:val="15"/>
                <w:szCs w:val="15"/>
                <w:highlight w:val="none"/>
                <w:lang w:val="en-US" w:eastAsia="zh-CN"/>
              </w:rPr>
              <w:t>核素治疗区</w:t>
            </w:r>
          </w:p>
        </w:tc>
        <w:tc>
          <w:tcPr>
            <w:tcW w:w="1640" w:type="dxa"/>
            <w:shd w:val="clear" w:color="auto" w:fill="auto"/>
            <w:vAlign w:val="center"/>
          </w:tcPr>
          <w:p w14:paraId="01213DF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vertAlign w:val="baseline"/>
                <w:lang w:val="en-US" w:eastAsia="zh-CN"/>
              </w:rPr>
              <w:t>I-131</w:t>
            </w:r>
            <w:r>
              <w:rPr>
                <w:rFonts w:hint="default" w:ascii="Times New Roman" w:hAnsi="Times New Roman" w:cs="Times New Roman"/>
                <w:color w:val="auto"/>
                <w:kern w:val="0"/>
                <w:sz w:val="15"/>
                <w:szCs w:val="15"/>
                <w:highlight w:val="none"/>
                <w:lang w:val="en-US" w:eastAsia="zh-CN"/>
              </w:rPr>
              <w:t>液体在三楼分碘室内完成分药，暂存于储源室。</w:t>
            </w:r>
          </w:p>
        </w:tc>
      </w:tr>
      <w:tr w14:paraId="7E5F8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exact"/>
        </w:trPr>
        <w:tc>
          <w:tcPr>
            <w:tcW w:w="724" w:type="dxa"/>
            <w:shd w:val="clear" w:color="auto" w:fill="auto"/>
            <w:vAlign w:val="center"/>
          </w:tcPr>
          <w:p w14:paraId="5D53AF67">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15</w:t>
            </w:r>
          </w:p>
        </w:tc>
        <w:tc>
          <w:tcPr>
            <w:tcW w:w="1467" w:type="dxa"/>
            <w:shd w:val="clear" w:color="auto" w:fill="auto"/>
            <w:vAlign w:val="center"/>
          </w:tcPr>
          <w:p w14:paraId="1F2B9C5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vertAlign w:val="baseline"/>
                <w:lang w:val="en-US" w:eastAsia="zh-CN"/>
              </w:rPr>
              <w:t>I-131</w:t>
            </w:r>
            <w:r>
              <w:rPr>
                <w:rFonts w:hint="default" w:ascii="Times New Roman" w:hAnsi="Times New Roman" w:cs="Times New Roman"/>
                <w:color w:val="auto"/>
                <w:kern w:val="0"/>
                <w:sz w:val="15"/>
                <w:szCs w:val="15"/>
                <w:highlight w:val="none"/>
                <w:lang w:val="en-US" w:eastAsia="zh-CN"/>
              </w:rPr>
              <w:t>（胶囊）</w:t>
            </w:r>
          </w:p>
        </w:tc>
        <w:tc>
          <w:tcPr>
            <w:tcW w:w="2438" w:type="dxa"/>
            <w:shd w:val="clear" w:color="auto" w:fill="auto"/>
            <w:vAlign w:val="center"/>
          </w:tcPr>
          <w:p w14:paraId="256ACC2F">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cs="Times New Roman"/>
                <w:b w:val="0"/>
                <w:bCs w:val="0"/>
                <w:i w:val="0"/>
                <w:iCs w:val="0"/>
                <w:color w:val="auto"/>
                <w:kern w:val="0"/>
                <w:sz w:val="15"/>
                <w:szCs w:val="15"/>
                <w:highlight w:val="none"/>
                <w:u w:val="none"/>
                <w:lang w:val="en-US" w:eastAsia="zh-CN" w:bidi="ar"/>
              </w:rPr>
              <w:t>固</w:t>
            </w:r>
            <w:r>
              <w:rPr>
                <w:rFonts w:hint="default" w:ascii="Times New Roman" w:hAnsi="Times New Roman" w:eastAsia="宋体" w:cs="Times New Roman"/>
                <w:b w:val="0"/>
                <w:bCs w:val="0"/>
                <w:i w:val="0"/>
                <w:iCs w:val="0"/>
                <w:color w:val="auto"/>
                <w:kern w:val="0"/>
                <w:sz w:val="15"/>
                <w:szCs w:val="15"/>
                <w:highlight w:val="none"/>
                <w:u w:val="none"/>
                <w:lang w:val="en-US" w:eastAsia="zh-CN" w:bidi="ar"/>
              </w:rPr>
              <w:t>态，中毒，半衰期8.02d</w:t>
            </w:r>
          </w:p>
        </w:tc>
        <w:tc>
          <w:tcPr>
            <w:tcW w:w="641" w:type="dxa"/>
            <w:shd w:val="clear" w:color="auto" w:fill="auto"/>
            <w:vAlign w:val="center"/>
          </w:tcPr>
          <w:p w14:paraId="19639845">
            <w:pPr>
              <w:keepNext w:val="0"/>
              <w:keepLines w:val="0"/>
              <w:widowControl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15"/>
                <w:szCs w:val="15"/>
                <w:highlight w:val="none"/>
                <w:lang w:val="en-US" w:eastAsia="zh-CN" w:bidi="ar-SA"/>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16ECA3D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9.44E+10</w:t>
            </w:r>
          </w:p>
        </w:tc>
        <w:tc>
          <w:tcPr>
            <w:tcW w:w="1363" w:type="dxa"/>
            <w:shd w:val="clear" w:color="auto" w:fill="auto"/>
            <w:vAlign w:val="center"/>
          </w:tcPr>
          <w:p w14:paraId="4D9358E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9.44E+08</w:t>
            </w:r>
          </w:p>
        </w:tc>
        <w:tc>
          <w:tcPr>
            <w:tcW w:w="997" w:type="dxa"/>
            <w:shd w:val="clear" w:color="auto" w:fill="auto"/>
            <w:vAlign w:val="center"/>
          </w:tcPr>
          <w:p w14:paraId="7BBA1DF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2.36E+13</w:t>
            </w:r>
          </w:p>
        </w:tc>
        <w:tc>
          <w:tcPr>
            <w:tcW w:w="1175" w:type="dxa"/>
            <w:vMerge w:val="restart"/>
            <w:shd w:val="clear" w:color="auto" w:fill="auto"/>
            <w:vAlign w:val="center"/>
          </w:tcPr>
          <w:p w14:paraId="5F4A741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cs="Times New Roman"/>
                <w:color w:val="auto"/>
                <w:kern w:val="0"/>
                <w:sz w:val="15"/>
                <w:szCs w:val="15"/>
                <w:highlight w:val="none"/>
                <w:lang w:val="en-US" w:eastAsia="zh-CN"/>
              </w:rPr>
              <w:t>核素治疗</w:t>
            </w:r>
          </w:p>
        </w:tc>
        <w:tc>
          <w:tcPr>
            <w:tcW w:w="1233" w:type="dxa"/>
            <w:shd w:val="clear" w:color="auto" w:fill="auto"/>
            <w:vAlign w:val="center"/>
          </w:tcPr>
          <w:p w14:paraId="69D2717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简单操作</w:t>
            </w:r>
          </w:p>
        </w:tc>
        <w:tc>
          <w:tcPr>
            <w:tcW w:w="1577" w:type="dxa"/>
            <w:vMerge w:val="continue"/>
            <w:shd w:val="clear" w:color="auto" w:fill="auto"/>
            <w:vAlign w:val="center"/>
          </w:tcPr>
          <w:p w14:paraId="2F8B9BA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640" w:type="dxa"/>
            <w:vMerge w:val="restart"/>
            <w:shd w:val="clear" w:color="auto" w:fill="auto"/>
            <w:vAlign w:val="center"/>
          </w:tcPr>
          <w:p w14:paraId="4BE9B2A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vertAlign w:val="baseline"/>
                <w:lang w:val="en-US" w:eastAsia="zh-CN"/>
              </w:rPr>
              <w:t>I-131</w:t>
            </w:r>
            <w:r>
              <w:rPr>
                <w:rFonts w:hint="default" w:ascii="Times New Roman" w:hAnsi="Times New Roman" w:eastAsia="宋体" w:cs="Times New Roman"/>
                <w:color w:val="auto"/>
                <w:kern w:val="0"/>
                <w:sz w:val="15"/>
                <w:szCs w:val="15"/>
                <w:highlight w:val="none"/>
                <w:lang w:val="en-US" w:eastAsia="zh-CN"/>
              </w:rPr>
              <w:t>（胶囊）</w:t>
            </w:r>
            <w:r>
              <w:rPr>
                <w:rFonts w:hint="default" w:ascii="Times New Roman" w:hAnsi="Times New Roman" w:cs="Times New Roman"/>
                <w:color w:val="auto"/>
                <w:kern w:val="0"/>
                <w:sz w:val="15"/>
                <w:szCs w:val="15"/>
                <w:highlight w:val="none"/>
                <w:lang w:val="en-US" w:eastAsia="zh-CN"/>
              </w:rPr>
              <w:t>、</w:t>
            </w:r>
            <w:r>
              <w:rPr>
                <w:rFonts w:hint="default" w:ascii="Times New Roman" w:hAnsi="Times New Roman" w:cs="Times New Roman"/>
                <w:color w:val="auto"/>
                <w:kern w:val="0"/>
                <w:sz w:val="15"/>
                <w:szCs w:val="15"/>
                <w:highlight w:val="none"/>
                <w:vertAlign w:val="baseline"/>
                <w:lang w:val="en-US" w:eastAsia="zh-CN"/>
              </w:rPr>
              <w:t>Lu-177</w:t>
            </w:r>
            <w:r>
              <w:rPr>
                <w:rFonts w:hint="default" w:ascii="Times New Roman" w:hAnsi="Times New Roman" w:cs="Times New Roman"/>
                <w:color w:val="auto"/>
                <w:kern w:val="0"/>
                <w:sz w:val="15"/>
                <w:szCs w:val="15"/>
                <w:highlight w:val="none"/>
                <w:lang w:val="en-US" w:eastAsia="zh-CN"/>
              </w:rPr>
              <w:t>、</w:t>
            </w:r>
            <w:r>
              <w:rPr>
                <w:rFonts w:hint="default" w:ascii="Times New Roman" w:hAnsi="Times New Roman" w:cs="Times New Roman"/>
                <w:color w:val="auto"/>
                <w:kern w:val="0"/>
                <w:sz w:val="15"/>
                <w:szCs w:val="15"/>
                <w:highlight w:val="none"/>
                <w:vertAlign w:val="baseline"/>
                <w:lang w:val="en-US" w:eastAsia="zh-CN"/>
              </w:rPr>
              <w:t>Ra-223</w:t>
            </w:r>
            <w:r>
              <w:rPr>
                <w:rFonts w:hint="default" w:ascii="Times New Roman" w:hAnsi="Times New Roman" w:cs="Times New Roman"/>
                <w:color w:val="auto"/>
                <w:kern w:val="0"/>
                <w:sz w:val="15"/>
                <w:szCs w:val="15"/>
                <w:highlight w:val="none"/>
                <w:lang w:val="en-US" w:eastAsia="zh-CN"/>
              </w:rPr>
              <w:t>、</w:t>
            </w:r>
            <w:r>
              <w:rPr>
                <w:rFonts w:hint="default" w:ascii="Times New Roman" w:hAnsi="Times New Roman" w:cs="Times New Roman"/>
                <w:color w:val="auto"/>
                <w:kern w:val="0"/>
                <w:sz w:val="15"/>
                <w:szCs w:val="15"/>
                <w:highlight w:val="none"/>
                <w:vertAlign w:val="baseline"/>
                <w:lang w:val="en-US" w:eastAsia="zh-CN"/>
              </w:rPr>
              <w:t>Ac-225</w:t>
            </w:r>
            <w:r>
              <w:rPr>
                <w:rFonts w:hint="default" w:ascii="Times New Roman" w:hAnsi="Times New Roman" w:cs="Times New Roman"/>
                <w:color w:val="auto"/>
                <w:kern w:val="0"/>
                <w:sz w:val="15"/>
                <w:szCs w:val="15"/>
                <w:highlight w:val="none"/>
                <w:lang w:val="en-US" w:eastAsia="zh-CN"/>
              </w:rPr>
              <w:t>随买随用，不储存。</w:t>
            </w:r>
          </w:p>
        </w:tc>
      </w:tr>
      <w:tr w14:paraId="72FB25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exact"/>
        </w:trPr>
        <w:tc>
          <w:tcPr>
            <w:tcW w:w="724" w:type="dxa"/>
            <w:shd w:val="clear" w:color="auto" w:fill="auto"/>
            <w:vAlign w:val="center"/>
          </w:tcPr>
          <w:p w14:paraId="278C5980">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16</w:t>
            </w:r>
          </w:p>
        </w:tc>
        <w:tc>
          <w:tcPr>
            <w:tcW w:w="1467" w:type="dxa"/>
            <w:shd w:val="clear" w:color="auto" w:fill="auto"/>
            <w:vAlign w:val="center"/>
          </w:tcPr>
          <w:p w14:paraId="18FBDDF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vertAlign w:val="baseline"/>
                <w:lang w:val="en-US" w:eastAsia="zh-CN"/>
              </w:rPr>
              <w:t>Lu-177</w:t>
            </w:r>
          </w:p>
        </w:tc>
        <w:tc>
          <w:tcPr>
            <w:tcW w:w="2438" w:type="dxa"/>
            <w:shd w:val="clear" w:color="auto" w:fill="auto"/>
            <w:vAlign w:val="center"/>
          </w:tcPr>
          <w:p w14:paraId="7CFFFA42">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液态，中毒，半衰期 6.71d</w:t>
            </w:r>
          </w:p>
        </w:tc>
        <w:tc>
          <w:tcPr>
            <w:tcW w:w="641" w:type="dxa"/>
            <w:shd w:val="clear" w:color="auto" w:fill="auto"/>
            <w:vAlign w:val="center"/>
          </w:tcPr>
          <w:p w14:paraId="399A2245">
            <w:pPr>
              <w:keepNext w:val="0"/>
              <w:keepLines w:val="0"/>
              <w:widowControl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15"/>
                <w:szCs w:val="15"/>
                <w:highlight w:val="none"/>
                <w:lang w:val="en-US" w:eastAsia="zh-CN" w:bidi="ar-SA"/>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15E1BCB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1.11E+10</w:t>
            </w:r>
          </w:p>
        </w:tc>
        <w:tc>
          <w:tcPr>
            <w:tcW w:w="1363" w:type="dxa"/>
            <w:shd w:val="clear" w:color="auto" w:fill="auto"/>
            <w:vAlign w:val="center"/>
          </w:tcPr>
          <w:p w14:paraId="36D49D3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1.11E+09</w:t>
            </w:r>
          </w:p>
        </w:tc>
        <w:tc>
          <w:tcPr>
            <w:tcW w:w="997" w:type="dxa"/>
            <w:shd w:val="clear" w:color="auto" w:fill="auto"/>
            <w:vAlign w:val="center"/>
          </w:tcPr>
          <w:p w14:paraId="5B0238B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2.78E+12</w:t>
            </w:r>
          </w:p>
        </w:tc>
        <w:tc>
          <w:tcPr>
            <w:tcW w:w="1175" w:type="dxa"/>
            <w:vMerge w:val="continue"/>
            <w:shd w:val="clear" w:color="auto" w:fill="auto"/>
            <w:vAlign w:val="center"/>
          </w:tcPr>
          <w:p w14:paraId="3F570C5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p>
        </w:tc>
        <w:tc>
          <w:tcPr>
            <w:tcW w:w="1233" w:type="dxa"/>
            <w:shd w:val="clear" w:color="auto" w:fill="auto"/>
            <w:vAlign w:val="center"/>
          </w:tcPr>
          <w:p w14:paraId="197174E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简单操作</w:t>
            </w:r>
          </w:p>
        </w:tc>
        <w:tc>
          <w:tcPr>
            <w:tcW w:w="1577" w:type="dxa"/>
            <w:vMerge w:val="continue"/>
            <w:shd w:val="clear" w:color="auto" w:fill="auto"/>
            <w:vAlign w:val="center"/>
          </w:tcPr>
          <w:p w14:paraId="5C89ABD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640" w:type="dxa"/>
            <w:vMerge w:val="continue"/>
            <w:shd w:val="clear" w:color="auto" w:fill="auto"/>
            <w:vAlign w:val="center"/>
          </w:tcPr>
          <w:p w14:paraId="3EF6EA3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r>
      <w:tr w14:paraId="37FC2E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exact"/>
        </w:trPr>
        <w:tc>
          <w:tcPr>
            <w:tcW w:w="724" w:type="dxa"/>
            <w:shd w:val="clear" w:color="auto" w:fill="auto"/>
            <w:vAlign w:val="center"/>
          </w:tcPr>
          <w:p w14:paraId="656E3EC4">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default" w:ascii="Times New Roman" w:hAnsi="Times New Roman" w:cs="Times New Roman"/>
                <w:b w:val="0"/>
                <w:bCs w:val="0"/>
                <w:color w:val="auto"/>
                <w:sz w:val="15"/>
                <w:szCs w:val="15"/>
                <w:highlight w:val="none"/>
                <w:lang w:val="en-US" w:eastAsia="zh-CN" w:bidi="ar-SA"/>
              </w:rPr>
              <w:t>17</w:t>
            </w:r>
          </w:p>
        </w:tc>
        <w:tc>
          <w:tcPr>
            <w:tcW w:w="1467" w:type="dxa"/>
            <w:shd w:val="clear" w:color="auto" w:fill="auto"/>
            <w:vAlign w:val="center"/>
          </w:tcPr>
          <w:p w14:paraId="5A6ECFF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vertAlign w:val="baseline"/>
                <w:lang w:val="en-US" w:eastAsia="zh-CN"/>
              </w:rPr>
              <w:t>Ra-223</w:t>
            </w:r>
          </w:p>
        </w:tc>
        <w:tc>
          <w:tcPr>
            <w:tcW w:w="2438" w:type="dxa"/>
            <w:shd w:val="clear" w:color="auto" w:fill="auto"/>
            <w:vAlign w:val="center"/>
          </w:tcPr>
          <w:p w14:paraId="1D5C9C4B">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液态，极毒，半衰期 11.4d</w:t>
            </w:r>
          </w:p>
        </w:tc>
        <w:tc>
          <w:tcPr>
            <w:tcW w:w="641" w:type="dxa"/>
            <w:shd w:val="clear" w:color="auto" w:fill="auto"/>
            <w:vAlign w:val="center"/>
          </w:tcPr>
          <w:p w14:paraId="34E24629">
            <w:pPr>
              <w:keepNext w:val="0"/>
              <w:keepLines w:val="0"/>
              <w:widowControl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15"/>
                <w:szCs w:val="15"/>
                <w:highlight w:val="none"/>
                <w:lang w:val="en-US" w:eastAsia="zh-CN" w:bidi="ar-SA"/>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6ED5CA4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5.50E+06</w:t>
            </w:r>
          </w:p>
        </w:tc>
        <w:tc>
          <w:tcPr>
            <w:tcW w:w="1363" w:type="dxa"/>
            <w:shd w:val="clear" w:color="auto" w:fill="auto"/>
            <w:vAlign w:val="center"/>
          </w:tcPr>
          <w:p w14:paraId="0BC6FC2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5.50E+07</w:t>
            </w:r>
          </w:p>
        </w:tc>
        <w:tc>
          <w:tcPr>
            <w:tcW w:w="997" w:type="dxa"/>
            <w:shd w:val="clear" w:color="auto" w:fill="auto"/>
            <w:vAlign w:val="center"/>
          </w:tcPr>
          <w:p w14:paraId="32C18F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5"/>
                <w:szCs w:val="15"/>
                <w:highlight w:val="none"/>
                <w:u w:val="none"/>
                <w:lang w:val="en-US" w:eastAsia="zh-CN" w:bidi="ar-SA"/>
              </w:rPr>
            </w:pPr>
            <w:r>
              <w:rPr>
                <w:rFonts w:hint="default" w:ascii="Times New Roman" w:hAnsi="Times New Roman" w:eastAsia="宋体" w:cs="Times New Roman"/>
                <w:i w:val="0"/>
                <w:iCs w:val="0"/>
                <w:color w:val="auto"/>
                <w:kern w:val="0"/>
                <w:sz w:val="15"/>
                <w:szCs w:val="15"/>
                <w:highlight w:val="none"/>
                <w:u w:val="none"/>
                <w:lang w:val="en-US" w:eastAsia="zh-CN" w:bidi="ar"/>
              </w:rPr>
              <w:t>1.65E+08</w:t>
            </w:r>
          </w:p>
        </w:tc>
        <w:tc>
          <w:tcPr>
            <w:tcW w:w="1175" w:type="dxa"/>
            <w:vMerge w:val="continue"/>
            <w:shd w:val="clear" w:color="auto" w:fill="auto"/>
            <w:vAlign w:val="center"/>
          </w:tcPr>
          <w:p w14:paraId="19E3DB5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233" w:type="dxa"/>
            <w:shd w:val="clear" w:color="auto" w:fill="auto"/>
            <w:vAlign w:val="center"/>
          </w:tcPr>
          <w:p w14:paraId="0BB68D1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简单操作</w:t>
            </w:r>
          </w:p>
        </w:tc>
        <w:tc>
          <w:tcPr>
            <w:tcW w:w="1577" w:type="dxa"/>
            <w:vMerge w:val="continue"/>
            <w:shd w:val="clear" w:color="auto" w:fill="auto"/>
            <w:vAlign w:val="center"/>
          </w:tcPr>
          <w:p w14:paraId="505E10B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640" w:type="dxa"/>
            <w:vMerge w:val="continue"/>
            <w:shd w:val="clear" w:color="auto" w:fill="auto"/>
            <w:vAlign w:val="center"/>
          </w:tcPr>
          <w:p w14:paraId="0E4F04B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r>
      <w:tr w14:paraId="145EC4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5" w:hRule="exact"/>
        </w:trPr>
        <w:tc>
          <w:tcPr>
            <w:tcW w:w="724" w:type="dxa"/>
            <w:shd w:val="clear" w:color="auto" w:fill="auto"/>
            <w:vAlign w:val="center"/>
          </w:tcPr>
          <w:p w14:paraId="57AEDC0F">
            <w:pPr>
              <w:keepNext w:val="0"/>
              <w:keepLines w:val="0"/>
              <w:suppressLineNumbers w:val="0"/>
              <w:autoSpaceDE w:val="0"/>
              <w:autoSpaceDN w:val="0"/>
              <w:bidi w:val="0"/>
              <w:spacing w:before="0" w:beforeAutospacing="0" w:after="0" w:afterAutospacing="0"/>
              <w:ind w:left="0" w:leftChars="0" w:right="0" w:rightChars="0"/>
              <w:jc w:val="center"/>
              <w:rPr>
                <w:rFonts w:hint="default" w:ascii="Times New Roman" w:hAnsi="Times New Roman" w:eastAsia="宋体" w:cs="Times New Roman"/>
                <w:b w:val="0"/>
                <w:bCs w:val="0"/>
                <w:color w:val="auto"/>
                <w:sz w:val="15"/>
                <w:szCs w:val="15"/>
                <w:highlight w:val="none"/>
                <w:lang w:val="en-US" w:eastAsia="zh-CN" w:bidi="ar-SA"/>
              </w:rPr>
            </w:pPr>
            <w:r>
              <w:rPr>
                <w:rFonts w:hint="eastAsia" w:cs="Times New Roman"/>
                <w:b w:val="0"/>
                <w:bCs w:val="0"/>
                <w:color w:val="auto"/>
                <w:sz w:val="15"/>
                <w:szCs w:val="15"/>
                <w:highlight w:val="none"/>
                <w:lang w:val="en-US" w:eastAsia="zh-CN" w:bidi="ar-SA"/>
              </w:rPr>
              <w:t>18</w:t>
            </w:r>
          </w:p>
        </w:tc>
        <w:tc>
          <w:tcPr>
            <w:tcW w:w="1467" w:type="dxa"/>
            <w:shd w:val="clear" w:color="auto" w:fill="auto"/>
            <w:vAlign w:val="center"/>
          </w:tcPr>
          <w:p w14:paraId="68FFE91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vertAlign w:val="baseline"/>
                <w:lang w:val="en-US" w:eastAsia="zh-CN"/>
              </w:rPr>
              <w:t>Ac-225</w:t>
            </w:r>
          </w:p>
        </w:tc>
        <w:tc>
          <w:tcPr>
            <w:tcW w:w="2438" w:type="dxa"/>
            <w:shd w:val="clear" w:color="auto" w:fill="auto"/>
            <w:vAlign w:val="center"/>
          </w:tcPr>
          <w:p w14:paraId="3FFE3137">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 xml:space="preserve">液态，极毒，半衰期 </w:t>
            </w:r>
            <w:r>
              <w:rPr>
                <w:rFonts w:hint="default" w:ascii="Times New Roman" w:hAnsi="Times New Roman" w:cs="Times New Roman"/>
                <w:b w:val="0"/>
                <w:bCs w:val="0"/>
                <w:i w:val="0"/>
                <w:iCs w:val="0"/>
                <w:color w:val="auto"/>
                <w:kern w:val="0"/>
                <w:sz w:val="15"/>
                <w:szCs w:val="15"/>
                <w:highlight w:val="none"/>
                <w:u w:val="none"/>
                <w:lang w:val="en-US" w:eastAsia="zh-CN" w:bidi="ar"/>
              </w:rPr>
              <w:t>10.0</w:t>
            </w:r>
            <w:r>
              <w:rPr>
                <w:rFonts w:hint="default" w:ascii="Times New Roman" w:hAnsi="Times New Roman" w:eastAsia="宋体" w:cs="Times New Roman"/>
                <w:b w:val="0"/>
                <w:bCs w:val="0"/>
                <w:i w:val="0"/>
                <w:iCs w:val="0"/>
                <w:color w:val="auto"/>
                <w:kern w:val="0"/>
                <w:sz w:val="15"/>
                <w:szCs w:val="15"/>
                <w:highlight w:val="none"/>
                <w:u w:val="none"/>
                <w:lang w:val="en-US" w:eastAsia="zh-CN" w:bidi="ar"/>
              </w:rPr>
              <w:t>d</w:t>
            </w:r>
          </w:p>
        </w:tc>
        <w:tc>
          <w:tcPr>
            <w:tcW w:w="641" w:type="dxa"/>
            <w:shd w:val="clear" w:color="auto" w:fill="auto"/>
            <w:vAlign w:val="center"/>
          </w:tcPr>
          <w:p w14:paraId="46CFFBC1">
            <w:pPr>
              <w:keepNext w:val="0"/>
              <w:keepLines w:val="0"/>
              <w:widowControl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15"/>
                <w:szCs w:val="15"/>
                <w:highlight w:val="none"/>
                <w:lang w:val="en-US" w:eastAsia="zh-CN" w:bidi="ar-SA"/>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670DBD3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1.00E+07</w:t>
            </w:r>
          </w:p>
        </w:tc>
        <w:tc>
          <w:tcPr>
            <w:tcW w:w="1363" w:type="dxa"/>
            <w:shd w:val="clear" w:color="auto" w:fill="auto"/>
            <w:vAlign w:val="center"/>
          </w:tcPr>
          <w:p w14:paraId="3A492A5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1.00E+08</w:t>
            </w:r>
          </w:p>
        </w:tc>
        <w:tc>
          <w:tcPr>
            <w:tcW w:w="997" w:type="dxa"/>
            <w:shd w:val="clear" w:color="auto" w:fill="auto"/>
            <w:vAlign w:val="center"/>
          </w:tcPr>
          <w:p w14:paraId="38DE020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5"/>
                <w:szCs w:val="15"/>
                <w:highlight w:val="none"/>
                <w:u w:val="none"/>
                <w:lang w:val="en-US" w:eastAsia="zh-CN" w:bidi="ar-SA"/>
              </w:rPr>
            </w:pPr>
            <w:r>
              <w:rPr>
                <w:rFonts w:hint="default" w:ascii="Times New Roman" w:hAnsi="Times New Roman" w:eastAsia="宋体" w:cs="Times New Roman"/>
                <w:i w:val="0"/>
                <w:iCs w:val="0"/>
                <w:color w:val="auto"/>
                <w:kern w:val="0"/>
                <w:sz w:val="15"/>
                <w:szCs w:val="15"/>
                <w:highlight w:val="none"/>
                <w:u w:val="none"/>
                <w:lang w:val="en-US" w:eastAsia="zh-CN" w:bidi="ar"/>
              </w:rPr>
              <w:t>3.00E+08</w:t>
            </w:r>
          </w:p>
        </w:tc>
        <w:tc>
          <w:tcPr>
            <w:tcW w:w="1175" w:type="dxa"/>
            <w:vMerge w:val="continue"/>
            <w:shd w:val="clear" w:color="auto" w:fill="auto"/>
            <w:vAlign w:val="center"/>
          </w:tcPr>
          <w:p w14:paraId="3B49EA0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233" w:type="dxa"/>
            <w:shd w:val="clear" w:color="auto" w:fill="auto"/>
            <w:vAlign w:val="center"/>
          </w:tcPr>
          <w:p w14:paraId="1FD1CAD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简单操作</w:t>
            </w:r>
          </w:p>
        </w:tc>
        <w:tc>
          <w:tcPr>
            <w:tcW w:w="1577" w:type="dxa"/>
            <w:vMerge w:val="continue"/>
            <w:shd w:val="clear" w:color="auto" w:fill="auto"/>
            <w:vAlign w:val="center"/>
          </w:tcPr>
          <w:p w14:paraId="5A2AA4C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c>
          <w:tcPr>
            <w:tcW w:w="1640" w:type="dxa"/>
            <w:vMerge w:val="continue"/>
            <w:shd w:val="clear" w:color="auto" w:fill="auto"/>
            <w:vAlign w:val="center"/>
          </w:tcPr>
          <w:p w14:paraId="3752B87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r>
      <w:tr w14:paraId="57C8A3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2" w:hRule="exact"/>
        </w:trPr>
        <w:tc>
          <w:tcPr>
            <w:tcW w:w="724" w:type="dxa"/>
            <w:shd w:val="clear" w:color="auto" w:fill="auto"/>
            <w:vAlign w:val="center"/>
          </w:tcPr>
          <w:p w14:paraId="7185DAFE">
            <w:pPr>
              <w:keepNext w:val="0"/>
              <w:keepLines w:val="0"/>
              <w:suppressLineNumbers w:val="0"/>
              <w:autoSpaceDE w:val="0"/>
              <w:autoSpaceDN w:val="0"/>
              <w:bidi w:val="0"/>
              <w:spacing w:before="0" w:beforeAutospacing="0" w:after="0" w:afterAutospacing="0"/>
              <w:ind w:left="0" w:right="0"/>
              <w:jc w:val="center"/>
              <w:rPr>
                <w:rFonts w:hint="default" w:ascii="Times New Roman" w:hAnsi="Times New Roman" w:eastAsia="宋体" w:cs="Times New Roman"/>
                <w:b w:val="0"/>
                <w:bCs w:val="0"/>
                <w:color w:val="auto"/>
                <w:sz w:val="15"/>
                <w:szCs w:val="15"/>
                <w:highlight w:val="none"/>
                <w:lang w:val="en-US" w:eastAsia="zh-CN" w:bidi="ar-SA"/>
              </w:rPr>
            </w:pPr>
            <w:r>
              <w:rPr>
                <w:rFonts w:hint="eastAsia" w:cs="Times New Roman"/>
                <w:b w:val="0"/>
                <w:bCs w:val="0"/>
                <w:color w:val="auto"/>
                <w:sz w:val="15"/>
                <w:szCs w:val="15"/>
                <w:highlight w:val="none"/>
                <w:lang w:val="en-US" w:eastAsia="zh-CN" w:bidi="ar-SA"/>
              </w:rPr>
              <w:t>19</w:t>
            </w:r>
          </w:p>
        </w:tc>
        <w:tc>
          <w:tcPr>
            <w:tcW w:w="1467" w:type="dxa"/>
            <w:shd w:val="clear" w:color="auto" w:fill="auto"/>
            <w:vAlign w:val="center"/>
          </w:tcPr>
          <w:p w14:paraId="2D90F4B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cs="Times New Roman"/>
                <w:color w:val="auto"/>
                <w:kern w:val="0"/>
                <w:sz w:val="15"/>
                <w:szCs w:val="15"/>
                <w:highlight w:val="none"/>
                <w:lang w:val="en-US" w:eastAsia="zh-CN"/>
              </w:rPr>
            </w:pPr>
            <w:r>
              <w:rPr>
                <w:rFonts w:hint="default" w:ascii="Times New Roman" w:hAnsi="Times New Roman" w:cs="Times New Roman"/>
                <w:color w:val="auto"/>
                <w:kern w:val="0"/>
                <w:sz w:val="15"/>
                <w:szCs w:val="15"/>
                <w:highlight w:val="none"/>
                <w:lang w:val="en-US" w:eastAsia="zh-CN"/>
              </w:rPr>
              <w:t>Y-90</w:t>
            </w:r>
          </w:p>
        </w:tc>
        <w:tc>
          <w:tcPr>
            <w:tcW w:w="2438" w:type="dxa"/>
            <w:shd w:val="clear" w:color="auto" w:fill="auto"/>
            <w:vAlign w:val="center"/>
          </w:tcPr>
          <w:p w14:paraId="3A487359">
            <w:pPr>
              <w:keepNext w:val="0"/>
              <w:keepLines w:val="0"/>
              <w:widowControl/>
              <w:suppressLineNumbers w:val="0"/>
              <w:autoSpaceDE w:val="0"/>
              <w:autoSpaceDN w:val="0"/>
              <w:spacing w:before="0" w:beforeAutospacing="0" w:after="0" w:afterAutospacing="0"/>
              <w:ind w:left="0" w:leftChars="0" w:right="0" w:rightChars="0"/>
              <w:jc w:val="center"/>
              <w:textAlignment w:val="center"/>
              <w:rPr>
                <w:rFonts w:hint="default" w:ascii="Times New Roman" w:hAnsi="Times New Roman" w:eastAsia="宋体" w:cs="Times New Roman"/>
                <w:b w:val="0"/>
                <w:bCs w:val="0"/>
                <w:i w:val="0"/>
                <w:iCs w:val="0"/>
                <w:color w:val="auto"/>
                <w:kern w:val="0"/>
                <w:sz w:val="15"/>
                <w:szCs w:val="15"/>
                <w:highlight w:val="none"/>
                <w:u w:val="none"/>
                <w:lang w:val="en-US" w:eastAsia="zh-CN" w:bidi="ar"/>
              </w:rPr>
            </w:pPr>
            <w:r>
              <w:rPr>
                <w:rFonts w:hint="default" w:ascii="Times New Roman" w:hAnsi="Times New Roman" w:eastAsia="宋体" w:cs="Times New Roman"/>
                <w:b w:val="0"/>
                <w:bCs w:val="0"/>
                <w:i w:val="0"/>
                <w:iCs w:val="0"/>
                <w:color w:val="auto"/>
                <w:kern w:val="0"/>
                <w:sz w:val="15"/>
                <w:szCs w:val="15"/>
                <w:highlight w:val="none"/>
                <w:u w:val="none"/>
                <w:lang w:val="en-US" w:eastAsia="zh-CN" w:bidi="ar"/>
              </w:rPr>
              <w:t>悬浮液，中毒，半衰期 64.2h</w:t>
            </w:r>
          </w:p>
        </w:tc>
        <w:tc>
          <w:tcPr>
            <w:tcW w:w="641" w:type="dxa"/>
            <w:shd w:val="clear" w:color="auto" w:fill="auto"/>
            <w:vAlign w:val="center"/>
          </w:tcPr>
          <w:p w14:paraId="3F4F00D9">
            <w:pPr>
              <w:keepNext w:val="0"/>
              <w:keepLines w:val="0"/>
              <w:widowControl w:val="0"/>
              <w:suppressLineNumbers w:val="0"/>
              <w:shd w:val="clear"/>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15"/>
                <w:szCs w:val="15"/>
                <w:highlight w:val="none"/>
                <w:lang w:val="en-US" w:eastAsia="zh-CN" w:bidi="ar-SA"/>
              </w:rPr>
            </w:pPr>
            <w:r>
              <w:rPr>
                <w:rFonts w:hint="default" w:ascii="Times New Roman" w:hAnsi="Times New Roman" w:cs="Times New Roman"/>
                <w:b w:val="0"/>
                <w:bCs w:val="0"/>
                <w:i w:val="0"/>
                <w:iCs w:val="0"/>
                <w:color w:val="auto"/>
                <w:kern w:val="0"/>
                <w:sz w:val="15"/>
                <w:szCs w:val="15"/>
                <w:highlight w:val="none"/>
                <w:u w:val="none"/>
                <w:lang w:val="en-US" w:eastAsia="zh-CN" w:bidi="ar"/>
              </w:rPr>
              <w:t>使用</w:t>
            </w:r>
          </w:p>
        </w:tc>
        <w:tc>
          <w:tcPr>
            <w:tcW w:w="1328" w:type="dxa"/>
            <w:shd w:val="clear" w:color="auto" w:fill="auto"/>
            <w:vAlign w:val="center"/>
          </w:tcPr>
          <w:p w14:paraId="4BC3181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2.50E+09</w:t>
            </w:r>
          </w:p>
        </w:tc>
        <w:tc>
          <w:tcPr>
            <w:tcW w:w="1363" w:type="dxa"/>
            <w:shd w:val="clear" w:color="auto" w:fill="auto"/>
            <w:vAlign w:val="center"/>
          </w:tcPr>
          <w:p w14:paraId="0CE4E10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bidi="ar-SA"/>
              </w:rPr>
            </w:pPr>
            <w:r>
              <w:rPr>
                <w:rFonts w:hint="default" w:ascii="Times New Roman" w:hAnsi="Times New Roman" w:eastAsia="宋体" w:cs="Times New Roman"/>
                <w:color w:val="auto"/>
                <w:kern w:val="0"/>
                <w:sz w:val="15"/>
                <w:szCs w:val="15"/>
                <w:highlight w:val="none"/>
                <w:lang w:val="en-US" w:eastAsia="zh-CN"/>
              </w:rPr>
              <w:t>2.50E+07</w:t>
            </w:r>
          </w:p>
        </w:tc>
        <w:tc>
          <w:tcPr>
            <w:tcW w:w="997" w:type="dxa"/>
            <w:shd w:val="clear" w:color="auto" w:fill="auto"/>
            <w:vAlign w:val="center"/>
          </w:tcPr>
          <w:p w14:paraId="206AD8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5"/>
                <w:szCs w:val="15"/>
                <w:highlight w:val="none"/>
                <w:u w:val="none"/>
                <w:lang w:val="en-US" w:eastAsia="zh-CN" w:bidi="ar-SA"/>
              </w:rPr>
            </w:pPr>
            <w:r>
              <w:rPr>
                <w:rFonts w:hint="default" w:ascii="Times New Roman" w:hAnsi="Times New Roman" w:eastAsia="宋体" w:cs="Times New Roman"/>
                <w:i w:val="0"/>
                <w:iCs w:val="0"/>
                <w:color w:val="auto"/>
                <w:kern w:val="0"/>
                <w:sz w:val="15"/>
                <w:szCs w:val="15"/>
                <w:highlight w:val="none"/>
                <w:u w:val="none"/>
                <w:lang w:val="en-US" w:eastAsia="zh-CN" w:bidi="ar"/>
              </w:rPr>
              <w:t>7.50E+10</w:t>
            </w:r>
          </w:p>
        </w:tc>
        <w:tc>
          <w:tcPr>
            <w:tcW w:w="1175" w:type="dxa"/>
            <w:shd w:val="clear" w:color="auto" w:fill="auto"/>
            <w:vAlign w:val="center"/>
          </w:tcPr>
          <w:p w14:paraId="0610B11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核素治疗</w:t>
            </w:r>
          </w:p>
        </w:tc>
        <w:tc>
          <w:tcPr>
            <w:tcW w:w="1233" w:type="dxa"/>
            <w:shd w:val="clear" w:color="auto" w:fill="auto"/>
            <w:vAlign w:val="center"/>
          </w:tcPr>
          <w:p w14:paraId="34A87C7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很简单操作</w:t>
            </w:r>
          </w:p>
        </w:tc>
        <w:tc>
          <w:tcPr>
            <w:tcW w:w="1577" w:type="dxa"/>
            <w:shd w:val="clear" w:color="auto" w:fill="auto"/>
            <w:vAlign w:val="center"/>
          </w:tcPr>
          <w:p w14:paraId="26DCC08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r>
              <w:rPr>
                <w:rFonts w:hint="default" w:ascii="Times New Roman" w:hAnsi="Times New Roman" w:eastAsia="宋体" w:cs="Times New Roman"/>
                <w:color w:val="auto"/>
                <w:kern w:val="0"/>
                <w:sz w:val="15"/>
                <w:szCs w:val="15"/>
                <w:highlight w:val="none"/>
                <w:lang w:val="en-US" w:eastAsia="zh-CN"/>
              </w:rPr>
              <w:t>老院区</w:t>
            </w:r>
            <w:r>
              <w:rPr>
                <w:rFonts w:hint="default" w:ascii="Times New Roman" w:hAnsi="Times New Roman" w:cs="Times New Roman"/>
                <w:color w:val="auto"/>
                <w:kern w:val="0"/>
                <w:sz w:val="15"/>
                <w:szCs w:val="15"/>
                <w:highlight w:val="none"/>
                <w:lang w:val="en-US" w:eastAsia="zh-CN"/>
              </w:rPr>
              <w:t>综合楼介入2室</w:t>
            </w:r>
          </w:p>
        </w:tc>
        <w:tc>
          <w:tcPr>
            <w:tcW w:w="1640" w:type="dxa"/>
            <w:vMerge w:val="continue"/>
            <w:shd w:val="clear" w:color="auto" w:fill="auto"/>
            <w:vAlign w:val="center"/>
          </w:tcPr>
          <w:p w14:paraId="5AFB8A0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5"/>
                <w:szCs w:val="15"/>
                <w:highlight w:val="none"/>
                <w:lang w:val="en-US" w:eastAsia="zh-CN"/>
              </w:rPr>
            </w:pPr>
          </w:p>
        </w:tc>
      </w:tr>
    </w:tbl>
    <w:p w14:paraId="35AABB05">
      <w:pPr>
        <w:shd w:val="clear"/>
        <w:spacing w:before="159"/>
        <w:ind w:left="428"/>
        <w:rPr>
          <w:rFonts w:hint="default" w:ascii="Times New Roman" w:hAnsi="Times New Roman" w:eastAsia="宋体" w:cs="Times New Roman"/>
          <w:color w:val="auto"/>
          <w:sz w:val="21"/>
          <w:highlight w:val="none"/>
        </w:rPr>
      </w:pPr>
      <w:r>
        <w:rPr>
          <w:rFonts w:hint="default" w:ascii="Times New Roman" w:hAnsi="Times New Roman" w:eastAsia="宋体" w:cs="Times New Roman"/>
          <w:color w:val="auto"/>
          <w:spacing w:val="-5"/>
          <w:w w:val="99"/>
          <w:sz w:val="21"/>
          <w:highlight w:val="none"/>
        </w:rPr>
        <w:t>注：日等效最大操作量和操作方式见《电离辐射防护与辐射源安全基本标准》</w:t>
      </w:r>
      <w:r>
        <w:rPr>
          <w:rFonts w:hint="default" w:ascii="Times New Roman" w:hAnsi="Times New Roman" w:eastAsia="宋体" w:cs="Times New Roman"/>
          <w:color w:val="auto"/>
          <w:spacing w:val="-1"/>
          <w:w w:val="99"/>
          <w:sz w:val="21"/>
          <w:highlight w:val="none"/>
        </w:rPr>
        <w:t>（</w:t>
      </w:r>
      <w:r>
        <w:rPr>
          <w:rFonts w:hint="default" w:ascii="Times New Roman" w:hAnsi="Times New Roman" w:eastAsia="宋体" w:cs="Times New Roman"/>
          <w:color w:val="auto"/>
          <w:w w:val="99"/>
          <w:sz w:val="21"/>
          <w:highlight w:val="none"/>
        </w:rPr>
        <w:t>G</w:t>
      </w:r>
      <w:r>
        <w:rPr>
          <w:rFonts w:hint="default" w:ascii="Times New Roman" w:hAnsi="Times New Roman" w:eastAsia="宋体" w:cs="Times New Roman"/>
          <w:color w:val="auto"/>
          <w:spacing w:val="-1"/>
          <w:w w:val="99"/>
          <w:sz w:val="21"/>
          <w:highlight w:val="none"/>
        </w:rPr>
        <w:t>B</w:t>
      </w:r>
      <w:r>
        <w:rPr>
          <w:rFonts w:hint="default" w:ascii="Times New Roman" w:hAnsi="Times New Roman" w:eastAsia="宋体" w:cs="Times New Roman"/>
          <w:color w:val="auto"/>
          <w:spacing w:val="1"/>
          <w:w w:val="99"/>
          <w:sz w:val="21"/>
          <w:highlight w:val="none"/>
        </w:rPr>
        <w:t>18871</w:t>
      </w:r>
      <w:r>
        <w:rPr>
          <w:rFonts w:hint="default" w:ascii="Times New Roman" w:hAnsi="Times New Roman" w:eastAsia="宋体" w:cs="Times New Roman"/>
          <w:color w:val="auto"/>
          <w:spacing w:val="-3"/>
          <w:w w:val="99"/>
          <w:sz w:val="21"/>
          <w:highlight w:val="none"/>
        </w:rPr>
        <w:t>-</w:t>
      </w:r>
      <w:r>
        <w:rPr>
          <w:rFonts w:hint="default" w:ascii="Times New Roman" w:hAnsi="Times New Roman" w:eastAsia="宋体" w:cs="Times New Roman"/>
          <w:color w:val="auto"/>
          <w:spacing w:val="1"/>
          <w:w w:val="99"/>
          <w:sz w:val="21"/>
          <w:highlight w:val="none"/>
        </w:rPr>
        <w:t>200</w:t>
      </w:r>
      <w:r>
        <w:rPr>
          <w:rFonts w:hint="default" w:ascii="Times New Roman" w:hAnsi="Times New Roman" w:eastAsia="宋体" w:cs="Times New Roman"/>
          <w:color w:val="auto"/>
          <w:spacing w:val="-2"/>
          <w:w w:val="99"/>
          <w:sz w:val="21"/>
          <w:highlight w:val="none"/>
        </w:rPr>
        <w:t>2</w:t>
      </w:r>
      <w:r>
        <w:rPr>
          <w:rFonts w:hint="default" w:ascii="Times New Roman" w:hAnsi="Times New Roman" w:cs="Times New Roman"/>
          <w:color w:val="auto"/>
          <w:spacing w:val="-2"/>
          <w:w w:val="99"/>
          <w:sz w:val="21"/>
          <w:highlight w:val="none"/>
          <w:lang w:eastAsia="zh-CN"/>
        </w:rPr>
        <w:t>）。</w:t>
      </w:r>
    </w:p>
    <w:p w14:paraId="7DE0C44B">
      <w:pPr>
        <w:pStyle w:val="14"/>
        <w:rPr>
          <w:rFonts w:hint="default" w:ascii="Times New Roman" w:hAnsi="Times New Roman" w:eastAsia="宋体" w:cs="Times New Roman"/>
          <w:color w:val="auto"/>
          <w:sz w:val="21"/>
          <w:highlight w:val="none"/>
        </w:rPr>
      </w:pPr>
    </w:p>
    <w:p w14:paraId="5322096C">
      <w:pPr>
        <w:rPr>
          <w:rFonts w:hint="default" w:ascii="Times New Roman" w:hAnsi="Times New Roman" w:cs="Times New Roman"/>
          <w:color w:val="auto"/>
          <w:highlight w:val="none"/>
        </w:rPr>
        <w:sectPr>
          <w:footerReference r:id="rId4" w:type="default"/>
          <w:pgSz w:w="16840" w:h="11910" w:orient="landscape"/>
          <w:pgMar w:top="1100" w:right="1220" w:bottom="1383" w:left="1220" w:header="0" w:footer="1417" w:gutter="0"/>
          <w:pgBorders>
            <w:top w:val="none" w:sz="0" w:space="0"/>
            <w:left w:val="none" w:sz="0" w:space="0"/>
            <w:bottom w:val="none" w:sz="0" w:space="0"/>
            <w:right w:val="none" w:sz="0" w:space="0"/>
          </w:pgBorders>
          <w:pgNumType w:fmt="decimal"/>
          <w:cols w:equalWidth="0" w:num="1">
            <w:col w:w="14400"/>
          </w:cols>
        </w:sectPr>
      </w:pPr>
    </w:p>
    <w:p w14:paraId="0756D149">
      <w:pPr>
        <w:pStyle w:val="6"/>
        <w:shd w:val="clear"/>
        <w:rPr>
          <w:rFonts w:hint="default" w:ascii="Times New Roman" w:hAnsi="Times New Roman" w:eastAsia="宋体" w:cs="Times New Roman"/>
          <w:color w:val="auto"/>
          <w:highlight w:val="none"/>
        </w:rPr>
      </w:pPr>
      <w:bookmarkStart w:id="7" w:name="表4_射线装置"/>
      <w:bookmarkEnd w:id="7"/>
      <w:bookmarkStart w:id="8" w:name="_Toc27283"/>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4 射线装置</w:t>
      </w:r>
      <w:bookmarkEnd w:id="8"/>
    </w:p>
    <w:p w14:paraId="2F97B259">
      <w:pPr>
        <w:pStyle w:val="12"/>
        <w:shd w:val="clear"/>
        <w:spacing w:before="131" w:after="23"/>
        <w:ind w:left="22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（一）加速器：包括医用、工农业、科研、教学等用途的各种类型加速器</w:t>
      </w:r>
    </w:p>
    <w:tbl>
      <w:tblPr>
        <w:tblStyle w:val="22"/>
        <w:tblW w:w="0" w:type="auto"/>
        <w:tblInd w:w="117"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24"/>
        <w:gridCol w:w="1935"/>
        <w:gridCol w:w="562"/>
        <w:gridCol w:w="725"/>
        <w:gridCol w:w="913"/>
        <w:gridCol w:w="1262"/>
        <w:gridCol w:w="1900"/>
        <w:gridCol w:w="3008"/>
        <w:gridCol w:w="961"/>
        <w:gridCol w:w="1016"/>
        <w:gridCol w:w="1270"/>
      </w:tblGrid>
      <w:tr w14:paraId="358D19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624" w:type="dxa"/>
            <w:tcBorders>
              <w:tl2br w:val="nil"/>
              <w:tr2bl w:val="nil"/>
            </w:tcBorders>
            <w:vAlign w:val="center"/>
          </w:tcPr>
          <w:p w14:paraId="5DAAA798">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1935" w:type="dxa"/>
            <w:tcBorders>
              <w:tl2br w:val="nil"/>
              <w:tr2bl w:val="nil"/>
            </w:tcBorders>
            <w:vAlign w:val="center"/>
          </w:tcPr>
          <w:p w14:paraId="6679624E">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名称</w:t>
            </w:r>
          </w:p>
        </w:tc>
        <w:tc>
          <w:tcPr>
            <w:tcW w:w="562" w:type="dxa"/>
            <w:tcBorders>
              <w:tl2br w:val="nil"/>
              <w:tr2bl w:val="nil"/>
            </w:tcBorders>
            <w:vAlign w:val="center"/>
          </w:tcPr>
          <w:p w14:paraId="5AF0F882">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类别</w:t>
            </w:r>
          </w:p>
        </w:tc>
        <w:tc>
          <w:tcPr>
            <w:tcW w:w="725" w:type="dxa"/>
            <w:tcBorders>
              <w:tl2br w:val="nil"/>
              <w:tr2bl w:val="nil"/>
            </w:tcBorders>
            <w:vAlign w:val="center"/>
          </w:tcPr>
          <w:p w14:paraId="27DB528F">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数量</w:t>
            </w:r>
          </w:p>
        </w:tc>
        <w:tc>
          <w:tcPr>
            <w:tcW w:w="913" w:type="dxa"/>
            <w:tcBorders>
              <w:tl2br w:val="nil"/>
              <w:tr2bl w:val="nil"/>
            </w:tcBorders>
            <w:vAlign w:val="center"/>
          </w:tcPr>
          <w:p w14:paraId="2F21C5C0">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型号</w:t>
            </w:r>
          </w:p>
        </w:tc>
        <w:tc>
          <w:tcPr>
            <w:tcW w:w="1262" w:type="dxa"/>
            <w:tcBorders>
              <w:tl2br w:val="nil"/>
              <w:tr2bl w:val="nil"/>
            </w:tcBorders>
            <w:vAlign w:val="center"/>
          </w:tcPr>
          <w:p w14:paraId="62F4F7D4">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加速粒子</w:t>
            </w:r>
          </w:p>
        </w:tc>
        <w:tc>
          <w:tcPr>
            <w:tcW w:w="1900" w:type="dxa"/>
            <w:tcBorders>
              <w:tl2br w:val="nil"/>
              <w:tr2bl w:val="nil"/>
            </w:tcBorders>
            <w:vAlign w:val="center"/>
          </w:tcPr>
          <w:p w14:paraId="53FEAC62">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w w:val="95"/>
                <w:sz w:val="21"/>
                <w:szCs w:val="21"/>
                <w:highlight w:val="none"/>
              </w:rPr>
              <w:t>最大能量</w:t>
            </w:r>
          </w:p>
          <w:p w14:paraId="2678A804">
            <w:pPr>
              <w:pStyle w:val="32"/>
              <w:keepNext w:val="0"/>
              <w:keepLines w:val="0"/>
              <w:suppressLineNumbers w:val="0"/>
              <w:shd w:val="clear"/>
              <w:spacing w:before="0" w:beforeAutospacing="0" w:after="0" w:afterAutospacing="0" w:line="261" w:lineRule="exact"/>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（MeV）</w:t>
            </w:r>
          </w:p>
        </w:tc>
        <w:tc>
          <w:tcPr>
            <w:tcW w:w="3008" w:type="dxa"/>
            <w:tcBorders>
              <w:tl2br w:val="nil"/>
              <w:tr2bl w:val="nil"/>
            </w:tcBorders>
            <w:vAlign w:val="center"/>
          </w:tcPr>
          <w:p w14:paraId="008A026F">
            <w:pPr>
              <w:pStyle w:val="32"/>
              <w:keepNext w:val="0"/>
              <w:keepLines w:val="0"/>
              <w:suppressLineNumbers w:val="0"/>
              <w:shd w:val="clear"/>
              <w:spacing w:before="0" w:beforeAutospacing="0" w:after="0" w:afterAutospacing="0" w:line="360" w:lineRule="exact"/>
              <w:ind w:left="0" w:right="0" w:hanging="82"/>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额定电流（mA）/</w:t>
            </w:r>
          </w:p>
          <w:p w14:paraId="771868CA">
            <w:pPr>
              <w:pStyle w:val="32"/>
              <w:keepNext w:val="0"/>
              <w:keepLines w:val="0"/>
              <w:suppressLineNumbers w:val="0"/>
              <w:shd w:val="clear"/>
              <w:spacing w:before="0" w:beforeAutospacing="0" w:after="0" w:afterAutospacing="0" w:line="360" w:lineRule="exact"/>
              <w:ind w:left="0" w:right="0" w:hanging="82"/>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剂量率（Gy/h）</w:t>
            </w:r>
          </w:p>
        </w:tc>
        <w:tc>
          <w:tcPr>
            <w:tcW w:w="961" w:type="dxa"/>
            <w:tcBorders>
              <w:tl2br w:val="nil"/>
              <w:tr2bl w:val="nil"/>
            </w:tcBorders>
            <w:vAlign w:val="center"/>
          </w:tcPr>
          <w:p w14:paraId="39D17A93">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用途</w:t>
            </w:r>
          </w:p>
        </w:tc>
        <w:tc>
          <w:tcPr>
            <w:tcW w:w="1016" w:type="dxa"/>
            <w:tcBorders>
              <w:tl2br w:val="nil"/>
              <w:tr2bl w:val="nil"/>
            </w:tcBorders>
            <w:vAlign w:val="center"/>
          </w:tcPr>
          <w:p w14:paraId="4E818461">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工作场所</w:t>
            </w:r>
          </w:p>
        </w:tc>
        <w:tc>
          <w:tcPr>
            <w:tcW w:w="1270" w:type="dxa"/>
            <w:tcBorders>
              <w:tl2br w:val="nil"/>
              <w:tr2bl w:val="nil"/>
            </w:tcBorders>
            <w:vAlign w:val="center"/>
          </w:tcPr>
          <w:p w14:paraId="0E38F888">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备注</w:t>
            </w:r>
          </w:p>
        </w:tc>
      </w:tr>
      <w:tr w14:paraId="21673A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624" w:type="dxa"/>
            <w:tcBorders>
              <w:tl2br w:val="nil"/>
              <w:tr2bl w:val="nil"/>
            </w:tcBorders>
            <w:vAlign w:val="center"/>
          </w:tcPr>
          <w:p w14:paraId="11EE0366">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935" w:type="dxa"/>
            <w:tcBorders>
              <w:tl2br w:val="nil"/>
              <w:tr2bl w:val="nil"/>
            </w:tcBorders>
            <w:vAlign w:val="center"/>
          </w:tcPr>
          <w:p w14:paraId="560EF809">
            <w:pPr>
              <w:pStyle w:val="32"/>
              <w:keepNext w:val="0"/>
              <w:keepLines w:val="0"/>
              <w:suppressLineNumbers w:val="0"/>
              <w:shd w:val="clear"/>
              <w:spacing w:before="78" w:beforeAutospacing="0" w:after="0" w:afterAutospacing="0" w:line="262" w:lineRule="exact"/>
              <w:ind w:left="132" w:right="126"/>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本项目不涉及</w:t>
            </w:r>
          </w:p>
        </w:tc>
        <w:tc>
          <w:tcPr>
            <w:tcW w:w="562" w:type="dxa"/>
            <w:tcBorders>
              <w:tl2br w:val="nil"/>
              <w:tr2bl w:val="nil"/>
            </w:tcBorders>
            <w:vAlign w:val="center"/>
          </w:tcPr>
          <w:p w14:paraId="3DC64AA4">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lang w:val="en-US" w:eastAsia="zh-CN"/>
              </w:rPr>
              <w:t>/</w:t>
            </w:r>
          </w:p>
        </w:tc>
        <w:tc>
          <w:tcPr>
            <w:tcW w:w="725" w:type="dxa"/>
            <w:tcBorders>
              <w:tl2br w:val="nil"/>
              <w:tr2bl w:val="nil"/>
            </w:tcBorders>
            <w:vAlign w:val="center"/>
          </w:tcPr>
          <w:p w14:paraId="48E437F8">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913" w:type="dxa"/>
            <w:tcBorders>
              <w:tl2br w:val="nil"/>
              <w:tr2bl w:val="nil"/>
            </w:tcBorders>
            <w:vAlign w:val="center"/>
          </w:tcPr>
          <w:p w14:paraId="04395DBA">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262" w:type="dxa"/>
            <w:tcBorders>
              <w:tl2br w:val="nil"/>
              <w:tr2bl w:val="nil"/>
            </w:tcBorders>
            <w:vAlign w:val="center"/>
          </w:tcPr>
          <w:p w14:paraId="598FBE3D">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w:t>
            </w:r>
          </w:p>
        </w:tc>
        <w:tc>
          <w:tcPr>
            <w:tcW w:w="1900" w:type="dxa"/>
            <w:tcBorders>
              <w:tl2br w:val="nil"/>
              <w:tr2bl w:val="nil"/>
            </w:tcBorders>
            <w:vAlign w:val="center"/>
          </w:tcPr>
          <w:p w14:paraId="3EB6B7AC">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3008" w:type="dxa"/>
            <w:tcBorders>
              <w:tl2br w:val="nil"/>
              <w:tr2bl w:val="nil"/>
            </w:tcBorders>
            <w:vAlign w:val="center"/>
          </w:tcPr>
          <w:p w14:paraId="00A713FA">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961" w:type="dxa"/>
            <w:tcBorders>
              <w:tl2br w:val="nil"/>
              <w:tr2bl w:val="nil"/>
            </w:tcBorders>
            <w:vAlign w:val="center"/>
          </w:tcPr>
          <w:p w14:paraId="475CE697">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016" w:type="dxa"/>
            <w:tcBorders>
              <w:tl2br w:val="nil"/>
              <w:tr2bl w:val="nil"/>
            </w:tcBorders>
            <w:vAlign w:val="center"/>
          </w:tcPr>
          <w:p w14:paraId="72D49F1B">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w:t>
            </w:r>
          </w:p>
        </w:tc>
        <w:tc>
          <w:tcPr>
            <w:tcW w:w="1270" w:type="dxa"/>
            <w:tcBorders>
              <w:tl2br w:val="nil"/>
              <w:tr2bl w:val="nil"/>
            </w:tcBorders>
            <w:vAlign w:val="center"/>
          </w:tcPr>
          <w:p w14:paraId="2EDB6E68">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r>
    </w:tbl>
    <w:p w14:paraId="5CF0D5DF">
      <w:pPr>
        <w:pStyle w:val="12"/>
        <w:shd w:val="clear"/>
        <w:spacing w:before="129" w:after="24"/>
        <w:ind w:left="22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（二）X 射线机，包括工业探伤、医用诊断和治疗、分析等用途</w:t>
      </w:r>
    </w:p>
    <w:tbl>
      <w:tblPr>
        <w:tblStyle w:val="22"/>
        <w:tblW w:w="0" w:type="auto"/>
        <w:tblInd w:w="117"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36"/>
        <w:gridCol w:w="1725"/>
        <w:gridCol w:w="703"/>
        <w:gridCol w:w="1050"/>
        <w:gridCol w:w="735"/>
        <w:gridCol w:w="1658"/>
        <w:gridCol w:w="2024"/>
        <w:gridCol w:w="1558"/>
        <w:gridCol w:w="1021"/>
        <w:gridCol w:w="3066"/>
      </w:tblGrid>
      <w:tr w14:paraId="61DDE5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636" w:type="dxa"/>
            <w:tcBorders>
              <w:tl2br w:val="nil"/>
              <w:tr2bl w:val="nil"/>
            </w:tcBorders>
            <w:vAlign w:val="center"/>
          </w:tcPr>
          <w:p w14:paraId="796200D2">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1725" w:type="dxa"/>
            <w:tcBorders>
              <w:tl2br w:val="nil"/>
              <w:tr2bl w:val="nil"/>
            </w:tcBorders>
            <w:vAlign w:val="center"/>
          </w:tcPr>
          <w:p w14:paraId="416DF741">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名称</w:t>
            </w:r>
          </w:p>
        </w:tc>
        <w:tc>
          <w:tcPr>
            <w:tcW w:w="703" w:type="dxa"/>
            <w:tcBorders>
              <w:tl2br w:val="nil"/>
              <w:tr2bl w:val="nil"/>
            </w:tcBorders>
            <w:vAlign w:val="center"/>
          </w:tcPr>
          <w:p w14:paraId="1AAC31EC">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类别</w:t>
            </w:r>
          </w:p>
        </w:tc>
        <w:tc>
          <w:tcPr>
            <w:tcW w:w="1050" w:type="dxa"/>
            <w:tcBorders>
              <w:tl2br w:val="nil"/>
              <w:tr2bl w:val="nil"/>
            </w:tcBorders>
            <w:vAlign w:val="center"/>
          </w:tcPr>
          <w:p w14:paraId="4ECC2AB1">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数量</w:t>
            </w:r>
          </w:p>
        </w:tc>
        <w:tc>
          <w:tcPr>
            <w:tcW w:w="735" w:type="dxa"/>
            <w:tcBorders>
              <w:tl2br w:val="nil"/>
              <w:tr2bl w:val="nil"/>
            </w:tcBorders>
            <w:vAlign w:val="center"/>
          </w:tcPr>
          <w:p w14:paraId="01376FB3">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型号</w:t>
            </w:r>
          </w:p>
        </w:tc>
        <w:tc>
          <w:tcPr>
            <w:tcW w:w="1658" w:type="dxa"/>
            <w:tcBorders>
              <w:tl2br w:val="nil"/>
              <w:tr2bl w:val="nil"/>
            </w:tcBorders>
            <w:vAlign w:val="center"/>
          </w:tcPr>
          <w:p w14:paraId="02FC9986">
            <w:pPr>
              <w:pStyle w:val="32"/>
              <w:keepNext w:val="0"/>
              <w:keepLines w:val="0"/>
              <w:suppressLineNumbers w:val="0"/>
              <w:shd w:val="clear"/>
              <w:spacing w:before="0" w:beforeAutospacing="0" w:after="0" w:afterAutospacing="0"/>
              <w:ind w:left="0" w:right="0" w:firstLine="21"/>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最大管电压（kV）</w:t>
            </w:r>
          </w:p>
        </w:tc>
        <w:tc>
          <w:tcPr>
            <w:tcW w:w="2024" w:type="dxa"/>
            <w:tcBorders>
              <w:tl2br w:val="nil"/>
              <w:tr2bl w:val="nil"/>
            </w:tcBorders>
            <w:vAlign w:val="center"/>
          </w:tcPr>
          <w:p w14:paraId="3E487066">
            <w:pPr>
              <w:pStyle w:val="32"/>
              <w:keepNext w:val="0"/>
              <w:keepLines w:val="0"/>
              <w:suppressLineNumbers w:val="0"/>
              <w:shd w:val="clear"/>
              <w:spacing w:before="0" w:beforeAutospacing="0" w:after="0" w:afterAutospacing="0"/>
              <w:ind w:left="0" w:right="0" w:firstLine="26"/>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最大管电流（mA）</w:t>
            </w:r>
          </w:p>
        </w:tc>
        <w:tc>
          <w:tcPr>
            <w:tcW w:w="1558" w:type="dxa"/>
            <w:tcBorders>
              <w:tl2br w:val="nil"/>
              <w:tr2bl w:val="nil"/>
            </w:tcBorders>
            <w:vAlign w:val="center"/>
          </w:tcPr>
          <w:p w14:paraId="19E4AC71">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用途</w:t>
            </w:r>
          </w:p>
        </w:tc>
        <w:tc>
          <w:tcPr>
            <w:tcW w:w="1021" w:type="dxa"/>
            <w:tcBorders>
              <w:tl2br w:val="nil"/>
              <w:tr2bl w:val="nil"/>
            </w:tcBorders>
            <w:vAlign w:val="center"/>
          </w:tcPr>
          <w:p w14:paraId="61E73778">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工作场所</w:t>
            </w:r>
          </w:p>
        </w:tc>
        <w:tc>
          <w:tcPr>
            <w:tcW w:w="3066" w:type="dxa"/>
            <w:tcBorders>
              <w:tl2br w:val="nil"/>
              <w:tr2bl w:val="nil"/>
            </w:tcBorders>
            <w:vAlign w:val="center"/>
          </w:tcPr>
          <w:p w14:paraId="03DCA815">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备注</w:t>
            </w:r>
          </w:p>
        </w:tc>
      </w:tr>
      <w:tr w14:paraId="7DF9CF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636" w:type="dxa"/>
            <w:tcBorders>
              <w:tl2br w:val="nil"/>
              <w:tr2bl w:val="nil"/>
            </w:tcBorders>
            <w:shd w:val="clear" w:color="auto" w:fill="auto"/>
            <w:vAlign w:val="center"/>
          </w:tcPr>
          <w:p w14:paraId="0CA48429">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p>
        </w:tc>
        <w:tc>
          <w:tcPr>
            <w:tcW w:w="1725" w:type="dxa"/>
            <w:tcBorders>
              <w:tl2br w:val="nil"/>
              <w:tr2bl w:val="nil"/>
            </w:tcBorders>
            <w:vAlign w:val="center"/>
          </w:tcPr>
          <w:p w14:paraId="12B98B60">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本项目不涉及</w:t>
            </w:r>
          </w:p>
        </w:tc>
        <w:tc>
          <w:tcPr>
            <w:tcW w:w="703" w:type="dxa"/>
            <w:tcBorders>
              <w:tl2br w:val="nil"/>
              <w:tr2bl w:val="nil"/>
            </w:tcBorders>
            <w:vAlign w:val="center"/>
          </w:tcPr>
          <w:p w14:paraId="3F0D62FA">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050" w:type="dxa"/>
            <w:tcBorders>
              <w:tl2br w:val="nil"/>
              <w:tr2bl w:val="nil"/>
            </w:tcBorders>
            <w:vAlign w:val="center"/>
          </w:tcPr>
          <w:p w14:paraId="4D771C2B">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735" w:type="dxa"/>
            <w:tcBorders>
              <w:tl2br w:val="nil"/>
              <w:tr2bl w:val="nil"/>
            </w:tcBorders>
            <w:vAlign w:val="center"/>
          </w:tcPr>
          <w:p w14:paraId="6B910CF4">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658" w:type="dxa"/>
            <w:tcBorders>
              <w:tl2br w:val="nil"/>
              <w:tr2bl w:val="nil"/>
            </w:tcBorders>
            <w:shd w:val="clear" w:color="auto" w:fill="auto"/>
            <w:vAlign w:val="center"/>
          </w:tcPr>
          <w:p w14:paraId="04893A63">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w:t>
            </w:r>
          </w:p>
        </w:tc>
        <w:tc>
          <w:tcPr>
            <w:tcW w:w="2024" w:type="dxa"/>
            <w:tcBorders>
              <w:tl2br w:val="nil"/>
              <w:tr2bl w:val="nil"/>
            </w:tcBorders>
            <w:shd w:val="clear" w:color="auto" w:fill="auto"/>
            <w:vAlign w:val="center"/>
          </w:tcPr>
          <w:p w14:paraId="05B2E3A3">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w:t>
            </w:r>
          </w:p>
        </w:tc>
        <w:tc>
          <w:tcPr>
            <w:tcW w:w="1558" w:type="dxa"/>
            <w:tcBorders>
              <w:tl2br w:val="nil"/>
              <w:tr2bl w:val="nil"/>
            </w:tcBorders>
            <w:vAlign w:val="center"/>
          </w:tcPr>
          <w:p w14:paraId="61415852">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1021" w:type="dxa"/>
            <w:tcBorders>
              <w:tl2br w:val="nil"/>
              <w:tr2bl w:val="nil"/>
            </w:tcBorders>
            <w:vAlign w:val="center"/>
          </w:tcPr>
          <w:p w14:paraId="239E1FA6">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3066" w:type="dxa"/>
            <w:tcBorders>
              <w:tl2br w:val="nil"/>
              <w:tr2bl w:val="nil"/>
            </w:tcBorders>
            <w:vAlign w:val="center"/>
          </w:tcPr>
          <w:p w14:paraId="69E9DF99">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r>
    </w:tbl>
    <w:p w14:paraId="00FB9AC5">
      <w:pPr>
        <w:pStyle w:val="12"/>
        <w:shd w:val="clear"/>
        <w:spacing w:before="129" w:after="24"/>
        <w:ind w:left="22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（三）中子发生器，包括中子管，但不包括放射性中子源</w:t>
      </w:r>
    </w:p>
    <w:tbl>
      <w:tblPr>
        <w:tblStyle w:val="22"/>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648"/>
        <w:gridCol w:w="1303"/>
        <w:gridCol w:w="720"/>
        <w:gridCol w:w="741"/>
        <w:gridCol w:w="819"/>
        <w:gridCol w:w="1395"/>
        <w:gridCol w:w="1320"/>
        <w:gridCol w:w="1590"/>
        <w:gridCol w:w="1035"/>
        <w:gridCol w:w="1050"/>
        <w:gridCol w:w="782"/>
        <w:gridCol w:w="873"/>
        <w:gridCol w:w="748"/>
        <w:gridCol w:w="1152"/>
      </w:tblGrid>
      <w:tr w14:paraId="386A55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360" w:hRule="atLeast"/>
          <w:jc w:val="center"/>
        </w:trPr>
        <w:tc>
          <w:tcPr>
            <w:tcW w:w="648" w:type="dxa"/>
            <w:vMerge w:val="restart"/>
            <w:tcBorders>
              <w:tl2br w:val="nil"/>
              <w:tr2bl w:val="nil"/>
            </w:tcBorders>
            <w:vAlign w:val="center"/>
          </w:tcPr>
          <w:p w14:paraId="7378B22B">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序号</w:t>
            </w:r>
          </w:p>
        </w:tc>
        <w:tc>
          <w:tcPr>
            <w:tcW w:w="1303" w:type="dxa"/>
            <w:vMerge w:val="restart"/>
            <w:tcBorders>
              <w:tl2br w:val="nil"/>
              <w:tr2bl w:val="nil"/>
            </w:tcBorders>
            <w:vAlign w:val="center"/>
          </w:tcPr>
          <w:p w14:paraId="0E03C018">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名称</w:t>
            </w:r>
          </w:p>
        </w:tc>
        <w:tc>
          <w:tcPr>
            <w:tcW w:w="720" w:type="dxa"/>
            <w:vMerge w:val="restart"/>
            <w:tcBorders>
              <w:tl2br w:val="nil"/>
              <w:tr2bl w:val="nil"/>
            </w:tcBorders>
            <w:vAlign w:val="center"/>
          </w:tcPr>
          <w:p w14:paraId="7E305027">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类别</w:t>
            </w:r>
          </w:p>
        </w:tc>
        <w:tc>
          <w:tcPr>
            <w:tcW w:w="741" w:type="dxa"/>
            <w:vMerge w:val="restart"/>
            <w:tcBorders>
              <w:tl2br w:val="nil"/>
              <w:tr2bl w:val="nil"/>
            </w:tcBorders>
            <w:vAlign w:val="center"/>
          </w:tcPr>
          <w:p w14:paraId="05366520">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数量</w:t>
            </w:r>
          </w:p>
        </w:tc>
        <w:tc>
          <w:tcPr>
            <w:tcW w:w="819" w:type="dxa"/>
            <w:vMerge w:val="restart"/>
            <w:tcBorders>
              <w:tl2br w:val="nil"/>
              <w:tr2bl w:val="nil"/>
            </w:tcBorders>
            <w:vAlign w:val="center"/>
          </w:tcPr>
          <w:p w14:paraId="2D42513C">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型号</w:t>
            </w:r>
          </w:p>
        </w:tc>
        <w:tc>
          <w:tcPr>
            <w:tcW w:w="1395" w:type="dxa"/>
            <w:vMerge w:val="restart"/>
            <w:tcBorders>
              <w:tl2br w:val="nil"/>
              <w:tr2bl w:val="nil"/>
            </w:tcBorders>
            <w:vAlign w:val="center"/>
          </w:tcPr>
          <w:p w14:paraId="1527F85B">
            <w:pPr>
              <w:pStyle w:val="32"/>
              <w:keepNext w:val="0"/>
              <w:keepLines w:val="0"/>
              <w:suppressLineNumbers w:val="0"/>
              <w:shd w:val="clear"/>
              <w:spacing w:before="0" w:beforeAutospacing="0" w:after="0" w:afterAutospacing="0"/>
              <w:ind w:left="0" w:right="0" w:firstLine="24"/>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最大管电压（kV）</w:t>
            </w:r>
          </w:p>
        </w:tc>
        <w:tc>
          <w:tcPr>
            <w:tcW w:w="1320" w:type="dxa"/>
            <w:vMerge w:val="restart"/>
            <w:tcBorders>
              <w:tl2br w:val="nil"/>
              <w:tr2bl w:val="nil"/>
            </w:tcBorders>
            <w:vAlign w:val="center"/>
          </w:tcPr>
          <w:p w14:paraId="5E346809">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最大靶电流</w:t>
            </w:r>
          </w:p>
          <w:p w14:paraId="78825001">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（μA）</w:t>
            </w:r>
          </w:p>
        </w:tc>
        <w:tc>
          <w:tcPr>
            <w:tcW w:w="1590" w:type="dxa"/>
            <w:vMerge w:val="restart"/>
            <w:tcBorders>
              <w:tl2br w:val="nil"/>
              <w:tr2bl w:val="nil"/>
            </w:tcBorders>
            <w:vAlign w:val="center"/>
          </w:tcPr>
          <w:p w14:paraId="72D90C8C">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中子强度</w:t>
            </w:r>
          </w:p>
          <w:p w14:paraId="3A9B769D">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（n/s）</w:t>
            </w:r>
          </w:p>
        </w:tc>
        <w:tc>
          <w:tcPr>
            <w:tcW w:w="1035" w:type="dxa"/>
            <w:vMerge w:val="restart"/>
            <w:tcBorders>
              <w:tl2br w:val="nil"/>
              <w:tr2bl w:val="nil"/>
            </w:tcBorders>
            <w:vAlign w:val="center"/>
          </w:tcPr>
          <w:p w14:paraId="1C79399A">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用途</w:t>
            </w:r>
          </w:p>
        </w:tc>
        <w:tc>
          <w:tcPr>
            <w:tcW w:w="1050" w:type="dxa"/>
            <w:vMerge w:val="restart"/>
            <w:tcBorders>
              <w:tl2br w:val="nil"/>
              <w:tr2bl w:val="nil"/>
            </w:tcBorders>
            <w:vAlign w:val="center"/>
          </w:tcPr>
          <w:p w14:paraId="63B829B9">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工作场所</w:t>
            </w:r>
          </w:p>
        </w:tc>
        <w:tc>
          <w:tcPr>
            <w:tcW w:w="2403" w:type="dxa"/>
            <w:gridSpan w:val="3"/>
            <w:tcBorders>
              <w:tl2br w:val="nil"/>
              <w:tr2bl w:val="nil"/>
            </w:tcBorders>
            <w:vAlign w:val="center"/>
          </w:tcPr>
          <w:p w14:paraId="0829E913">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氚靶情况</w:t>
            </w:r>
          </w:p>
        </w:tc>
        <w:tc>
          <w:tcPr>
            <w:tcW w:w="1152" w:type="dxa"/>
            <w:vMerge w:val="restart"/>
            <w:tcBorders>
              <w:tl2br w:val="nil"/>
              <w:tr2bl w:val="nil"/>
            </w:tcBorders>
            <w:vAlign w:val="center"/>
          </w:tcPr>
          <w:p w14:paraId="68F64BFF">
            <w:pPr>
              <w:pStyle w:val="32"/>
              <w:keepNext w:val="0"/>
              <w:keepLines w:val="0"/>
              <w:suppressLineNumbers w:val="0"/>
              <w:shd w:val="clear"/>
              <w:spacing w:before="0" w:beforeAutospacing="0" w:after="0" w:afterAutospacing="0"/>
              <w:ind w:left="0" w:right="0" w:hanging="317"/>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储存方式</w:t>
            </w:r>
          </w:p>
          <w:p w14:paraId="0E3C1DFC">
            <w:pPr>
              <w:pStyle w:val="32"/>
              <w:keepNext w:val="0"/>
              <w:keepLines w:val="0"/>
              <w:suppressLineNumbers w:val="0"/>
              <w:shd w:val="clear"/>
              <w:spacing w:before="0" w:beforeAutospacing="0" w:after="0" w:afterAutospacing="0"/>
              <w:ind w:left="0" w:right="0" w:hanging="317"/>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与地点</w:t>
            </w:r>
          </w:p>
        </w:tc>
      </w:tr>
      <w:tr w14:paraId="3DF1F1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20" w:hRule="atLeast"/>
          <w:jc w:val="center"/>
        </w:trPr>
        <w:tc>
          <w:tcPr>
            <w:tcW w:w="648" w:type="dxa"/>
            <w:vMerge w:val="continue"/>
            <w:tcBorders>
              <w:tl2br w:val="nil"/>
              <w:tr2bl w:val="nil"/>
            </w:tcBorders>
            <w:vAlign w:val="center"/>
          </w:tcPr>
          <w:p w14:paraId="2357BDE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303" w:type="dxa"/>
            <w:vMerge w:val="continue"/>
            <w:tcBorders>
              <w:tl2br w:val="nil"/>
              <w:tr2bl w:val="nil"/>
            </w:tcBorders>
            <w:vAlign w:val="center"/>
          </w:tcPr>
          <w:p w14:paraId="71039967">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20" w:type="dxa"/>
            <w:vMerge w:val="continue"/>
            <w:tcBorders>
              <w:tl2br w:val="nil"/>
              <w:tr2bl w:val="nil"/>
            </w:tcBorders>
            <w:vAlign w:val="center"/>
          </w:tcPr>
          <w:p w14:paraId="6701C6CD">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41" w:type="dxa"/>
            <w:vMerge w:val="continue"/>
            <w:tcBorders>
              <w:tl2br w:val="nil"/>
              <w:tr2bl w:val="nil"/>
            </w:tcBorders>
            <w:vAlign w:val="center"/>
          </w:tcPr>
          <w:p w14:paraId="510C9FE1">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819" w:type="dxa"/>
            <w:vMerge w:val="continue"/>
            <w:tcBorders>
              <w:tl2br w:val="nil"/>
              <w:tr2bl w:val="nil"/>
            </w:tcBorders>
            <w:vAlign w:val="center"/>
          </w:tcPr>
          <w:p w14:paraId="1EE32CFB">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395" w:type="dxa"/>
            <w:vMerge w:val="continue"/>
            <w:tcBorders>
              <w:tl2br w:val="nil"/>
              <w:tr2bl w:val="nil"/>
            </w:tcBorders>
            <w:vAlign w:val="center"/>
          </w:tcPr>
          <w:p w14:paraId="7CE59A8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320" w:type="dxa"/>
            <w:vMerge w:val="continue"/>
            <w:tcBorders>
              <w:tl2br w:val="nil"/>
              <w:tr2bl w:val="nil"/>
            </w:tcBorders>
            <w:vAlign w:val="center"/>
          </w:tcPr>
          <w:p w14:paraId="18A853D9">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590" w:type="dxa"/>
            <w:vMerge w:val="continue"/>
            <w:tcBorders>
              <w:tl2br w:val="nil"/>
              <w:tr2bl w:val="nil"/>
            </w:tcBorders>
            <w:vAlign w:val="center"/>
          </w:tcPr>
          <w:p w14:paraId="7266130D">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35" w:type="dxa"/>
            <w:vMerge w:val="continue"/>
            <w:tcBorders>
              <w:tl2br w:val="nil"/>
              <w:tr2bl w:val="nil"/>
            </w:tcBorders>
            <w:vAlign w:val="center"/>
          </w:tcPr>
          <w:p w14:paraId="11034551">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1050" w:type="dxa"/>
            <w:vMerge w:val="continue"/>
            <w:tcBorders>
              <w:tl2br w:val="nil"/>
              <w:tr2bl w:val="nil"/>
            </w:tcBorders>
            <w:vAlign w:val="center"/>
          </w:tcPr>
          <w:p w14:paraId="32A752FD">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c>
          <w:tcPr>
            <w:tcW w:w="782" w:type="dxa"/>
            <w:tcBorders>
              <w:tl2br w:val="nil"/>
              <w:tr2bl w:val="nil"/>
            </w:tcBorders>
            <w:vAlign w:val="center"/>
          </w:tcPr>
          <w:p w14:paraId="09AA357F">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活度</w:t>
            </w:r>
          </w:p>
          <w:p w14:paraId="2F0653D9">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（Bq）</w:t>
            </w:r>
          </w:p>
        </w:tc>
        <w:tc>
          <w:tcPr>
            <w:tcW w:w="873" w:type="dxa"/>
            <w:tcBorders>
              <w:tl2br w:val="nil"/>
              <w:tr2bl w:val="nil"/>
            </w:tcBorders>
            <w:vAlign w:val="center"/>
          </w:tcPr>
          <w:p w14:paraId="7AC24AFA">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储存</w:t>
            </w:r>
          </w:p>
          <w:p w14:paraId="714A5788">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方</w:t>
            </w:r>
            <w:r>
              <w:rPr>
                <w:rFonts w:hint="default" w:ascii="Times New Roman" w:hAnsi="Times New Roman" w:eastAsia="宋体" w:cs="Times New Roman"/>
                <w:color w:val="auto"/>
                <w:w w:val="99"/>
                <w:sz w:val="21"/>
                <w:szCs w:val="21"/>
                <w:highlight w:val="none"/>
              </w:rPr>
              <w:t>式</w:t>
            </w:r>
          </w:p>
        </w:tc>
        <w:tc>
          <w:tcPr>
            <w:tcW w:w="748" w:type="dxa"/>
            <w:tcBorders>
              <w:tl2br w:val="nil"/>
              <w:tr2bl w:val="nil"/>
            </w:tcBorders>
            <w:vAlign w:val="center"/>
          </w:tcPr>
          <w:p w14:paraId="4C9DA16B">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w w:val="99"/>
                <w:sz w:val="21"/>
                <w:szCs w:val="21"/>
                <w:highlight w:val="none"/>
              </w:rPr>
              <w:t>数量</w:t>
            </w:r>
          </w:p>
        </w:tc>
        <w:tc>
          <w:tcPr>
            <w:tcW w:w="1152" w:type="dxa"/>
            <w:vMerge w:val="continue"/>
            <w:tcBorders>
              <w:tl2br w:val="nil"/>
              <w:tr2bl w:val="nil"/>
            </w:tcBorders>
            <w:vAlign w:val="center"/>
          </w:tcPr>
          <w:p w14:paraId="6EF43216">
            <w:pPr>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p>
        </w:tc>
      </w:tr>
      <w:tr w14:paraId="2FDDE8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0" w:hRule="atLeast"/>
          <w:jc w:val="center"/>
        </w:trPr>
        <w:tc>
          <w:tcPr>
            <w:tcW w:w="648" w:type="dxa"/>
            <w:tcBorders>
              <w:tl2br w:val="nil"/>
              <w:tr2bl w:val="nil"/>
            </w:tcBorders>
            <w:vAlign w:val="center"/>
          </w:tcPr>
          <w:p w14:paraId="2F0F58B3">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303" w:type="dxa"/>
            <w:tcBorders>
              <w:tl2br w:val="nil"/>
              <w:tr2bl w:val="nil"/>
            </w:tcBorders>
            <w:vAlign w:val="center"/>
          </w:tcPr>
          <w:p w14:paraId="6927363C">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本项目不涉及</w:t>
            </w:r>
          </w:p>
        </w:tc>
        <w:tc>
          <w:tcPr>
            <w:tcW w:w="720" w:type="dxa"/>
            <w:tcBorders>
              <w:tl2br w:val="nil"/>
              <w:tr2bl w:val="nil"/>
            </w:tcBorders>
            <w:vAlign w:val="center"/>
          </w:tcPr>
          <w:p w14:paraId="6595CF6E">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741" w:type="dxa"/>
            <w:tcBorders>
              <w:tl2br w:val="nil"/>
              <w:tr2bl w:val="nil"/>
            </w:tcBorders>
            <w:vAlign w:val="center"/>
          </w:tcPr>
          <w:p w14:paraId="5E4E52E7">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819" w:type="dxa"/>
            <w:tcBorders>
              <w:tl2br w:val="nil"/>
              <w:tr2bl w:val="nil"/>
            </w:tcBorders>
            <w:vAlign w:val="center"/>
          </w:tcPr>
          <w:p w14:paraId="3AF8637B">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395" w:type="dxa"/>
            <w:tcBorders>
              <w:tl2br w:val="nil"/>
              <w:tr2bl w:val="nil"/>
            </w:tcBorders>
            <w:vAlign w:val="center"/>
          </w:tcPr>
          <w:p w14:paraId="5AA7AE17">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320" w:type="dxa"/>
            <w:tcBorders>
              <w:tl2br w:val="nil"/>
              <w:tr2bl w:val="nil"/>
            </w:tcBorders>
            <w:vAlign w:val="center"/>
          </w:tcPr>
          <w:p w14:paraId="387908AD">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590" w:type="dxa"/>
            <w:tcBorders>
              <w:tl2br w:val="nil"/>
              <w:tr2bl w:val="nil"/>
            </w:tcBorders>
            <w:vAlign w:val="center"/>
          </w:tcPr>
          <w:p w14:paraId="62C7F6A0">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035" w:type="dxa"/>
            <w:tcBorders>
              <w:tl2br w:val="nil"/>
              <w:tr2bl w:val="nil"/>
            </w:tcBorders>
            <w:vAlign w:val="center"/>
          </w:tcPr>
          <w:p w14:paraId="493297C4">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050" w:type="dxa"/>
            <w:tcBorders>
              <w:tl2br w:val="nil"/>
              <w:tr2bl w:val="nil"/>
            </w:tcBorders>
            <w:vAlign w:val="center"/>
          </w:tcPr>
          <w:p w14:paraId="0EA049E0">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2403" w:type="dxa"/>
            <w:gridSpan w:val="3"/>
            <w:tcBorders>
              <w:tl2br w:val="nil"/>
              <w:tr2bl w:val="nil"/>
            </w:tcBorders>
            <w:vAlign w:val="center"/>
          </w:tcPr>
          <w:p w14:paraId="133EE12B">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1152" w:type="dxa"/>
            <w:tcBorders>
              <w:tl2br w:val="nil"/>
              <w:tr2bl w:val="nil"/>
            </w:tcBorders>
            <w:vAlign w:val="center"/>
          </w:tcPr>
          <w:p w14:paraId="07EDC805">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r>
    </w:tbl>
    <w:p w14:paraId="41136502">
      <w:pPr>
        <w:shd w:val="clear"/>
        <w:tabs>
          <w:tab w:val="left" w:pos="4943"/>
        </w:tabs>
        <w:rPr>
          <w:rFonts w:hint="default" w:ascii="Times New Roman" w:hAnsi="Times New Roman" w:eastAsia="宋体" w:cs="Times New Roman"/>
          <w:color w:val="auto"/>
          <w:highlight w:val="none"/>
        </w:rPr>
        <w:sectPr>
          <w:footerReference r:id="rId5" w:type="default"/>
          <w:pgSz w:w="16840" w:h="11910" w:orient="landscape"/>
          <w:pgMar w:top="1100" w:right="1220" w:bottom="1185" w:left="1220" w:header="0" w:footer="1417" w:gutter="0"/>
          <w:pgBorders>
            <w:top w:val="none" w:sz="0" w:space="0"/>
            <w:left w:val="none" w:sz="0" w:space="0"/>
            <w:bottom w:val="none" w:sz="0" w:space="0"/>
            <w:right w:val="none" w:sz="0" w:space="0"/>
          </w:pgBorders>
          <w:pgNumType w:fmt="decimal"/>
          <w:cols w:equalWidth="0" w:num="1">
            <w:col w:w="14400"/>
          </w:cols>
        </w:sectPr>
      </w:pPr>
    </w:p>
    <w:p w14:paraId="66E427AD">
      <w:pPr>
        <w:pStyle w:val="6"/>
        <w:shd w:val="clear"/>
        <w:rPr>
          <w:rFonts w:hint="default" w:ascii="Times New Roman" w:hAnsi="Times New Roman" w:eastAsia="宋体" w:cs="Times New Roman"/>
          <w:color w:val="auto"/>
          <w:highlight w:val="none"/>
        </w:rPr>
      </w:pPr>
      <w:bookmarkStart w:id="9" w:name="表5废弃物（重点是放射性废弃物）"/>
      <w:bookmarkEnd w:id="9"/>
      <w:bookmarkStart w:id="10" w:name="_Toc28743"/>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5 废弃物（重点是放射性废弃物）</w:t>
      </w:r>
      <w:bookmarkEnd w:id="10"/>
    </w:p>
    <w:tbl>
      <w:tblPr>
        <w:tblStyle w:val="22"/>
        <w:tblW w:w="14415" w:type="dxa"/>
        <w:tblInd w:w="114"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833"/>
        <w:gridCol w:w="1028"/>
        <w:gridCol w:w="1871"/>
        <w:gridCol w:w="817"/>
        <w:gridCol w:w="1325"/>
        <w:gridCol w:w="1411"/>
        <w:gridCol w:w="2226"/>
        <w:gridCol w:w="1469"/>
        <w:gridCol w:w="2435"/>
      </w:tblGrid>
      <w:tr w14:paraId="4B33EF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833" w:type="dxa"/>
            <w:tcBorders>
              <w:tl2br w:val="nil"/>
              <w:tr2bl w:val="nil"/>
            </w:tcBorders>
            <w:vAlign w:val="center"/>
          </w:tcPr>
          <w:p w14:paraId="61E3B5B1">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名称</w:t>
            </w:r>
          </w:p>
        </w:tc>
        <w:tc>
          <w:tcPr>
            <w:tcW w:w="1028" w:type="dxa"/>
            <w:tcBorders>
              <w:tl2br w:val="nil"/>
              <w:tr2bl w:val="nil"/>
            </w:tcBorders>
            <w:vAlign w:val="center"/>
          </w:tcPr>
          <w:p w14:paraId="7F0414BF">
            <w:pPr>
              <w:pStyle w:val="32"/>
              <w:keepNext w:val="0"/>
              <w:keepLines w:val="0"/>
              <w:suppressLineNumbers w:val="0"/>
              <w:shd w:val="clear"/>
              <w:spacing w:before="0" w:beforeAutospacing="0" w:after="0" w:afterAutospacing="0"/>
              <w:ind w:left="113"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状态</w:t>
            </w:r>
          </w:p>
        </w:tc>
        <w:tc>
          <w:tcPr>
            <w:tcW w:w="1871" w:type="dxa"/>
            <w:tcBorders>
              <w:tl2br w:val="nil"/>
              <w:tr2bl w:val="nil"/>
            </w:tcBorders>
            <w:vAlign w:val="center"/>
          </w:tcPr>
          <w:p w14:paraId="4E1115D6">
            <w:pPr>
              <w:pStyle w:val="32"/>
              <w:keepNext w:val="0"/>
              <w:keepLines w:val="0"/>
              <w:suppressLineNumbers w:val="0"/>
              <w:shd w:val="clear"/>
              <w:spacing w:before="1" w:beforeAutospacing="0" w:after="0" w:afterAutospacing="0" w:line="360" w:lineRule="exact"/>
              <w:ind w:left="185" w:right="173"/>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核素名称</w:t>
            </w:r>
          </w:p>
        </w:tc>
        <w:tc>
          <w:tcPr>
            <w:tcW w:w="817" w:type="dxa"/>
            <w:tcBorders>
              <w:tl2br w:val="nil"/>
              <w:tr2bl w:val="nil"/>
            </w:tcBorders>
            <w:vAlign w:val="center"/>
          </w:tcPr>
          <w:p w14:paraId="6CEBE4D0">
            <w:pPr>
              <w:pStyle w:val="32"/>
              <w:keepNext w:val="0"/>
              <w:keepLines w:val="0"/>
              <w:suppressLineNumbers w:val="0"/>
              <w:shd w:val="clear"/>
              <w:spacing w:before="0" w:beforeAutospacing="0" w:after="0" w:afterAutospacing="0"/>
              <w:ind w:left="164" w:right="156"/>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活度</w:t>
            </w:r>
          </w:p>
        </w:tc>
        <w:tc>
          <w:tcPr>
            <w:tcW w:w="1325" w:type="dxa"/>
            <w:tcBorders>
              <w:tl2br w:val="nil"/>
              <w:tr2bl w:val="nil"/>
            </w:tcBorders>
            <w:vAlign w:val="center"/>
          </w:tcPr>
          <w:p w14:paraId="761AF3A1">
            <w:pPr>
              <w:pStyle w:val="32"/>
              <w:keepNext w:val="0"/>
              <w:keepLines w:val="0"/>
              <w:suppressLineNumbers w:val="0"/>
              <w:shd w:val="clear"/>
              <w:spacing w:before="1" w:beforeAutospacing="0" w:after="0" w:afterAutospacing="0" w:line="360" w:lineRule="exact"/>
              <w:ind w:left="183" w:right="175"/>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月排放量</w:t>
            </w:r>
          </w:p>
        </w:tc>
        <w:tc>
          <w:tcPr>
            <w:tcW w:w="1411" w:type="dxa"/>
            <w:tcBorders>
              <w:tl2br w:val="nil"/>
              <w:tr2bl w:val="nil"/>
            </w:tcBorders>
            <w:vAlign w:val="center"/>
          </w:tcPr>
          <w:p w14:paraId="7A080D2F">
            <w:pPr>
              <w:pStyle w:val="32"/>
              <w:keepNext w:val="0"/>
              <w:keepLines w:val="0"/>
              <w:suppressLineNumbers w:val="0"/>
              <w:shd w:val="clear"/>
              <w:spacing w:before="1" w:beforeAutospacing="0" w:after="0" w:afterAutospacing="0" w:line="360" w:lineRule="exact"/>
              <w:ind w:left="254" w:right="125" w:hanging="12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年排放总量</w:t>
            </w:r>
          </w:p>
        </w:tc>
        <w:tc>
          <w:tcPr>
            <w:tcW w:w="2226" w:type="dxa"/>
            <w:tcBorders>
              <w:tl2br w:val="nil"/>
              <w:tr2bl w:val="nil"/>
            </w:tcBorders>
            <w:vAlign w:val="center"/>
          </w:tcPr>
          <w:p w14:paraId="2AD0622B">
            <w:pPr>
              <w:pStyle w:val="32"/>
              <w:keepNext w:val="0"/>
              <w:keepLines w:val="0"/>
              <w:suppressLineNumbers w:val="0"/>
              <w:shd w:val="clear"/>
              <w:spacing w:before="1" w:beforeAutospacing="0" w:after="0" w:afterAutospacing="0" w:line="360" w:lineRule="exact"/>
              <w:ind w:left="256" w:right="123" w:hanging="12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排放口浓度</w:t>
            </w:r>
          </w:p>
        </w:tc>
        <w:tc>
          <w:tcPr>
            <w:tcW w:w="1469" w:type="dxa"/>
            <w:tcBorders>
              <w:tl2br w:val="nil"/>
              <w:tr2bl w:val="nil"/>
            </w:tcBorders>
            <w:vAlign w:val="center"/>
          </w:tcPr>
          <w:p w14:paraId="33D54C2A">
            <w:pPr>
              <w:pStyle w:val="32"/>
              <w:keepNext w:val="0"/>
              <w:keepLines w:val="0"/>
              <w:suppressLineNumbers w:val="0"/>
              <w:shd w:val="clear"/>
              <w:spacing w:before="1" w:beforeAutospacing="0" w:after="0" w:afterAutospacing="0" w:line="360" w:lineRule="exact"/>
              <w:ind w:left="185" w:right="173"/>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暂存情况</w:t>
            </w:r>
          </w:p>
        </w:tc>
        <w:tc>
          <w:tcPr>
            <w:tcW w:w="2435" w:type="dxa"/>
            <w:tcBorders>
              <w:tl2br w:val="nil"/>
              <w:tr2bl w:val="nil"/>
            </w:tcBorders>
            <w:vAlign w:val="center"/>
          </w:tcPr>
          <w:p w14:paraId="33B688AA">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最终去向</w:t>
            </w:r>
          </w:p>
        </w:tc>
      </w:tr>
      <w:tr w14:paraId="14A380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1833" w:type="dxa"/>
            <w:tcBorders>
              <w:tl2br w:val="nil"/>
              <w:tr2bl w:val="nil"/>
            </w:tcBorders>
            <w:vAlign w:val="center"/>
          </w:tcPr>
          <w:p w14:paraId="466EE036">
            <w:pPr>
              <w:pStyle w:val="32"/>
              <w:keepNext w:val="0"/>
              <w:keepLines w:val="0"/>
              <w:suppressLineNumbers w:val="0"/>
              <w:shd w:val="clear"/>
              <w:spacing w:before="0" w:beforeAutospacing="0" w:after="0" w:afterAutospacing="0"/>
              <w:ind w:left="289" w:right="281"/>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O</w:t>
            </w:r>
            <w:r>
              <w:rPr>
                <w:rFonts w:hint="default" w:ascii="Times New Roman" w:hAnsi="Times New Roman" w:eastAsia="宋体" w:cs="Times New Roman"/>
                <w:color w:val="auto"/>
                <w:sz w:val="20"/>
                <w:szCs w:val="20"/>
                <w:highlight w:val="none"/>
                <w:vertAlign w:val="subscript"/>
              </w:rPr>
              <w:t>3</w:t>
            </w:r>
          </w:p>
        </w:tc>
        <w:tc>
          <w:tcPr>
            <w:tcW w:w="1028" w:type="dxa"/>
            <w:tcBorders>
              <w:tl2br w:val="nil"/>
              <w:tr2bl w:val="nil"/>
            </w:tcBorders>
            <w:vAlign w:val="center"/>
          </w:tcPr>
          <w:p w14:paraId="601C017F">
            <w:pPr>
              <w:pStyle w:val="32"/>
              <w:keepNext w:val="0"/>
              <w:keepLines w:val="0"/>
              <w:suppressLineNumbers w:val="0"/>
              <w:shd w:val="clear"/>
              <w:spacing w:before="0" w:beforeAutospacing="0" w:after="0" w:afterAutospacing="0"/>
              <w:ind w:left="142"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气体</w:t>
            </w:r>
          </w:p>
        </w:tc>
        <w:tc>
          <w:tcPr>
            <w:tcW w:w="1871" w:type="dxa"/>
            <w:tcBorders>
              <w:tl2br w:val="nil"/>
              <w:tr2bl w:val="nil"/>
            </w:tcBorders>
            <w:vAlign w:val="center"/>
          </w:tcPr>
          <w:p w14:paraId="54D46A12">
            <w:pPr>
              <w:pStyle w:val="32"/>
              <w:keepNext w:val="0"/>
              <w:keepLines w:val="0"/>
              <w:suppressLineNumbers w:val="0"/>
              <w:shd w:val="clear"/>
              <w:spacing w:before="0" w:beforeAutospacing="0" w:after="0" w:afterAutospacing="0"/>
              <w:ind w:left="10"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w:t>
            </w:r>
          </w:p>
        </w:tc>
        <w:tc>
          <w:tcPr>
            <w:tcW w:w="817" w:type="dxa"/>
            <w:tcBorders>
              <w:tl2br w:val="nil"/>
              <w:tr2bl w:val="nil"/>
            </w:tcBorders>
            <w:vAlign w:val="center"/>
          </w:tcPr>
          <w:p w14:paraId="6528AB4A">
            <w:pPr>
              <w:pStyle w:val="32"/>
              <w:keepNext w:val="0"/>
              <w:keepLines w:val="0"/>
              <w:suppressLineNumbers w:val="0"/>
              <w:shd w:val="clear"/>
              <w:spacing w:before="0" w:beforeAutospacing="0" w:after="0" w:afterAutospacing="0"/>
              <w:ind w:left="8" w:leftChars="0" w:right="0" w:rightChars="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w:t>
            </w:r>
          </w:p>
        </w:tc>
        <w:tc>
          <w:tcPr>
            <w:tcW w:w="1325" w:type="dxa"/>
            <w:tcBorders>
              <w:tl2br w:val="nil"/>
              <w:tr2bl w:val="nil"/>
            </w:tcBorders>
            <w:vAlign w:val="center"/>
          </w:tcPr>
          <w:p w14:paraId="016FA783">
            <w:pPr>
              <w:pStyle w:val="32"/>
              <w:keepNext w:val="0"/>
              <w:keepLines w:val="0"/>
              <w:suppressLineNumbers w:val="0"/>
              <w:shd w:val="clear"/>
              <w:spacing w:before="0" w:beforeAutospacing="0" w:after="0" w:afterAutospacing="0"/>
              <w:ind w:left="109"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极少量</w:t>
            </w:r>
          </w:p>
        </w:tc>
        <w:tc>
          <w:tcPr>
            <w:tcW w:w="1411" w:type="dxa"/>
            <w:tcBorders>
              <w:tl2br w:val="nil"/>
              <w:tr2bl w:val="nil"/>
            </w:tcBorders>
            <w:vAlign w:val="center"/>
          </w:tcPr>
          <w:p w14:paraId="32D2B305">
            <w:pPr>
              <w:pStyle w:val="32"/>
              <w:keepNext w:val="0"/>
              <w:keepLines w:val="0"/>
              <w:suppressLineNumbers w:val="0"/>
              <w:shd w:val="clear"/>
              <w:spacing w:before="0" w:beforeAutospacing="0" w:after="0" w:afterAutospacing="0"/>
              <w:ind w:left="159" w:right="152"/>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极少量</w:t>
            </w:r>
          </w:p>
        </w:tc>
        <w:tc>
          <w:tcPr>
            <w:tcW w:w="2226" w:type="dxa"/>
            <w:tcBorders>
              <w:tl2br w:val="nil"/>
              <w:tr2bl w:val="nil"/>
            </w:tcBorders>
            <w:vAlign w:val="center"/>
          </w:tcPr>
          <w:p w14:paraId="56125A75">
            <w:pPr>
              <w:pStyle w:val="32"/>
              <w:keepNext w:val="0"/>
              <w:keepLines w:val="0"/>
              <w:suppressLineNumbers w:val="0"/>
              <w:shd w:val="clear"/>
              <w:spacing w:before="1" w:beforeAutospacing="0" w:after="0" w:afterAutospacing="0" w:line="321" w:lineRule="auto"/>
              <w:ind w:left="390" w:right="169" w:hanging="209"/>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极低浓度</w:t>
            </w:r>
          </w:p>
        </w:tc>
        <w:tc>
          <w:tcPr>
            <w:tcW w:w="1469" w:type="dxa"/>
            <w:tcBorders>
              <w:tl2br w:val="nil"/>
              <w:tr2bl w:val="nil"/>
            </w:tcBorders>
            <w:vAlign w:val="center"/>
          </w:tcPr>
          <w:p w14:paraId="34A07261">
            <w:pPr>
              <w:pStyle w:val="32"/>
              <w:keepNext w:val="0"/>
              <w:keepLines w:val="0"/>
              <w:suppressLineNumbers w:val="0"/>
              <w:shd w:val="clear"/>
              <w:spacing w:before="0" w:beforeAutospacing="0" w:after="0" w:afterAutospacing="0"/>
              <w:ind w:left="10"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w:t>
            </w:r>
          </w:p>
        </w:tc>
        <w:tc>
          <w:tcPr>
            <w:tcW w:w="2435" w:type="dxa"/>
            <w:tcBorders>
              <w:tl2br w:val="nil"/>
              <w:tr2bl w:val="nil"/>
            </w:tcBorders>
            <w:vAlign w:val="center"/>
          </w:tcPr>
          <w:p w14:paraId="030D5A1D">
            <w:pPr>
              <w:pStyle w:val="32"/>
              <w:keepNext w:val="0"/>
              <w:keepLines w:val="0"/>
              <w:suppressLineNumbers w:val="0"/>
              <w:shd w:val="clear"/>
              <w:spacing w:before="0" w:beforeAutospacing="0" w:after="0" w:afterAutospacing="0" w:line="360" w:lineRule="exact"/>
              <w:ind w:left="107" w:right="112"/>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经大气扩散稀</w:t>
            </w:r>
            <w:r>
              <w:rPr>
                <w:rFonts w:hint="default" w:ascii="Times New Roman" w:hAnsi="Times New Roman" w:eastAsia="宋体" w:cs="Times New Roman"/>
                <w:color w:val="auto"/>
                <w:spacing w:val="-2"/>
                <w:sz w:val="20"/>
                <w:szCs w:val="20"/>
                <w:highlight w:val="none"/>
              </w:rPr>
              <w:t>释</w:t>
            </w:r>
          </w:p>
        </w:tc>
      </w:tr>
      <w:tr w14:paraId="20641B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833" w:type="dxa"/>
            <w:tcBorders>
              <w:tl2br w:val="nil"/>
              <w:tr2bl w:val="nil"/>
            </w:tcBorders>
            <w:vAlign w:val="center"/>
          </w:tcPr>
          <w:p w14:paraId="4A650651">
            <w:pPr>
              <w:pStyle w:val="32"/>
              <w:keepNext w:val="0"/>
              <w:keepLines w:val="0"/>
              <w:suppressLineNumbers w:val="0"/>
              <w:shd w:val="clear"/>
              <w:spacing w:before="0" w:beforeAutospacing="0" w:after="0" w:afterAutospacing="0"/>
              <w:ind w:left="289" w:right="279"/>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NO</w:t>
            </w:r>
            <w:r>
              <w:rPr>
                <w:rFonts w:hint="default" w:ascii="Times New Roman" w:hAnsi="Times New Roman" w:eastAsia="宋体" w:cs="Times New Roman"/>
                <w:color w:val="auto"/>
                <w:sz w:val="20"/>
                <w:szCs w:val="20"/>
                <w:highlight w:val="none"/>
                <w:vertAlign w:val="subscript"/>
              </w:rPr>
              <w:t>X</w:t>
            </w:r>
          </w:p>
        </w:tc>
        <w:tc>
          <w:tcPr>
            <w:tcW w:w="1028" w:type="dxa"/>
            <w:tcBorders>
              <w:tl2br w:val="nil"/>
              <w:tr2bl w:val="nil"/>
            </w:tcBorders>
            <w:vAlign w:val="center"/>
          </w:tcPr>
          <w:p w14:paraId="23112D76">
            <w:pPr>
              <w:pStyle w:val="32"/>
              <w:keepNext w:val="0"/>
              <w:keepLines w:val="0"/>
              <w:suppressLineNumbers w:val="0"/>
              <w:shd w:val="clear"/>
              <w:spacing w:before="0" w:beforeAutospacing="0" w:after="0" w:afterAutospacing="0"/>
              <w:ind w:left="142"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气体</w:t>
            </w:r>
          </w:p>
        </w:tc>
        <w:tc>
          <w:tcPr>
            <w:tcW w:w="1871" w:type="dxa"/>
            <w:tcBorders>
              <w:tl2br w:val="nil"/>
              <w:tr2bl w:val="nil"/>
            </w:tcBorders>
            <w:vAlign w:val="center"/>
          </w:tcPr>
          <w:p w14:paraId="29CFA5C3">
            <w:pPr>
              <w:pStyle w:val="32"/>
              <w:keepNext w:val="0"/>
              <w:keepLines w:val="0"/>
              <w:suppressLineNumbers w:val="0"/>
              <w:shd w:val="clear"/>
              <w:spacing w:before="1" w:beforeAutospacing="0" w:after="0" w:afterAutospacing="0"/>
              <w:ind w:left="10"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w:t>
            </w:r>
          </w:p>
        </w:tc>
        <w:tc>
          <w:tcPr>
            <w:tcW w:w="817" w:type="dxa"/>
            <w:tcBorders>
              <w:tl2br w:val="nil"/>
              <w:tr2bl w:val="nil"/>
            </w:tcBorders>
            <w:vAlign w:val="center"/>
          </w:tcPr>
          <w:p w14:paraId="2D51DACF">
            <w:pPr>
              <w:pStyle w:val="32"/>
              <w:keepNext w:val="0"/>
              <w:keepLines w:val="0"/>
              <w:suppressLineNumbers w:val="0"/>
              <w:shd w:val="clear"/>
              <w:spacing w:before="1" w:beforeAutospacing="0" w:after="0" w:afterAutospacing="0"/>
              <w:ind w:left="8" w:leftChars="0" w:right="0" w:rightChars="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w:t>
            </w:r>
          </w:p>
        </w:tc>
        <w:tc>
          <w:tcPr>
            <w:tcW w:w="1325" w:type="dxa"/>
            <w:tcBorders>
              <w:tl2br w:val="nil"/>
              <w:tr2bl w:val="nil"/>
            </w:tcBorders>
            <w:vAlign w:val="center"/>
          </w:tcPr>
          <w:p w14:paraId="4828BA1E">
            <w:pPr>
              <w:pStyle w:val="32"/>
              <w:keepNext w:val="0"/>
              <w:keepLines w:val="0"/>
              <w:suppressLineNumbers w:val="0"/>
              <w:shd w:val="clear"/>
              <w:spacing w:before="0" w:beforeAutospacing="0" w:after="0" w:afterAutospacing="0"/>
              <w:ind w:left="109"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极少量</w:t>
            </w:r>
          </w:p>
        </w:tc>
        <w:tc>
          <w:tcPr>
            <w:tcW w:w="1411" w:type="dxa"/>
            <w:tcBorders>
              <w:tl2br w:val="nil"/>
              <w:tr2bl w:val="nil"/>
            </w:tcBorders>
            <w:vAlign w:val="center"/>
          </w:tcPr>
          <w:p w14:paraId="2BD19A05">
            <w:pPr>
              <w:pStyle w:val="32"/>
              <w:keepNext w:val="0"/>
              <w:keepLines w:val="0"/>
              <w:suppressLineNumbers w:val="0"/>
              <w:shd w:val="clear"/>
              <w:spacing w:before="0" w:beforeAutospacing="0" w:after="0" w:afterAutospacing="0"/>
              <w:ind w:left="159" w:right="152"/>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极少量</w:t>
            </w:r>
          </w:p>
        </w:tc>
        <w:tc>
          <w:tcPr>
            <w:tcW w:w="2226" w:type="dxa"/>
            <w:tcBorders>
              <w:tl2br w:val="nil"/>
              <w:tr2bl w:val="nil"/>
            </w:tcBorders>
            <w:vAlign w:val="center"/>
          </w:tcPr>
          <w:p w14:paraId="49716E70">
            <w:pPr>
              <w:pStyle w:val="32"/>
              <w:keepNext w:val="0"/>
              <w:keepLines w:val="0"/>
              <w:suppressLineNumbers w:val="0"/>
              <w:shd w:val="clear"/>
              <w:spacing w:before="0" w:beforeAutospacing="0" w:after="0" w:afterAutospacing="0" w:line="321" w:lineRule="auto"/>
              <w:ind w:left="390" w:right="169" w:hanging="209"/>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极低浓度</w:t>
            </w:r>
          </w:p>
        </w:tc>
        <w:tc>
          <w:tcPr>
            <w:tcW w:w="1469" w:type="dxa"/>
            <w:tcBorders>
              <w:tl2br w:val="nil"/>
              <w:tr2bl w:val="nil"/>
            </w:tcBorders>
            <w:vAlign w:val="center"/>
          </w:tcPr>
          <w:p w14:paraId="4C982E10">
            <w:pPr>
              <w:pStyle w:val="32"/>
              <w:keepNext w:val="0"/>
              <w:keepLines w:val="0"/>
              <w:suppressLineNumbers w:val="0"/>
              <w:shd w:val="clear"/>
              <w:spacing w:before="1" w:beforeAutospacing="0" w:after="0" w:afterAutospacing="0"/>
              <w:ind w:left="10"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w:t>
            </w:r>
          </w:p>
        </w:tc>
        <w:tc>
          <w:tcPr>
            <w:tcW w:w="2435" w:type="dxa"/>
            <w:tcBorders>
              <w:tl2br w:val="nil"/>
              <w:tr2bl w:val="nil"/>
            </w:tcBorders>
            <w:vAlign w:val="center"/>
          </w:tcPr>
          <w:p w14:paraId="7C5BF43E">
            <w:pPr>
              <w:pStyle w:val="32"/>
              <w:keepNext w:val="0"/>
              <w:keepLines w:val="0"/>
              <w:suppressLineNumbers w:val="0"/>
              <w:shd w:val="clear"/>
              <w:spacing w:before="0" w:beforeAutospacing="0" w:after="0" w:afterAutospacing="0" w:line="360" w:lineRule="exact"/>
              <w:ind w:left="107" w:right="112"/>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经大气扩散稀</w:t>
            </w:r>
            <w:r>
              <w:rPr>
                <w:rFonts w:hint="default" w:ascii="Times New Roman" w:hAnsi="Times New Roman" w:eastAsia="宋体" w:cs="Times New Roman"/>
                <w:color w:val="auto"/>
                <w:spacing w:val="-2"/>
                <w:sz w:val="20"/>
                <w:szCs w:val="20"/>
                <w:highlight w:val="none"/>
              </w:rPr>
              <w:t>释</w:t>
            </w:r>
          </w:p>
        </w:tc>
      </w:tr>
      <w:tr w14:paraId="18454A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1833" w:type="dxa"/>
            <w:tcBorders>
              <w:tl2br w:val="nil"/>
              <w:tr2bl w:val="nil"/>
            </w:tcBorders>
            <w:vAlign w:val="center"/>
          </w:tcPr>
          <w:p w14:paraId="31EDB4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含有放射性核素的注射器、刀片、手套、擦拭废纸、废弃活性炭</w:t>
            </w:r>
          </w:p>
        </w:tc>
        <w:tc>
          <w:tcPr>
            <w:tcW w:w="1028" w:type="dxa"/>
            <w:tcBorders>
              <w:tl2br w:val="nil"/>
              <w:tr2bl w:val="nil"/>
            </w:tcBorders>
            <w:vAlign w:val="center"/>
          </w:tcPr>
          <w:p w14:paraId="4E5FCC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固态</w:t>
            </w:r>
          </w:p>
        </w:tc>
        <w:tc>
          <w:tcPr>
            <w:tcW w:w="1871" w:type="dxa"/>
            <w:tcBorders>
              <w:tl2br w:val="nil"/>
              <w:tr2bl w:val="nil"/>
            </w:tcBorders>
            <w:vAlign w:val="center"/>
          </w:tcPr>
          <w:p w14:paraId="7F50E4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F-18、Ga-68、C-11、N-13、Mo-99、Tc-99m、I-131、</w:t>
            </w:r>
            <w:r>
              <w:rPr>
                <w:rFonts w:hint="default" w:ascii="Times New Roman" w:hAnsi="Times New Roman" w:eastAsia="宋体" w:cs="Times New Roman"/>
                <w:i w:val="0"/>
                <w:iCs w:val="0"/>
                <w:color w:val="auto"/>
                <w:kern w:val="0"/>
                <w:sz w:val="20"/>
                <w:szCs w:val="20"/>
                <w:highlight w:val="none"/>
                <w:u w:val="none"/>
                <w:vertAlign w:val="baseline"/>
                <w:lang w:val="en-US" w:eastAsia="zh-CN" w:bidi="ar"/>
              </w:rPr>
              <w:t>Lu-177</w:t>
            </w:r>
            <w:r>
              <w:rPr>
                <w:rFonts w:hint="default" w:ascii="Times New Roman" w:hAnsi="Times New Roman" w:eastAsia="宋体" w:cs="Times New Roman"/>
                <w:i w:val="0"/>
                <w:iCs w:val="0"/>
                <w:color w:val="auto"/>
                <w:kern w:val="0"/>
                <w:sz w:val="20"/>
                <w:szCs w:val="20"/>
                <w:highlight w:val="none"/>
                <w:u w:val="none"/>
                <w:lang w:val="en-US" w:eastAsia="zh-CN" w:bidi="ar"/>
              </w:rPr>
              <w:t>、Ra-223、Ac-225、Y-90</w:t>
            </w:r>
          </w:p>
        </w:tc>
        <w:tc>
          <w:tcPr>
            <w:tcW w:w="817" w:type="dxa"/>
            <w:tcBorders>
              <w:tl2br w:val="nil"/>
              <w:tr2bl w:val="nil"/>
            </w:tcBorders>
            <w:vAlign w:val="center"/>
          </w:tcPr>
          <w:p w14:paraId="447F58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w:t>
            </w:r>
          </w:p>
        </w:tc>
        <w:tc>
          <w:tcPr>
            <w:tcW w:w="1325" w:type="dxa"/>
            <w:tcBorders>
              <w:tl2br w:val="nil"/>
              <w:tr2bl w:val="nil"/>
            </w:tcBorders>
            <w:shd w:val="clear" w:color="auto" w:fill="auto"/>
            <w:vAlign w:val="center"/>
          </w:tcPr>
          <w:p w14:paraId="487CFB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662.54</w:t>
            </w:r>
          </w:p>
        </w:tc>
        <w:tc>
          <w:tcPr>
            <w:tcW w:w="1411" w:type="dxa"/>
            <w:tcBorders>
              <w:tl2br w:val="nil"/>
              <w:tr2bl w:val="nil"/>
            </w:tcBorders>
            <w:shd w:val="clear" w:color="auto" w:fill="auto"/>
            <w:vAlign w:val="center"/>
          </w:tcPr>
          <w:p w14:paraId="027BB22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79</w:t>
            </w:r>
            <w:r>
              <w:rPr>
                <w:rFonts w:hint="eastAsia" w:cs="Times New Roman"/>
                <w:i w:val="0"/>
                <w:iCs w:val="0"/>
                <w:color w:val="auto"/>
                <w:kern w:val="0"/>
                <w:sz w:val="20"/>
                <w:szCs w:val="20"/>
                <w:highlight w:val="none"/>
                <w:u w:val="none"/>
                <w:lang w:val="en-US" w:eastAsia="zh-CN" w:bidi="ar"/>
              </w:rPr>
              <w:t>50</w:t>
            </w: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2226" w:type="dxa"/>
            <w:tcBorders>
              <w:tl2br w:val="nil"/>
              <w:tr2bl w:val="nil"/>
            </w:tcBorders>
            <w:vAlign w:val="center"/>
          </w:tcPr>
          <w:p w14:paraId="22C0E39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辐射剂量率满足所处环境本底水平，α表面污染小于0.08Bq/cm</w:t>
            </w:r>
            <w:r>
              <w:rPr>
                <w:rFonts w:hint="default" w:ascii="Times New Roman" w:hAnsi="Times New Roman" w:eastAsia="宋体" w:cs="Times New Roman"/>
                <w:i w:val="0"/>
                <w:iCs w:val="0"/>
                <w:color w:val="auto"/>
                <w:kern w:val="0"/>
                <w:sz w:val="20"/>
                <w:szCs w:val="20"/>
                <w:highlight w:val="none"/>
                <w:u w:val="none"/>
                <w:vertAlign w:val="superscript"/>
                <w:lang w:val="en-US" w:eastAsia="zh-CN" w:bidi="ar"/>
              </w:rPr>
              <w:t>2</w:t>
            </w:r>
            <w:r>
              <w:rPr>
                <w:rFonts w:hint="default" w:ascii="Times New Roman" w:hAnsi="Times New Roman" w:eastAsia="宋体" w:cs="Times New Roman"/>
                <w:i w:val="0"/>
                <w:iCs w:val="0"/>
                <w:color w:val="auto"/>
                <w:kern w:val="0"/>
                <w:sz w:val="20"/>
                <w:szCs w:val="20"/>
                <w:highlight w:val="none"/>
                <w:u w:val="none"/>
                <w:lang w:val="en-US" w:eastAsia="zh-CN" w:bidi="ar"/>
              </w:rPr>
              <w:t>，β 表面污染小于0.8Bq/cm</w:t>
            </w:r>
            <w:r>
              <w:rPr>
                <w:rFonts w:hint="default" w:ascii="Times New Roman" w:hAnsi="Times New Roman" w:eastAsia="宋体" w:cs="Times New Roman"/>
                <w:i w:val="0"/>
                <w:iCs w:val="0"/>
                <w:color w:val="auto"/>
                <w:kern w:val="0"/>
                <w:sz w:val="20"/>
                <w:szCs w:val="20"/>
                <w:highlight w:val="none"/>
                <w:u w:val="none"/>
                <w:vertAlign w:val="superscript"/>
                <w:lang w:val="en-US" w:eastAsia="zh-CN" w:bidi="ar"/>
              </w:rPr>
              <w:t>2</w:t>
            </w:r>
          </w:p>
        </w:tc>
        <w:tc>
          <w:tcPr>
            <w:tcW w:w="1469" w:type="dxa"/>
            <w:tcBorders>
              <w:tl2br w:val="nil"/>
              <w:tr2bl w:val="nil"/>
            </w:tcBorders>
            <w:vAlign w:val="center"/>
          </w:tcPr>
          <w:p w14:paraId="344F1B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暂存于放射性废物暂存间</w:t>
            </w:r>
          </w:p>
        </w:tc>
        <w:tc>
          <w:tcPr>
            <w:tcW w:w="2435" w:type="dxa"/>
            <w:tcBorders>
              <w:tl2br w:val="nil"/>
              <w:tr2bl w:val="nil"/>
            </w:tcBorders>
            <w:vAlign w:val="center"/>
          </w:tcPr>
          <w:p w14:paraId="1E8911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衰变后经检测达标，按医疗废物处理</w:t>
            </w:r>
          </w:p>
        </w:tc>
      </w:tr>
      <w:tr w14:paraId="4E6C80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1833" w:type="dxa"/>
            <w:tcBorders>
              <w:tl2br w:val="nil"/>
              <w:tr2bl w:val="nil"/>
            </w:tcBorders>
            <w:shd w:val="clear" w:color="auto" w:fill="auto"/>
            <w:vAlign w:val="center"/>
          </w:tcPr>
          <w:p w14:paraId="7298CD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放射性废气</w:t>
            </w:r>
          </w:p>
        </w:tc>
        <w:tc>
          <w:tcPr>
            <w:tcW w:w="1028" w:type="dxa"/>
            <w:tcBorders>
              <w:tl2br w:val="nil"/>
              <w:tr2bl w:val="nil"/>
            </w:tcBorders>
            <w:shd w:val="clear" w:color="auto" w:fill="auto"/>
            <w:vAlign w:val="center"/>
          </w:tcPr>
          <w:p w14:paraId="055A63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气态</w:t>
            </w:r>
          </w:p>
        </w:tc>
        <w:tc>
          <w:tcPr>
            <w:tcW w:w="1871" w:type="dxa"/>
            <w:tcBorders>
              <w:tl2br w:val="nil"/>
              <w:tr2bl w:val="nil"/>
            </w:tcBorders>
            <w:shd w:val="clear" w:color="auto" w:fill="auto"/>
            <w:vAlign w:val="center"/>
          </w:tcPr>
          <w:p w14:paraId="00FFCB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F-18、Ga-68、C-11、N-13、Mo-99、Tc-99m、I-131、</w:t>
            </w:r>
            <w:r>
              <w:rPr>
                <w:rFonts w:hint="default" w:ascii="Times New Roman" w:hAnsi="Times New Roman" w:eastAsia="宋体" w:cs="Times New Roman"/>
                <w:i w:val="0"/>
                <w:iCs w:val="0"/>
                <w:color w:val="auto"/>
                <w:kern w:val="0"/>
                <w:sz w:val="20"/>
                <w:szCs w:val="20"/>
                <w:highlight w:val="none"/>
                <w:u w:val="none"/>
                <w:vertAlign w:val="baseline"/>
                <w:lang w:val="en-US" w:eastAsia="zh-CN" w:bidi="ar"/>
              </w:rPr>
              <w:t>Lu-177</w:t>
            </w:r>
            <w:r>
              <w:rPr>
                <w:rFonts w:hint="default" w:ascii="Times New Roman" w:hAnsi="Times New Roman" w:eastAsia="宋体" w:cs="Times New Roman"/>
                <w:i w:val="0"/>
                <w:iCs w:val="0"/>
                <w:color w:val="auto"/>
                <w:kern w:val="0"/>
                <w:sz w:val="20"/>
                <w:szCs w:val="20"/>
                <w:highlight w:val="none"/>
                <w:u w:val="none"/>
                <w:lang w:val="en-US" w:eastAsia="zh-CN" w:bidi="ar"/>
              </w:rPr>
              <w:t>、Ra-223、Ac-225、Y-90</w:t>
            </w:r>
          </w:p>
        </w:tc>
        <w:tc>
          <w:tcPr>
            <w:tcW w:w="817" w:type="dxa"/>
            <w:tcBorders>
              <w:tl2br w:val="nil"/>
              <w:tr2bl w:val="nil"/>
            </w:tcBorders>
            <w:shd w:val="clear" w:color="auto" w:fill="auto"/>
            <w:vAlign w:val="center"/>
          </w:tcPr>
          <w:p w14:paraId="6D9022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w:t>
            </w:r>
          </w:p>
        </w:tc>
        <w:tc>
          <w:tcPr>
            <w:tcW w:w="1325" w:type="dxa"/>
            <w:tcBorders>
              <w:tl2br w:val="nil"/>
              <w:tr2bl w:val="nil"/>
            </w:tcBorders>
            <w:shd w:val="clear" w:color="auto" w:fill="auto"/>
            <w:vAlign w:val="center"/>
          </w:tcPr>
          <w:p w14:paraId="65F1A3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w:t>
            </w:r>
          </w:p>
        </w:tc>
        <w:tc>
          <w:tcPr>
            <w:tcW w:w="1411" w:type="dxa"/>
            <w:tcBorders>
              <w:tl2br w:val="nil"/>
              <w:tr2bl w:val="nil"/>
            </w:tcBorders>
            <w:shd w:val="clear" w:color="auto" w:fill="auto"/>
            <w:vAlign w:val="center"/>
          </w:tcPr>
          <w:p w14:paraId="31D6C9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w:t>
            </w:r>
          </w:p>
        </w:tc>
        <w:tc>
          <w:tcPr>
            <w:tcW w:w="2226" w:type="dxa"/>
            <w:tcBorders>
              <w:tl2br w:val="nil"/>
              <w:tr2bl w:val="nil"/>
            </w:tcBorders>
            <w:shd w:val="clear" w:color="auto" w:fill="auto"/>
            <w:vAlign w:val="center"/>
          </w:tcPr>
          <w:p w14:paraId="28DC18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α表面污染小于0.08Bq/cm</w:t>
            </w:r>
            <w:r>
              <w:rPr>
                <w:rFonts w:hint="default" w:ascii="Times New Roman" w:hAnsi="Times New Roman" w:eastAsia="宋体" w:cs="Times New Roman"/>
                <w:i w:val="0"/>
                <w:iCs w:val="0"/>
                <w:color w:val="auto"/>
                <w:kern w:val="0"/>
                <w:sz w:val="20"/>
                <w:szCs w:val="20"/>
                <w:highlight w:val="none"/>
                <w:u w:val="none"/>
                <w:vertAlign w:val="superscript"/>
                <w:lang w:val="en-US" w:eastAsia="zh-CN" w:bidi="ar"/>
              </w:rPr>
              <w:t>2</w:t>
            </w:r>
            <w:r>
              <w:rPr>
                <w:rFonts w:hint="default" w:ascii="Times New Roman" w:hAnsi="Times New Roman" w:eastAsia="宋体" w:cs="Times New Roman"/>
                <w:i w:val="0"/>
                <w:iCs w:val="0"/>
                <w:color w:val="auto"/>
                <w:kern w:val="0"/>
                <w:sz w:val="20"/>
                <w:szCs w:val="20"/>
                <w:highlight w:val="none"/>
                <w:u w:val="none"/>
                <w:lang w:val="en-US" w:eastAsia="zh-CN" w:bidi="ar"/>
              </w:rPr>
              <w:t>、β表面污染小于0.8Bq/cm</w:t>
            </w:r>
            <w:r>
              <w:rPr>
                <w:rFonts w:hint="default" w:ascii="Times New Roman" w:hAnsi="Times New Roman" w:eastAsia="宋体" w:cs="Times New Roman"/>
                <w:i w:val="0"/>
                <w:iCs w:val="0"/>
                <w:color w:val="auto"/>
                <w:kern w:val="0"/>
                <w:sz w:val="20"/>
                <w:szCs w:val="20"/>
                <w:highlight w:val="none"/>
                <w:u w:val="none"/>
                <w:vertAlign w:val="superscript"/>
                <w:lang w:val="en-US" w:eastAsia="zh-CN" w:bidi="ar"/>
              </w:rPr>
              <w:t>2</w:t>
            </w:r>
          </w:p>
        </w:tc>
        <w:tc>
          <w:tcPr>
            <w:tcW w:w="1469" w:type="dxa"/>
            <w:tcBorders>
              <w:tl2br w:val="nil"/>
              <w:tr2bl w:val="nil"/>
            </w:tcBorders>
            <w:shd w:val="clear" w:color="auto" w:fill="auto"/>
            <w:vAlign w:val="center"/>
          </w:tcPr>
          <w:p w14:paraId="4F96FD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w:t>
            </w:r>
          </w:p>
        </w:tc>
        <w:tc>
          <w:tcPr>
            <w:tcW w:w="2435" w:type="dxa"/>
            <w:tcBorders>
              <w:tl2br w:val="nil"/>
              <w:tr2bl w:val="nil"/>
            </w:tcBorders>
            <w:shd w:val="clear" w:color="auto" w:fill="auto"/>
            <w:vAlign w:val="center"/>
          </w:tcPr>
          <w:p w14:paraId="687AA3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经活性炭吸附，排至大气扩散稀释</w:t>
            </w:r>
          </w:p>
        </w:tc>
      </w:tr>
      <w:tr w14:paraId="059FDF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1833" w:type="dxa"/>
            <w:tcBorders>
              <w:tl2br w:val="nil"/>
              <w:tr2bl w:val="nil"/>
            </w:tcBorders>
            <w:shd w:val="clear" w:color="auto" w:fill="auto"/>
            <w:vAlign w:val="center"/>
          </w:tcPr>
          <w:p w14:paraId="628DF8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含有放射性核素的冲洗废水等</w:t>
            </w:r>
          </w:p>
        </w:tc>
        <w:tc>
          <w:tcPr>
            <w:tcW w:w="1028" w:type="dxa"/>
            <w:tcBorders>
              <w:tl2br w:val="nil"/>
              <w:tr2bl w:val="nil"/>
            </w:tcBorders>
            <w:shd w:val="clear" w:color="auto" w:fill="auto"/>
            <w:vAlign w:val="center"/>
          </w:tcPr>
          <w:p w14:paraId="6F5364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液态</w:t>
            </w:r>
          </w:p>
        </w:tc>
        <w:tc>
          <w:tcPr>
            <w:tcW w:w="1871" w:type="dxa"/>
            <w:tcBorders>
              <w:tl2br w:val="nil"/>
              <w:tr2bl w:val="nil"/>
            </w:tcBorders>
            <w:shd w:val="clear" w:color="auto" w:fill="auto"/>
            <w:vAlign w:val="center"/>
          </w:tcPr>
          <w:p w14:paraId="4FCB55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F-18、Ga-68、C-11、N-13、Mo-99、Tc-99m、I-131、</w:t>
            </w:r>
            <w:r>
              <w:rPr>
                <w:rFonts w:hint="default" w:ascii="Times New Roman" w:hAnsi="Times New Roman" w:eastAsia="宋体" w:cs="Times New Roman"/>
                <w:i w:val="0"/>
                <w:iCs w:val="0"/>
                <w:color w:val="auto"/>
                <w:kern w:val="0"/>
                <w:sz w:val="20"/>
                <w:szCs w:val="20"/>
                <w:highlight w:val="none"/>
                <w:u w:val="none"/>
                <w:vertAlign w:val="baseline"/>
                <w:lang w:val="en-US" w:eastAsia="zh-CN" w:bidi="ar"/>
              </w:rPr>
              <w:t>Lu-177</w:t>
            </w:r>
            <w:r>
              <w:rPr>
                <w:rFonts w:hint="default" w:ascii="Times New Roman" w:hAnsi="Times New Roman" w:eastAsia="宋体" w:cs="Times New Roman"/>
                <w:i w:val="0"/>
                <w:iCs w:val="0"/>
                <w:color w:val="auto"/>
                <w:kern w:val="0"/>
                <w:sz w:val="20"/>
                <w:szCs w:val="20"/>
                <w:highlight w:val="none"/>
                <w:u w:val="none"/>
                <w:lang w:val="en-US" w:eastAsia="zh-CN" w:bidi="ar"/>
              </w:rPr>
              <w:t>、Ra-223、Ac-225、Y-90</w:t>
            </w:r>
          </w:p>
        </w:tc>
        <w:tc>
          <w:tcPr>
            <w:tcW w:w="817" w:type="dxa"/>
            <w:tcBorders>
              <w:tl2br w:val="nil"/>
              <w:tr2bl w:val="nil"/>
            </w:tcBorders>
            <w:shd w:val="clear" w:color="auto" w:fill="auto"/>
            <w:vAlign w:val="center"/>
          </w:tcPr>
          <w:p w14:paraId="3E3150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w:t>
            </w:r>
          </w:p>
        </w:tc>
        <w:tc>
          <w:tcPr>
            <w:tcW w:w="1325" w:type="dxa"/>
            <w:tcBorders>
              <w:tl2br w:val="nil"/>
              <w:tr2bl w:val="nil"/>
            </w:tcBorders>
            <w:shd w:val="clear" w:color="auto" w:fill="auto"/>
            <w:vAlign w:val="center"/>
          </w:tcPr>
          <w:p w14:paraId="1FDD5D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 xml:space="preserve">167.19 </w:t>
            </w:r>
          </w:p>
        </w:tc>
        <w:tc>
          <w:tcPr>
            <w:tcW w:w="1411" w:type="dxa"/>
            <w:tcBorders>
              <w:tl2br w:val="nil"/>
              <w:tr2bl w:val="nil"/>
            </w:tcBorders>
            <w:shd w:val="clear" w:color="auto" w:fill="auto"/>
            <w:vAlign w:val="center"/>
          </w:tcPr>
          <w:p w14:paraId="449D1A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2006.32</w:t>
            </w:r>
          </w:p>
        </w:tc>
        <w:tc>
          <w:tcPr>
            <w:tcW w:w="2226" w:type="dxa"/>
            <w:tcBorders>
              <w:tl2br w:val="nil"/>
              <w:tr2bl w:val="nil"/>
            </w:tcBorders>
            <w:shd w:val="clear" w:color="auto" w:fill="auto"/>
            <w:vAlign w:val="center"/>
          </w:tcPr>
          <w:p w14:paraId="762F03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放射性废液总排放口总</w:t>
            </w:r>
          </w:p>
          <w:p w14:paraId="6E01A84C">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α不大于1Bq/L、总β不大于10Bq/L</w:t>
            </w:r>
          </w:p>
        </w:tc>
        <w:tc>
          <w:tcPr>
            <w:tcW w:w="1469" w:type="dxa"/>
            <w:tcBorders>
              <w:tl2br w:val="nil"/>
              <w:tr2bl w:val="nil"/>
            </w:tcBorders>
            <w:shd w:val="clear" w:color="auto" w:fill="auto"/>
            <w:vAlign w:val="center"/>
          </w:tcPr>
          <w:p w14:paraId="7A0BF33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衰变池</w:t>
            </w:r>
          </w:p>
        </w:tc>
        <w:tc>
          <w:tcPr>
            <w:tcW w:w="2435" w:type="dxa"/>
            <w:tcBorders>
              <w:tl2br w:val="nil"/>
              <w:tr2bl w:val="nil"/>
            </w:tcBorders>
            <w:shd w:val="clear" w:color="auto" w:fill="auto"/>
            <w:vAlign w:val="center"/>
          </w:tcPr>
          <w:p w14:paraId="4AF6362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达到衰变周期后，排入医院污水处理站</w:t>
            </w:r>
          </w:p>
        </w:tc>
      </w:tr>
    </w:tbl>
    <w:p w14:paraId="26721F6F">
      <w:pPr>
        <w:shd w:val="clear"/>
        <w:spacing w:beforeLines="50" w:line="240" w:lineRule="auto"/>
        <w:ind w:firstLine="360" w:firstLineChars="200"/>
        <w:rPr>
          <w:rFonts w:hint="default" w:ascii="Times New Roman" w:hAnsi="Times New Roman" w:eastAsia="宋体" w:cs="Times New Roman"/>
          <w:color w:val="auto"/>
          <w:sz w:val="18"/>
          <w:szCs w:val="20"/>
          <w:highlight w:val="none"/>
        </w:rPr>
      </w:pPr>
      <w:r>
        <w:rPr>
          <w:rFonts w:hint="default" w:ascii="Times New Roman" w:hAnsi="Times New Roman" w:eastAsia="宋体" w:cs="Times New Roman"/>
          <w:color w:val="auto"/>
          <w:sz w:val="18"/>
          <w:szCs w:val="20"/>
          <w:highlight w:val="none"/>
        </w:rPr>
        <w:t>注：1</w:t>
      </w:r>
      <w:r>
        <w:rPr>
          <w:rFonts w:hint="default" w:ascii="Times New Roman" w:hAnsi="Times New Roman" w:eastAsia="宋体" w:cs="Times New Roman"/>
          <w:color w:val="auto"/>
          <w:spacing w:val="-4"/>
          <w:sz w:val="18"/>
          <w:szCs w:val="20"/>
          <w:highlight w:val="none"/>
        </w:rPr>
        <w:t>、常见废弃物排放浓度，对于液态单位为</w:t>
      </w:r>
      <w:r>
        <w:rPr>
          <w:rFonts w:hint="default" w:ascii="Times New Roman" w:hAnsi="Times New Roman" w:eastAsia="宋体" w:cs="Times New Roman"/>
          <w:color w:val="auto"/>
          <w:sz w:val="18"/>
          <w:szCs w:val="20"/>
          <w:highlight w:val="none"/>
        </w:rPr>
        <w:t>mg/L</w:t>
      </w:r>
      <w:r>
        <w:rPr>
          <w:rFonts w:hint="default" w:ascii="Times New Roman" w:hAnsi="Times New Roman" w:eastAsia="宋体" w:cs="Times New Roman"/>
          <w:color w:val="auto"/>
          <w:spacing w:val="-12"/>
          <w:sz w:val="18"/>
          <w:szCs w:val="20"/>
          <w:highlight w:val="none"/>
        </w:rPr>
        <w:t>，固体为</w:t>
      </w:r>
      <w:r>
        <w:rPr>
          <w:rFonts w:hint="default" w:ascii="Times New Roman" w:hAnsi="Times New Roman" w:eastAsia="宋体" w:cs="Times New Roman"/>
          <w:color w:val="auto"/>
          <w:sz w:val="18"/>
          <w:szCs w:val="20"/>
          <w:highlight w:val="none"/>
        </w:rPr>
        <w:t>mg/m</w:t>
      </w:r>
      <w:r>
        <w:rPr>
          <w:rFonts w:hint="default" w:ascii="Times New Roman" w:hAnsi="Times New Roman" w:eastAsia="宋体" w:cs="Times New Roman"/>
          <w:color w:val="auto"/>
          <w:sz w:val="18"/>
          <w:szCs w:val="20"/>
          <w:highlight w:val="none"/>
          <w:vertAlign w:val="superscript"/>
        </w:rPr>
        <w:t>3</w:t>
      </w:r>
      <w:r>
        <w:rPr>
          <w:rFonts w:hint="default" w:ascii="Times New Roman" w:hAnsi="Times New Roman" w:eastAsia="宋体" w:cs="Times New Roman"/>
          <w:color w:val="auto"/>
          <w:spacing w:val="-12"/>
          <w:sz w:val="18"/>
          <w:szCs w:val="20"/>
          <w:highlight w:val="none"/>
        </w:rPr>
        <w:t>，气态为</w:t>
      </w:r>
      <w:r>
        <w:rPr>
          <w:rFonts w:hint="default" w:ascii="Times New Roman" w:hAnsi="Times New Roman" w:eastAsia="宋体" w:cs="Times New Roman"/>
          <w:color w:val="auto"/>
          <w:sz w:val="18"/>
          <w:szCs w:val="20"/>
          <w:highlight w:val="none"/>
        </w:rPr>
        <w:t>mg/m</w:t>
      </w:r>
      <w:r>
        <w:rPr>
          <w:rFonts w:hint="default" w:ascii="Times New Roman" w:hAnsi="Times New Roman" w:eastAsia="宋体" w:cs="Times New Roman"/>
          <w:color w:val="auto"/>
          <w:sz w:val="18"/>
          <w:szCs w:val="20"/>
          <w:highlight w:val="none"/>
          <w:vertAlign w:val="superscript"/>
        </w:rPr>
        <w:t>3</w:t>
      </w:r>
      <w:r>
        <w:rPr>
          <w:rFonts w:hint="default" w:ascii="Times New Roman" w:hAnsi="Times New Roman" w:eastAsia="宋体" w:cs="Times New Roman"/>
          <w:color w:val="auto"/>
          <w:sz w:val="18"/>
          <w:szCs w:val="20"/>
          <w:highlight w:val="none"/>
        </w:rPr>
        <w:t>；</w:t>
      </w:r>
      <w:r>
        <w:rPr>
          <w:rFonts w:hint="default" w:ascii="Times New Roman" w:hAnsi="Times New Roman" w:eastAsia="宋体" w:cs="Times New Roman"/>
          <w:color w:val="auto"/>
          <w:spacing w:val="-8"/>
          <w:sz w:val="18"/>
          <w:szCs w:val="20"/>
          <w:highlight w:val="none"/>
        </w:rPr>
        <w:t>年排放总量用</w:t>
      </w:r>
      <w:r>
        <w:rPr>
          <w:rFonts w:hint="default" w:ascii="Times New Roman" w:hAnsi="Times New Roman" w:eastAsia="宋体" w:cs="Times New Roman"/>
          <w:color w:val="auto"/>
          <w:sz w:val="18"/>
          <w:szCs w:val="20"/>
          <w:highlight w:val="none"/>
        </w:rPr>
        <w:t>kg；</w:t>
      </w:r>
    </w:p>
    <w:p w14:paraId="13E85EC5">
      <w:pPr>
        <w:numPr>
          <w:ilvl w:val="0"/>
          <w:numId w:val="2"/>
        </w:numPr>
        <w:shd w:val="clear"/>
        <w:spacing w:line="240" w:lineRule="auto"/>
        <w:ind w:firstLine="696" w:firstLineChars="400"/>
        <w:rPr>
          <w:rFonts w:hint="default" w:ascii="Times New Roman" w:hAnsi="Times New Roman" w:eastAsia="宋体" w:cs="Times New Roman"/>
          <w:color w:val="auto"/>
          <w:w w:val="99"/>
          <w:sz w:val="20"/>
          <w:szCs w:val="21"/>
          <w:highlight w:val="none"/>
        </w:rPr>
      </w:pPr>
      <w:r>
        <w:rPr>
          <w:rFonts w:hint="default" w:ascii="Times New Roman" w:hAnsi="Times New Roman" w:eastAsia="宋体" w:cs="Times New Roman"/>
          <w:color w:val="auto"/>
          <w:spacing w:val="-3"/>
          <w:sz w:val="18"/>
          <w:szCs w:val="20"/>
          <w:highlight w:val="none"/>
        </w:rPr>
        <w:t>含有放射性的废弃物要标明其排放浓度、年排放总量，单位分别为</w:t>
      </w:r>
      <w:r>
        <w:rPr>
          <w:rFonts w:hint="default" w:ascii="Times New Roman" w:hAnsi="Times New Roman" w:eastAsia="宋体" w:cs="Times New Roman"/>
          <w:color w:val="auto"/>
          <w:sz w:val="18"/>
          <w:szCs w:val="20"/>
          <w:highlight w:val="none"/>
        </w:rPr>
        <w:t>Bq/L（kg、m</w:t>
      </w:r>
      <w:r>
        <w:rPr>
          <w:rFonts w:hint="default" w:ascii="Times New Roman" w:hAnsi="Times New Roman" w:eastAsia="宋体" w:cs="Times New Roman"/>
          <w:color w:val="auto"/>
          <w:sz w:val="18"/>
          <w:szCs w:val="20"/>
          <w:highlight w:val="none"/>
          <w:vertAlign w:val="superscript"/>
        </w:rPr>
        <w:t>3</w:t>
      </w:r>
      <w:r>
        <w:rPr>
          <w:rFonts w:hint="default" w:ascii="Times New Roman" w:hAnsi="Times New Roman" w:eastAsia="宋体" w:cs="Times New Roman"/>
          <w:color w:val="auto"/>
          <w:sz w:val="18"/>
          <w:szCs w:val="20"/>
          <w:highlight w:val="none"/>
        </w:rPr>
        <w:t>）</w:t>
      </w:r>
      <w:r>
        <w:rPr>
          <w:rFonts w:hint="default" w:ascii="Times New Roman" w:hAnsi="Times New Roman" w:eastAsia="宋体" w:cs="Times New Roman"/>
          <w:color w:val="auto"/>
          <w:spacing w:val="-1"/>
          <w:w w:val="99"/>
          <w:sz w:val="18"/>
          <w:szCs w:val="20"/>
          <w:highlight w:val="none"/>
        </w:rPr>
        <w:t>和活度</w:t>
      </w:r>
      <w:r>
        <w:rPr>
          <w:rFonts w:hint="default" w:ascii="Times New Roman" w:hAnsi="Times New Roman" w:eastAsia="宋体" w:cs="Times New Roman"/>
          <w:color w:val="auto"/>
          <w:spacing w:val="2"/>
          <w:w w:val="99"/>
          <w:sz w:val="18"/>
          <w:szCs w:val="20"/>
          <w:highlight w:val="none"/>
        </w:rPr>
        <w:t>（</w:t>
      </w:r>
      <w:r>
        <w:rPr>
          <w:rFonts w:hint="default" w:ascii="Times New Roman" w:hAnsi="Times New Roman" w:eastAsia="宋体" w:cs="Times New Roman"/>
          <w:color w:val="auto"/>
          <w:spacing w:val="-1"/>
          <w:w w:val="99"/>
          <w:sz w:val="18"/>
          <w:szCs w:val="20"/>
          <w:highlight w:val="none"/>
        </w:rPr>
        <w:t>B</w:t>
      </w:r>
      <w:r>
        <w:rPr>
          <w:rFonts w:hint="default" w:ascii="Times New Roman" w:hAnsi="Times New Roman" w:eastAsia="宋体" w:cs="Times New Roman"/>
          <w:color w:val="auto"/>
          <w:spacing w:val="1"/>
          <w:w w:val="99"/>
          <w:sz w:val="18"/>
          <w:szCs w:val="20"/>
          <w:highlight w:val="none"/>
        </w:rPr>
        <w:t>q</w:t>
      </w:r>
      <w:r>
        <w:rPr>
          <w:rFonts w:hint="default" w:ascii="Times New Roman" w:hAnsi="Times New Roman" w:eastAsia="宋体" w:cs="Times New Roman"/>
          <w:color w:val="auto"/>
          <w:spacing w:val="-104"/>
          <w:w w:val="99"/>
          <w:sz w:val="18"/>
          <w:szCs w:val="20"/>
          <w:highlight w:val="none"/>
        </w:rPr>
        <w:t>）</w:t>
      </w:r>
      <w:r>
        <w:rPr>
          <w:rFonts w:hint="default" w:ascii="Times New Roman" w:hAnsi="Times New Roman" w:eastAsia="宋体" w:cs="Times New Roman"/>
          <w:color w:val="auto"/>
          <w:w w:val="99"/>
          <w:sz w:val="18"/>
          <w:szCs w:val="20"/>
          <w:highlight w:val="none"/>
        </w:rPr>
        <w:t>。</w:t>
      </w:r>
    </w:p>
    <w:p w14:paraId="20BA78F6">
      <w:pPr>
        <w:shd w:val="clear"/>
        <w:rPr>
          <w:rFonts w:hint="default" w:ascii="Times New Roman" w:hAnsi="Times New Roman" w:eastAsia="宋体" w:cs="Times New Roman"/>
          <w:color w:val="auto"/>
          <w:sz w:val="21"/>
          <w:highlight w:val="none"/>
        </w:rPr>
        <w:sectPr>
          <w:footerReference r:id="rId6" w:type="default"/>
          <w:pgSz w:w="16840" w:h="11910" w:orient="landscape"/>
          <w:pgMar w:top="1100" w:right="1219" w:bottom="1185" w:left="1219" w:header="0" w:footer="1417" w:gutter="0"/>
          <w:pgBorders>
            <w:top w:val="none" w:sz="0" w:space="0"/>
            <w:left w:val="none" w:sz="0" w:space="0"/>
            <w:bottom w:val="none" w:sz="0" w:space="0"/>
            <w:right w:val="none" w:sz="0" w:space="0"/>
          </w:pgBorders>
          <w:pgNumType w:fmt="decimal"/>
          <w:cols w:space="425" w:num="1"/>
        </w:sectPr>
      </w:pPr>
      <w:r>
        <w:rPr>
          <w:rFonts w:hint="default" w:ascii="Times New Roman" w:hAnsi="Times New Roman" w:eastAsia="宋体" w:cs="Times New Roman"/>
          <w:color w:val="auto"/>
          <w:sz w:val="21"/>
          <w:highlight w:val="none"/>
        </w:rPr>
        <w:br w:type="page"/>
      </w:r>
    </w:p>
    <w:p w14:paraId="6CAEFD7A">
      <w:pPr>
        <w:pStyle w:val="6"/>
        <w:shd w:val="clear"/>
        <w:rPr>
          <w:rFonts w:hint="default" w:ascii="Times New Roman" w:hAnsi="Times New Roman" w:eastAsia="宋体" w:cs="Times New Roman"/>
          <w:color w:val="auto"/>
          <w:highlight w:val="none"/>
        </w:rPr>
      </w:pPr>
      <w:bookmarkStart w:id="11" w:name="表6评价依据"/>
      <w:bookmarkEnd w:id="11"/>
      <w:bookmarkStart w:id="12" w:name="_Toc25200"/>
      <w:r>
        <w:rPr>
          <w:rFonts w:hint="default" w:ascii="Times New Roman" w:hAnsi="Times New Roman" w:eastAsia="宋体" w:cs="Times New Roman"/>
          <w:color w:val="auto"/>
          <w:highlight w:val="none"/>
        </w:rPr>
        <w:t>表</w:t>
      </w:r>
      <w:r>
        <w:rPr>
          <w:rFonts w:hint="default" w:ascii="Times New Roman" w:hAnsi="Times New Roman" w:eastAsia="宋体" w:cs="Times New Roman"/>
          <w:color w:val="auto"/>
          <w:highlight w:val="none"/>
          <w:lang w:eastAsia="zh-CN"/>
        </w:rPr>
        <w:t>6</w:t>
      </w:r>
      <w:r>
        <w:rPr>
          <w:rFonts w:hint="default" w:ascii="Times New Roman" w:hAnsi="Times New Roman" w:eastAsia="宋体" w:cs="Times New Roman"/>
          <w:color w:val="auto"/>
          <w:highlight w:val="none"/>
        </w:rPr>
        <w:t xml:space="preserve"> 评价依据</w:t>
      </w:r>
      <w:bookmarkEnd w:id="12"/>
    </w:p>
    <w:tbl>
      <w:tblPr>
        <w:tblStyle w:val="22"/>
        <w:tblW w:w="9491" w:type="dxa"/>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4"/>
        <w:gridCol w:w="8867"/>
      </w:tblGrid>
      <w:tr w14:paraId="44A52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24" w:type="dxa"/>
            <w:vAlign w:val="center"/>
          </w:tcPr>
          <w:p w14:paraId="5A7B4B9D">
            <w:pPr>
              <w:pStyle w:val="32"/>
              <w:keepNext w:val="0"/>
              <w:keepLines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法</w:t>
            </w:r>
          </w:p>
          <w:p w14:paraId="74353224">
            <w:pPr>
              <w:pStyle w:val="32"/>
              <w:keepNext w:val="0"/>
              <w:keepLines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规</w:t>
            </w:r>
          </w:p>
          <w:p w14:paraId="0D60B383">
            <w:pPr>
              <w:pStyle w:val="32"/>
              <w:keepNext w:val="0"/>
              <w:keepLines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文</w:t>
            </w:r>
          </w:p>
          <w:p w14:paraId="4C4B1C6A">
            <w:pPr>
              <w:pStyle w:val="32"/>
              <w:keepNext w:val="0"/>
              <w:keepLines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件</w:t>
            </w:r>
          </w:p>
        </w:tc>
        <w:tc>
          <w:tcPr>
            <w:tcW w:w="8867" w:type="dxa"/>
            <w:vAlign w:val="center"/>
          </w:tcPr>
          <w:p w14:paraId="10E069AB">
            <w:pPr>
              <w:pStyle w:val="32"/>
              <w:keepNext w:val="0"/>
              <w:keepLines w:val="0"/>
              <w:pageBreakBefore w:val="0"/>
              <w:suppressLineNumbers w:val="0"/>
              <w:shd w:val="clear"/>
              <w:tabs>
                <w:tab w:val="left" w:pos="1310"/>
              </w:tabs>
              <w:kinsoku/>
              <w:wordWrap/>
              <w:overflowPunct/>
              <w:topLinePunct w:val="0"/>
              <w:autoSpaceDE w:val="0"/>
              <w:autoSpaceDN w:val="0"/>
              <w:bidi w:val="0"/>
              <w:adjustRightInd/>
              <w:snapToGrid/>
              <w:spacing w:before="0" w:beforeLines="5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（1）《</w:t>
            </w:r>
            <w:r>
              <w:rPr>
                <w:rFonts w:hint="default" w:ascii="Times New Roman" w:hAnsi="Times New Roman" w:cs="Times New Roman"/>
                <w:color w:val="auto"/>
                <w:sz w:val="24"/>
                <w:szCs w:val="22"/>
                <w:highlight w:val="none"/>
                <w:lang w:val="en-US" w:eastAsia="zh-CN" w:bidi="ar-SA"/>
              </w:rPr>
              <w:t>中华人民共和国生态环境法典</w:t>
            </w:r>
            <w:r>
              <w:rPr>
                <w:rFonts w:hint="default" w:ascii="Times New Roman" w:hAnsi="Times New Roman" w:eastAsia="宋体" w:cs="Times New Roman"/>
                <w:color w:val="auto"/>
                <w:sz w:val="24"/>
                <w:szCs w:val="22"/>
                <w:highlight w:val="none"/>
                <w:lang w:val="en-US" w:eastAsia="zh-CN" w:bidi="ar-SA"/>
              </w:rPr>
              <w:t>》2026年 8月15日施行；</w:t>
            </w:r>
          </w:p>
          <w:p w14:paraId="48EE19D6">
            <w:pPr>
              <w:pStyle w:val="32"/>
              <w:keepNext w:val="0"/>
              <w:keepLines w:val="0"/>
              <w:pageBreakBefore w:val="0"/>
              <w:suppressLineNumbers w:val="0"/>
              <w:shd w:val="clear"/>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（2）《建设项目环境保护管理条例》国务院令第682号，2017年10</w:t>
            </w:r>
            <w:r>
              <w:rPr>
                <w:rFonts w:hint="eastAsia" w:cs="Times New Roman"/>
                <w:color w:val="auto"/>
                <w:sz w:val="24"/>
                <w:szCs w:val="22"/>
                <w:highlight w:val="none"/>
                <w:lang w:val="en-US" w:eastAsia="zh-CN" w:bidi="ar-SA"/>
              </w:rPr>
              <w:t>月1日起施行</w:t>
            </w:r>
            <w:r>
              <w:rPr>
                <w:rFonts w:hint="default" w:ascii="Times New Roman" w:hAnsi="Times New Roman" w:eastAsia="宋体" w:cs="Times New Roman"/>
                <w:color w:val="auto"/>
                <w:sz w:val="24"/>
                <w:szCs w:val="22"/>
                <w:highlight w:val="none"/>
                <w:lang w:val="en-US" w:eastAsia="zh-CN" w:bidi="ar-SA"/>
              </w:rPr>
              <w:t>；</w:t>
            </w:r>
          </w:p>
          <w:p w14:paraId="60A6CA73">
            <w:pPr>
              <w:pStyle w:val="32"/>
              <w:keepNext w:val="0"/>
              <w:keepLines w:val="0"/>
              <w:pageBreakBefore w:val="0"/>
              <w:suppressLineNumbers w:val="0"/>
              <w:shd w:val="clear"/>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3</w:t>
            </w:r>
            <w:r>
              <w:rPr>
                <w:rFonts w:hint="default" w:ascii="Times New Roman" w:hAnsi="Times New Roman" w:eastAsia="宋体" w:cs="Times New Roman"/>
                <w:color w:val="auto"/>
                <w:sz w:val="24"/>
                <w:szCs w:val="22"/>
                <w:highlight w:val="none"/>
                <w:lang w:val="en-US" w:eastAsia="zh-CN" w:bidi="ar-SA"/>
              </w:rPr>
              <w:t>）《建设项目环境影响评价分类管理名录（2021年版）》2021</w:t>
            </w:r>
            <w:r>
              <w:rPr>
                <w:rFonts w:hint="eastAsia" w:cs="Times New Roman"/>
                <w:color w:val="auto"/>
                <w:sz w:val="24"/>
                <w:szCs w:val="22"/>
                <w:highlight w:val="none"/>
                <w:lang w:val="en-US" w:eastAsia="zh-CN" w:bidi="ar-SA"/>
              </w:rPr>
              <w:t>年1月1日起施行</w:t>
            </w:r>
            <w:r>
              <w:rPr>
                <w:rFonts w:hint="default" w:ascii="Times New Roman" w:hAnsi="Times New Roman" w:eastAsia="宋体" w:cs="Times New Roman"/>
                <w:color w:val="auto"/>
                <w:sz w:val="24"/>
                <w:szCs w:val="22"/>
                <w:highlight w:val="none"/>
                <w:lang w:val="en-US" w:eastAsia="zh-CN" w:bidi="ar-SA"/>
              </w:rPr>
              <w:t>；</w:t>
            </w:r>
          </w:p>
          <w:p w14:paraId="2A8149BE">
            <w:pPr>
              <w:pStyle w:val="32"/>
              <w:keepNext w:val="0"/>
              <w:keepLines w:val="0"/>
              <w:pageBreakBefore w:val="0"/>
              <w:numPr>
                <w:ilvl w:val="0"/>
                <w:numId w:val="0"/>
              </w:numPr>
              <w:suppressLineNumbers w:val="0"/>
              <w:shd w:val="clear"/>
              <w:tabs>
                <w:tab w:val="left" w:pos="1310"/>
              </w:tabs>
              <w:kinsoku/>
              <w:wordWrap/>
              <w:overflowPunct/>
              <w:topLinePunct w:val="0"/>
              <w:autoSpaceDE w:val="0"/>
              <w:autoSpaceDN w:val="0"/>
              <w:bidi w:val="0"/>
              <w:adjustRightInd/>
              <w:snapToGrid/>
              <w:spacing w:before="0" w:beforeAutospacing="0" w:after="0" w:afterAutospacing="0" w:line="336" w:lineRule="auto"/>
              <w:ind w:left="0" w:right="0" w:rightChars="0"/>
              <w:jc w:val="both"/>
              <w:textAlignment w:val="auto"/>
              <w:rPr>
                <w:rFonts w:hint="default" w:ascii="Times New Roman" w:hAnsi="Times New Roman" w:eastAsia="宋体" w:cs="Times New Roman"/>
                <w:color w:val="auto"/>
                <w:sz w:val="24"/>
                <w:szCs w:val="22"/>
                <w:highlight w:val="none"/>
                <w:lang w:val="en-US" w:eastAsia="zh-CN" w:bidi="ar-SA"/>
              </w:rPr>
            </w:pPr>
            <w:r>
              <w:rPr>
                <w:rFonts w:hint="eastAsia" w:cs="Times New Roman"/>
                <w:color w:val="auto"/>
                <w:sz w:val="24"/>
                <w:szCs w:val="22"/>
                <w:highlight w:val="none"/>
                <w:lang w:val="en-US" w:eastAsia="zh-CN" w:bidi="ar-SA"/>
              </w:rPr>
              <w:t>（4）</w:t>
            </w:r>
            <w:r>
              <w:rPr>
                <w:rFonts w:hint="default" w:ascii="Times New Roman" w:hAnsi="Times New Roman" w:eastAsia="宋体"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vertAlign w:val="baseline"/>
                <w:lang w:val="en-US" w:eastAsia="zh-CN" w:bidi="ar-SA"/>
              </w:rPr>
              <w:t>放射性同位素</w:t>
            </w:r>
            <w:r>
              <w:rPr>
                <w:rFonts w:hint="default" w:ascii="Times New Roman" w:hAnsi="Times New Roman" w:eastAsia="宋体" w:cs="Times New Roman"/>
                <w:color w:val="auto"/>
                <w:sz w:val="24"/>
                <w:szCs w:val="22"/>
                <w:highlight w:val="none"/>
                <w:lang w:val="en-US" w:eastAsia="zh-CN" w:bidi="ar-SA"/>
              </w:rPr>
              <w:t>与射线装置安全和防护条例》</w:t>
            </w:r>
            <w:r>
              <w:rPr>
                <w:rFonts w:hint="default" w:ascii="Times New Roman" w:hAnsi="Times New Roman" w:eastAsia="宋体" w:cs="Times New Roman"/>
                <w:color w:val="auto"/>
                <w:sz w:val="24"/>
                <w:szCs w:val="22"/>
                <w:highlight w:val="none"/>
                <w:lang w:val="en-US" w:eastAsia="zh-CN" w:bidi="ar-SA"/>
              </w:rPr>
              <w:fldChar w:fldCharType="begin"/>
            </w:r>
            <w:r>
              <w:rPr>
                <w:rFonts w:hint="default" w:ascii="Times New Roman" w:hAnsi="Times New Roman" w:eastAsia="宋体" w:cs="Times New Roman"/>
                <w:color w:val="auto"/>
                <w:sz w:val="24"/>
                <w:szCs w:val="22"/>
                <w:highlight w:val="none"/>
                <w:lang w:val="en-US" w:eastAsia="zh-CN" w:bidi="ar-SA"/>
              </w:rPr>
              <w:instrText xml:space="preserve"> HYPERLINK "http://www.waizi.org.cn/doc/61369.html" \t "_blank" \o "《国务院关于修改部分行政法规的决定》国务院令第709号（全文）" </w:instrText>
            </w:r>
            <w:r>
              <w:rPr>
                <w:rFonts w:hint="default" w:ascii="Times New Roman" w:hAnsi="Times New Roman" w:eastAsia="宋体" w:cs="Times New Roman"/>
                <w:color w:val="auto"/>
                <w:sz w:val="24"/>
                <w:szCs w:val="22"/>
                <w:highlight w:val="none"/>
                <w:lang w:val="en-US" w:eastAsia="zh-CN" w:bidi="ar-SA"/>
              </w:rPr>
              <w:fldChar w:fldCharType="separate"/>
            </w:r>
            <w:r>
              <w:rPr>
                <w:rFonts w:hint="default" w:ascii="Times New Roman" w:hAnsi="Times New Roman" w:eastAsia="宋体" w:cs="Times New Roman"/>
                <w:color w:val="auto"/>
                <w:sz w:val="24"/>
                <w:szCs w:val="22"/>
                <w:highlight w:val="none"/>
                <w:lang w:val="en-US" w:eastAsia="zh-CN" w:bidi="ar-SA"/>
              </w:rPr>
              <w:t>国务院令第709号</w:t>
            </w:r>
            <w:r>
              <w:rPr>
                <w:rFonts w:hint="default" w:ascii="Times New Roman" w:hAnsi="Times New Roman" w:eastAsia="宋体" w:cs="Times New Roman"/>
                <w:color w:val="auto"/>
                <w:sz w:val="24"/>
                <w:szCs w:val="22"/>
                <w:highlight w:val="none"/>
                <w:lang w:val="en-US" w:eastAsia="zh-CN" w:bidi="ar-SA"/>
              </w:rPr>
              <w:fldChar w:fldCharType="end"/>
            </w:r>
            <w:r>
              <w:rPr>
                <w:rFonts w:hint="default" w:ascii="Times New Roman" w:hAnsi="Times New Roman" w:eastAsia="宋体" w:cs="Times New Roman"/>
                <w:color w:val="auto"/>
                <w:sz w:val="24"/>
                <w:szCs w:val="22"/>
                <w:highlight w:val="none"/>
                <w:lang w:val="en-US" w:eastAsia="zh-CN" w:bidi="ar-SA"/>
              </w:rPr>
              <w:t>，2019年3月2日修订并施行；</w:t>
            </w:r>
          </w:p>
          <w:p w14:paraId="2D4116B3">
            <w:pPr>
              <w:pStyle w:val="32"/>
              <w:keepNext w:val="0"/>
              <w:keepLines w:val="0"/>
              <w:pageBreakBefore w:val="0"/>
              <w:widowControl/>
              <w:numPr>
                <w:ilvl w:val="0"/>
                <w:numId w:val="0"/>
              </w:numPr>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leftChars="0" w:right="0" w:rightChars="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5</w:t>
            </w:r>
            <w:r>
              <w:rPr>
                <w:rFonts w:hint="default" w:ascii="Times New Roman" w:hAnsi="Times New Roman" w:eastAsia="宋体"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vertAlign w:val="baseline"/>
                <w:lang w:val="en-US" w:eastAsia="zh-CN" w:bidi="ar-SA"/>
              </w:rPr>
              <w:t>放射性同位素</w:t>
            </w:r>
            <w:r>
              <w:rPr>
                <w:rFonts w:hint="default" w:ascii="Times New Roman" w:hAnsi="Times New Roman" w:eastAsia="宋体" w:cs="Times New Roman"/>
                <w:color w:val="auto"/>
                <w:sz w:val="24"/>
                <w:szCs w:val="22"/>
                <w:highlight w:val="none"/>
                <w:lang w:val="en-US" w:eastAsia="zh-CN" w:bidi="ar-SA"/>
              </w:rPr>
              <w:t>与射线装置安全许可管理办法》生态环境部令第20号，2021年1月4日修订并施行；</w:t>
            </w:r>
          </w:p>
          <w:p w14:paraId="2330A0C9">
            <w:pPr>
              <w:pStyle w:val="32"/>
              <w:keepNext w:val="0"/>
              <w:keepLines w:val="0"/>
              <w:pageBreakBefore w:val="0"/>
              <w:numPr>
                <w:ilvl w:val="255"/>
                <w:numId w:val="0"/>
              </w:numPr>
              <w:suppressLineNumbers w:val="0"/>
              <w:shd w:val="clear"/>
              <w:tabs>
                <w:tab w:val="left" w:pos="1310"/>
              </w:tabs>
              <w:kinsoku/>
              <w:wordWrap/>
              <w:overflowPunct/>
              <w:topLinePunct w:val="0"/>
              <w:autoSpaceDE w:val="0"/>
              <w:autoSpaceDN w:val="0"/>
              <w:bidi w:val="0"/>
              <w:adjustRightInd/>
              <w:snapToGrid/>
              <w:spacing w:before="0" w:beforeAutospacing="0" w:after="0" w:afterAutospacing="0" w:line="336" w:lineRule="auto"/>
              <w:ind w:left="0" w:right="0" w:firstLine="0" w:firstLineChars="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6</w:t>
            </w:r>
            <w:r>
              <w:rPr>
                <w:rFonts w:hint="default" w:ascii="Times New Roman" w:hAnsi="Times New Roman" w:eastAsia="宋体"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vertAlign w:val="baseline"/>
                <w:lang w:val="en-US" w:eastAsia="zh-CN" w:bidi="ar-SA"/>
              </w:rPr>
              <w:t>放射性同位素</w:t>
            </w:r>
            <w:r>
              <w:rPr>
                <w:rFonts w:hint="default" w:ascii="Times New Roman" w:hAnsi="Times New Roman" w:eastAsia="宋体" w:cs="Times New Roman"/>
                <w:color w:val="auto"/>
                <w:sz w:val="24"/>
                <w:szCs w:val="22"/>
                <w:highlight w:val="none"/>
                <w:lang w:val="en-US" w:eastAsia="zh-CN" w:bidi="ar-SA"/>
              </w:rPr>
              <w:t>与射线装置安全和防护管理办法》，2011年5</w:t>
            </w:r>
            <w:r>
              <w:rPr>
                <w:rFonts w:hint="eastAsia" w:cs="Times New Roman"/>
                <w:color w:val="auto"/>
                <w:sz w:val="24"/>
                <w:szCs w:val="22"/>
                <w:highlight w:val="none"/>
                <w:lang w:val="en-US" w:eastAsia="zh-CN" w:bidi="ar-SA"/>
              </w:rPr>
              <w:t>月1日起施行</w:t>
            </w:r>
            <w:r>
              <w:rPr>
                <w:rFonts w:hint="default" w:ascii="Times New Roman" w:hAnsi="Times New Roman" w:eastAsia="宋体" w:cs="Times New Roman"/>
                <w:color w:val="auto"/>
                <w:sz w:val="24"/>
                <w:szCs w:val="22"/>
                <w:highlight w:val="none"/>
                <w:lang w:val="en-US" w:eastAsia="zh-CN" w:bidi="ar-SA"/>
              </w:rPr>
              <w:t>；</w:t>
            </w:r>
          </w:p>
          <w:p w14:paraId="32CF2455">
            <w:pPr>
              <w:pStyle w:val="32"/>
              <w:keepNext w:val="0"/>
              <w:keepLines w:val="0"/>
              <w:pageBreakBefore w:val="0"/>
              <w:suppressLineNumbers w:val="0"/>
              <w:shd w:val="clear"/>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7</w:t>
            </w:r>
            <w:r>
              <w:rPr>
                <w:rFonts w:hint="default" w:ascii="Times New Roman" w:hAnsi="Times New Roman" w:eastAsia="宋体" w:cs="Times New Roman"/>
                <w:color w:val="auto"/>
                <w:sz w:val="24"/>
                <w:szCs w:val="22"/>
                <w:highlight w:val="none"/>
                <w:lang w:val="en-US" w:eastAsia="zh-CN" w:bidi="ar-SA"/>
              </w:rPr>
              <w:t>）《突发事件应急预案管理办法》，</w:t>
            </w:r>
            <w:r>
              <w:rPr>
                <w:rFonts w:hint="default" w:ascii="Times New Roman" w:hAnsi="Times New Roman" w:cs="Times New Roman"/>
                <w:color w:val="auto"/>
                <w:sz w:val="24"/>
                <w:szCs w:val="22"/>
                <w:highlight w:val="none"/>
                <w:lang w:val="en-US" w:eastAsia="zh-CN" w:bidi="ar-SA"/>
              </w:rPr>
              <w:t>国办发〔2024〕5号，</w:t>
            </w:r>
            <w:r>
              <w:rPr>
                <w:rFonts w:hint="eastAsia" w:cs="Times New Roman"/>
                <w:color w:val="auto"/>
                <w:sz w:val="24"/>
                <w:szCs w:val="22"/>
                <w:highlight w:val="none"/>
                <w:lang w:val="en-US" w:eastAsia="zh-CN" w:bidi="ar-SA"/>
              </w:rPr>
              <w:t>2024年2月7日</w:t>
            </w:r>
            <w:r>
              <w:rPr>
                <w:rFonts w:hint="default" w:ascii="Times New Roman" w:hAnsi="Times New Roman" w:cs="Times New Roman"/>
                <w:color w:val="auto"/>
                <w:sz w:val="24"/>
                <w:szCs w:val="22"/>
                <w:highlight w:val="none"/>
                <w:lang w:val="en-US" w:eastAsia="zh-CN" w:bidi="ar-SA"/>
              </w:rPr>
              <w:t>施行；</w:t>
            </w:r>
          </w:p>
          <w:p w14:paraId="086AE258">
            <w:pPr>
              <w:pStyle w:val="32"/>
              <w:keepNext w:val="0"/>
              <w:keepLines w:val="0"/>
              <w:pageBreakBefore w:val="0"/>
              <w:suppressLineNumbers w:val="0"/>
              <w:shd w:val="clear"/>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8</w:t>
            </w:r>
            <w:r>
              <w:rPr>
                <w:rFonts w:hint="default" w:ascii="Times New Roman" w:hAnsi="Times New Roman" w:eastAsia="宋体" w:cs="Times New Roman"/>
                <w:color w:val="auto"/>
                <w:sz w:val="24"/>
                <w:szCs w:val="22"/>
                <w:highlight w:val="none"/>
                <w:lang w:val="en-US" w:eastAsia="zh-CN" w:bidi="ar-SA"/>
              </w:rPr>
              <w:t>）《关于发布&lt;射线装置分类&gt;的公告》2017年12月6日施行；</w:t>
            </w:r>
          </w:p>
          <w:p w14:paraId="769AE9B5">
            <w:pPr>
              <w:pStyle w:val="32"/>
              <w:keepNext w:val="0"/>
              <w:keepLines w:val="0"/>
              <w:pageBreakBefore w:val="0"/>
              <w:suppressLineNumbers w:val="0"/>
              <w:shd w:val="clear"/>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9</w:t>
            </w:r>
            <w:r>
              <w:rPr>
                <w:rFonts w:hint="default" w:ascii="Times New Roman" w:hAnsi="Times New Roman" w:eastAsia="宋体" w:cs="Times New Roman"/>
                <w:color w:val="auto"/>
                <w:sz w:val="24"/>
                <w:szCs w:val="22"/>
                <w:highlight w:val="none"/>
                <w:lang w:val="en-US" w:eastAsia="zh-CN" w:bidi="ar-SA"/>
              </w:rPr>
              <w:t>）《关于建立</w:t>
            </w:r>
            <w:r>
              <w:rPr>
                <w:rFonts w:hint="default" w:ascii="Times New Roman" w:hAnsi="Times New Roman" w:eastAsia="宋体" w:cs="Times New Roman"/>
                <w:color w:val="auto"/>
                <w:sz w:val="24"/>
                <w:szCs w:val="22"/>
                <w:highlight w:val="none"/>
                <w:vertAlign w:val="baseline"/>
                <w:lang w:val="en-US" w:eastAsia="zh-CN" w:bidi="ar-SA"/>
              </w:rPr>
              <w:t>放射性同位素</w:t>
            </w:r>
            <w:r>
              <w:rPr>
                <w:rFonts w:hint="default" w:ascii="Times New Roman" w:hAnsi="Times New Roman" w:eastAsia="宋体" w:cs="Times New Roman"/>
                <w:color w:val="auto"/>
                <w:sz w:val="24"/>
                <w:szCs w:val="22"/>
                <w:highlight w:val="none"/>
                <w:lang w:val="en-US" w:eastAsia="zh-CN" w:bidi="ar-SA"/>
              </w:rPr>
              <w:t>与射线装置辐射事故分级处理和报告制度的通知》</w:t>
            </w:r>
          </w:p>
          <w:p w14:paraId="056241A3">
            <w:pPr>
              <w:pStyle w:val="32"/>
              <w:keepNext w:val="0"/>
              <w:keepLines w:val="0"/>
              <w:pageBreakBefore w:val="0"/>
              <w:suppressLineNumbers w:val="0"/>
              <w:shd w:val="clear"/>
              <w:tabs>
                <w:tab w:val="left" w:pos="1310"/>
              </w:tabs>
              <w:kinsoku/>
              <w:wordWrap/>
              <w:overflowPunct/>
              <w:topLinePunct w:val="0"/>
              <w:autoSpaceDE w:val="0"/>
              <w:autoSpaceDN w:val="0"/>
              <w:bidi w:val="0"/>
              <w:adjustRightInd/>
              <w:snapToGrid/>
              <w:spacing w:before="0" w:beforeAutospacing="0" w:after="0" w:afterAutospacing="0" w:line="336" w:lineRule="auto"/>
              <w:ind w:left="0" w:right="0" w:firstLine="720" w:firstLineChars="3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2006年9月26日施行；</w:t>
            </w:r>
          </w:p>
          <w:p w14:paraId="7AA03D0D">
            <w:pPr>
              <w:pStyle w:val="32"/>
              <w:keepNext w:val="0"/>
              <w:keepLines w:val="0"/>
              <w:pageBreakBefore w:val="0"/>
              <w:widowControl/>
              <w:suppressLineNumbers w:val="0"/>
              <w:shd w:val="clear"/>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（1</w:t>
            </w:r>
            <w:r>
              <w:rPr>
                <w:rFonts w:hint="eastAsia" w:cs="Times New Roman"/>
                <w:color w:val="auto"/>
                <w:sz w:val="24"/>
                <w:szCs w:val="22"/>
                <w:highlight w:val="none"/>
                <w:lang w:val="en-US" w:eastAsia="zh-CN" w:bidi="ar-SA"/>
              </w:rPr>
              <w:t>0</w:t>
            </w:r>
            <w:r>
              <w:rPr>
                <w:rFonts w:hint="default" w:ascii="Times New Roman" w:hAnsi="Times New Roman" w:eastAsia="宋体" w:cs="Times New Roman"/>
                <w:color w:val="auto"/>
                <w:sz w:val="24"/>
                <w:szCs w:val="22"/>
                <w:highlight w:val="none"/>
                <w:lang w:val="en-US" w:eastAsia="zh-CN" w:bidi="ar-SA"/>
              </w:rPr>
              <w:t>）《新疆维吾尔自治区辐射污染防治办法》2015 年7</w:t>
            </w:r>
            <w:r>
              <w:rPr>
                <w:rFonts w:hint="eastAsia" w:cs="Times New Roman"/>
                <w:color w:val="auto"/>
                <w:sz w:val="24"/>
                <w:szCs w:val="22"/>
                <w:highlight w:val="none"/>
                <w:lang w:val="en-US" w:eastAsia="zh-CN" w:bidi="ar-SA"/>
              </w:rPr>
              <w:t>月1日起施行</w:t>
            </w:r>
            <w:r>
              <w:rPr>
                <w:rFonts w:hint="default" w:ascii="Times New Roman" w:hAnsi="Times New Roman" w:eastAsia="宋体" w:cs="Times New Roman"/>
                <w:color w:val="auto"/>
                <w:sz w:val="24"/>
                <w:szCs w:val="22"/>
                <w:highlight w:val="none"/>
                <w:lang w:val="en-US" w:eastAsia="zh-CN" w:bidi="ar-SA"/>
              </w:rPr>
              <w:t>；</w:t>
            </w:r>
          </w:p>
          <w:p w14:paraId="047867A8">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（1</w:t>
            </w:r>
            <w:r>
              <w:rPr>
                <w:rFonts w:hint="eastAsia" w:cs="Times New Roman"/>
                <w:color w:val="auto"/>
                <w:sz w:val="24"/>
                <w:szCs w:val="22"/>
                <w:highlight w:val="none"/>
                <w:lang w:val="en-US" w:eastAsia="zh-CN" w:bidi="ar-SA"/>
              </w:rPr>
              <w:t>1</w:t>
            </w:r>
            <w:r>
              <w:rPr>
                <w:rFonts w:hint="default" w:ascii="Times New Roman" w:hAnsi="Times New Roman" w:eastAsia="宋体" w:cs="Times New Roman"/>
                <w:color w:val="auto"/>
                <w:sz w:val="24"/>
                <w:szCs w:val="22"/>
                <w:highlight w:val="none"/>
                <w:lang w:val="en-US" w:eastAsia="zh-CN" w:bidi="ar-SA"/>
              </w:rPr>
              <w:t>）《新疆维吾尔自治区环境保护条例》新疆维吾尔自治区第十三届人民代表大</w:t>
            </w:r>
          </w:p>
          <w:p w14:paraId="68484E61">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firstLine="720" w:firstLineChars="3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会常务委员会公告第11号2018年9月21日修订并施行；</w:t>
            </w:r>
          </w:p>
          <w:p w14:paraId="3C053666">
            <w:pPr>
              <w:keepNext w:val="0"/>
              <w:keepLines w:val="0"/>
              <w:pageBreakBefore w:val="0"/>
              <w:widowControl/>
              <w:numPr>
                <w:ilvl w:val="0"/>
                <w:numId w:val="0"/>
              </w:numPr>
              <w:suppressLineNumbers w:val="0"/>
              <w:shd w:val="clear" w:color="auto"/>
              <w:kinsoku/>
              <w:wordWrap/>
              <w:overflowPunct/>
              <w:topLinePunct w:val="0"/>
              <w:autoSpaceDE w:val="0"/>
              <w:autoSpaceDN w:val="0"/>
              <w:bidi w:val="0"/>
              <w:adjustRightInd/>
              <w:snapToGrid/>
              <w:spacing w:before="0" w:beforeAutospacing="0" w:after="0" w:afterAutospacing="0" w:line="336" w:lineRule="auto"/>
              <w:ind w:left="0" w:right="0" w:rightChars="0"/>
              <w:jc w:val="both"/>
              <w:textAlignment w:val="auto"/>
              <w:rPr>
                <w:rFonts w:hint="default" w:ascii="Times New Roman" w:hAnsi="Times New Roman" w:eastAsia="宋体" w:cs="Times New Roman"/>
                <w:color w:val="auto"/>
                <w:sz w:val="24"/>
                <w:szCs w:val="22"/>
                <w:highlight w:val="none"/>
                <w:lang w:val="en-US" w:eastAsia="zh-CN" w:bidi="ar-SA"/>
              </w:rPr>
            </w:pPr>
            <w:r>
              <w:rPr>
                <w:rFonts w:hint="eastAsia" w:cs="Times New Roman"/>
                <w:color w:val="auto"/>
                <w:sz w:val="24"/>
                <w:szCs w:val="22"/>
                <w:highlight w:val="none"/>
                <w:lang w:val="en-US" w:eastAsia="zh-CN" w:bidi="ar-SA"/>
              </w:rPr>
              <w:t>（12）</w:t>
            </w:r>
            <w:r>
              <w:rPr>
                <w:rFonts w:hint="default" w:ascii="Times New Roman" w:hAnsi="Times New Roman" w:eastAsia="宋体" w:cs="Times New Roman"/>
                <w:color w:val="auto"/>
                <w:sz w:val="24"/>
                <w:szCs w:val="22"/>
                <w:highlight w:val="none"/>
                <w:lang w:val="en-US" w:eastAsia="zh-CN" w:bidi="ar-SA"/>
              </w:rPr>
              <w:t>《中华人民共和国职业病防治法》2018年12月29日修订并施行；</w:t>
            </w:r>
          </w:p>
          <w:p w14:paraId="03E45CE2">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（1</w:t>
            </w:r>
            <w:r>
              <w:rPr>
                <w:rFonts w:hint="eastAsia" w:cs="Times New Roman"/>
                <w:color w:val="auto"/>
                <w:sz w:val="24"/>
                <w:szCs w:val="22"/>
                <w:highlight w:val="none"/>
                <w:lang w:val="en-US" w:eastAsia="zh-CN" w:bidi="ar-SA"/>
              </w:rPr>
              <w:t>3</w:t>
            </w:r>
            <w:r>
              <w:rPr>
                <w:rFonts w:hint="default" w:ascii="Times New Roman" w:hAnsi="Times New Roman" w:eastAsia="宋体" w:cs="Times New Roman"/>
                <w:color w:val="auto"/>
                <w:sz w:val="24"/>
                <w:szCs w:val="22"/>
                <w:highlight w:val="none"/>
                <w:lang w:val="en-US" w:eastAsia="zh-CN" w:bidi="ar-SA"/>
              </w:rPr>
              <w:t>）《放射工作人员职业健康管理办法》卫生部令第55号，2007年11</w:t>
            </w:r>
            <w:r>
              <w:rPr>
                <w:rFonts w:hint="eastAsia" w:cs="Times New Roman"/>
                <w:color w:val="auto"/>
                <w:sz w:val="24"/>
                <w:szCs w:val="22"/>
                <w:highlight w:val="none"/>
                <w:lang w:val="en-US" w:eastAsia="zh-CN" w:bidi="ar-SA"/>
              </w:rPr>
              <w:t>月1日起施行</w:t>
            </w:r>
            <w:r>
              <w:rPr>
                <w:rFonts w:hint="default" w:ascii="Times New Roman" w:hAnsi="Times New Roman" w:eastAsia="宋体" w:cs="Times New Roman"/>
                <w:color w:val="auto"/>
                <w:sz w:val="24"/>
                <w:szCs w:val="22"/>
                <w:highlight w:val="none"/>
                <w:lang w:val="en-US" w:eastAsia="zh-CN" w:bidi="ar-SA"/>
              </w:rPr>
              <w:t>；</w:t>
            </w:r>
          </w:p>
          <w:p w14:paraId="270A9A92">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（1</w:t>
            </w:r>
            <w:r>
              <w:rPr>
                <w:rFonts w:hint="eastAsia" w:cs="Times New Roman"/>
                <w:color w:val="auto"/>
                <w:sz w:val="24"/>
                <w:szCs w:val="22"/>
                <w:highlight w:val="none"/>
                <w:lang w:val="en-US" w:eastAsia="zh-CN" w:bidi="ar-SA"/>
              </w:rPr>
              <w:t>4</w:t>
            </w:r>
            <w:r>
              <w:rPr>
                <w:rFonts w:hint="default" w:ascii="Times New Roman" w:hAnsi="Times New Roman" w:eastAsia="宋体" w:cs="Times New Roman"/>
                <w:color w:val="auto"/>
                <w:sz w:val="24"/>
                <w:szCs w:val="22"/>
                <w:highlight w:val="none"/>
                <w:lang w:val="en-US" w:eastAsia="zh-CN" w:bidi="ar-SA"/>
              </w:rPr>
              <w:t>）《关于核技术利用辐射安全与防护培训和考核有关事项的公告》生态环境部，公告2019年第57号，2020年1月1日起施行；</w:t>
            </w:r>
          </w:p>
          <w:p w14:paraId="3C4D3C96">
            <w:pPr>
              <w:pStyle w:val="11"/>
              <w:keepNext w:val="0"/>
              <w:keepLines w:val="0"/>
              <w:pageBreakBefore w:val="0"/>
              <w:numPr>
                <w:ilvl w:val="0"/>
                <w:numId w:val="0"/>
              </w:numPr>
              <w:suppressLineNumbers w:val="0"/>
              <w:shd w:val="clear"/>
              <w:kinsoku/>
              <w:wordWrap/>
              <w:overflowPunct/>
              <w:topLinePunct w:val="0"/>
              <w:autoSpaceDE w:val="0"/>
              <w:autoSpaceDN w:val="0"/>
              <w:bidi w:val="0"/>
              <w:adjustRightInd/>
              <w:snapToGrid/>
              <w:spacing w:before="0" w:beforeAutospacing="0" w:after="0" w:afterAutospacing="0" w:line="336" w:lineRule="auto"/>
              <w:ind w:left="0" w:right="0"/>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（1</w:t>
            </w:r>
            <w:r>
              <w:rPr>
                <w:rFonts w:hint="eastAsia" w:cs="Times New Roman"/>
                <w:color w:val="auto"/>
                <w:sz w:val="24"/>
                <w:szCs w:val="22"/>
                <w:highlight w:val="none"/>
                <w:lang w:val="en-US" w:eastAsia="zh-CN" w:bidi="ar-SA"/>
              </w:rPr>
              <w:t>5</w:t>
            </w:r>
            <w:r>
              <w:rPr>
                <w:rFonts w:hint="default" w:ascii="Times New Roman" w:hAnsi="Times New Roman" w:eastAsia="宋体" w:cs="Times New Roman"/>
                <w:color w:val="auto"/>
                <w:sz w:val="24"/>
                <w:szCs w:val="22"/>
                <w:highlight w:val="none"/>
                <w:lang w:val="en-US" w:eastAsia="zh-CN" w:bidi="ar-SA"/>
              </w:rPr>
              <w:t>）《关于发布&lt;建设项目竣工环境保护验收暂行办法&gt;的公告》2017年11月20日施行；</w:t>
            </w:r>
          </w:p>
          <w:p w14:paraId="46B43AE2">
            <w:pPr>
              <w:pStyle w:val="11"/>
              <w:keepNext w:val="0"/>
              <w:keepLines w:val="0"/>
              <w:pageBreakBefore w:val="0"/>
              <w:numPr>
                <w:ilvl w:val="0"/>
                <w:numId w:val="0"/>
              </w:numPr>
              <w:suppressLineNumbers w:val="0"/>
              <w:shd w:val="clear"/>
              <w:kinsoku/>
              <w:wordWrap/>
              <w:overflowPunct/>
              <w:topLinePunct w:val="0"/>
              <w:autoSpaceDE w:val="0"/>
              <w:autoSpaceDN w:val="0"/>
              <w:bidi w:val="0"/>
              <w:adjustRightInd/>
              <w:snapToGrid/>
              <w:spacing w:before="0" w:beforeAutospacing="0" w:after="0" w:afterAutospacing="0" w:line="336" w:lineRule="auto"/>
              <w:ind w:left="0" w:right="0" w:rightChars="0"/>
              <w:textAlignment w:val="auto"/>
              <w:rPr>
                <w:rFonts w:hint="default" w:ascii="Times New Roman" w:hAnsi="Times New Roman" w:eastAsia="宋体" w:cs="Times New Roman"/>
                <w:color w:val="auto"/>
                <w:sz w:val="24"/>
                <w:szCs w:val="22"/>
                <w:highlight w:val="none"/>
                <w:lang w:val="en-US" w:eastAsia="zh-CN" w:bidi="ar-SA"/>
              </w:rPr>
            </w:pPr>
            <w:r>
              <w:rPr>
                <w:rFonts w:hint="eastAsia" w:cs="Times New Roman"/>
                <w:color w:val="auto"/>
                <w:sz w:val="24"/>
                <w:szCs w:val="22"/>
                <w:highlight w:val="none"/>
                <w:lang w:val="en-US" w:eastAsia="zh-CN" w:bidi="ar-SA"/>
              </w:rPr>
              <w:t>（16）</w:t>
            </w:r>
            <w:r>
              <w:rPr>
                <w:rFonts w:hint="default" w:ascii="Times New Roman" w:hAnsi="Times New Roman" w:eastAsia="宋体" w:cs="Times New Roman"/>
                <w:color w:val="auto"/>
                <w:sz w:val="24"/>
                <w:szCs w:val="22"/>
                <w:highlight w:val="none"/>
                <w:lang w:val="en-US" w:eastAsia="zh-CN" w:bidi="ar-SA"/>
              </w:rPr>
              <w:t>《关于明确核技术利用辐射安全监管有关事项的通知》（中华人民共和国环境保护部，环办辐射函[2016]430号）；</w:t>
            </w:r>
          </w:p>
          <w:p w14:paraId="7ABCD3F1">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（1</w:t>
            </w:r>
            <w:r>
              <w:rPr>
                <w:rFonts w:hint="eastAsia" w:cs="Times New Roman"/>
                <w:color w:val="auto"/>
                <w:sz w:val="24"/>
                <w:szCs w:val="22"/>
                <w:highlight w:val="none"/>
                <w:lang w:val="en-US" w:eastAsia="zh-CN" w:bidi="ar-SA"/>
              </w:rPr>
              <w:t>7</w:t>
            </w:r>
            <w:r>
              <w:rPr>
                <w:rFonts w:hint="default" w:ascii="Times New Roman" w:hAnsi="Times New Roman" w:eastAsia="宋体" w:cs="Times New Roman"/>
                <w:color w:val="auto"/>
                <w:sz w:val="24"/>
                <w:szCs w:val="22"/>
                <w:highlight w:val="none"/>
                <w:lang w:val="en-US" w:eastAsia="zh-CN" w:bidi="ar-SA"/>
              </w:rPr>
              <w:t>）《放射性物品分类和名录（试行）》，国家环境保护总局公告2010年第31号，2010年3月4日；</w:t>
            </w:r>
          </w:p>
          <w:p w14:paraId="5CB8106C">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18</w:t>
            </w:r>
            <w:r>
              <w:rPr>
                <w:rFonts w:hint="default" w:ascii="Times New Roman" w:hAnsi="Times New Roman" w:eastAsia="宋体" w:cs="Times New Roman"/>
                <w:color w:val="auto"/>
                <w:sz w:val="24"/>
                <w:szCs w:val="22"/>
                <w:highlight w:val="none"/>
                <w:lang w:val="en-US" w:eastAsia="zh-CN" w:bidi="ar-SA"/>
              </w:rPr>
              <w:t>）《新疆维吾尔自治区辐射事故应急预案》</w:t>
            </w:r>
            <w:r>
              <w:rPr>
                <w:rFonts w:hint="default" w:ascii="Times New Roman" w:hAnsi="Times New Roman"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lang w:val="en-US" w:eastAsia="zh-CN" w:bidi="ar-SA"/>
              </w:rPr>
              <w:t>（新政办发〔2021〕81号）</w:t>
            </w:r>
            <w:r>
              <w:rPr>
                <w:rFonts w:hint="default" w:ascii="Times New Roman" w:hAnsi="Times New Roman" w:cs="Times New Roman"/>
                <w:color w:val="auto"/>
                <w:sz w:val="24"/>
                <w:szCs w:val="22"/>
                <w:highlight w:val="none"/>
                <w:lang w:val="en-US" w:eastAsia="zh-CN" w:bidi="ar-SA"/>
              </w:rPr>
              <w:t>；</w:t>
            </w:r>
          </w:p>
          <w:p w14:paraId="422D5FAA">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19</w:t>
            </w:r>
            <w:r>
              <w:rPr>
                <w:rFonts w:hint="default" w:ascii="Times New Roman" w:hAnsi="Times New Roman" w:eastAsia="宋体" w:cs="Times New Roman"/>
                <w:color w:val="auto"/>
                <w:sz w:val="24"/>
                <w:szCs w:val="22"/>
                <w:highlight w:val="none"/>
                <w:lang w:val="en-US" w:eastAsia="zh-CN" w:bidi="ar-SA"/>
              </w:rPr>
              <w:t>）《建设项目环境影响报告书（表）编制监督管理办法》（生态环境部令第9号，2019年11月1日施行）；</w:t>
            </w:r>
          </w:p>
          <w:p w14:paraId="18698F33">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20</w:t>
            </w:r>
            <w:r>
              <w:rPr>
                <w:rFonts w:hint="default" w:ascii="Times New Roman" w:hAnsi="Times New Roman" w:eastAsia="宋体" w:cs="Times New Roman"/>
                <w:color w:val="auto"/>
                <w:sz w:val="24"/>
                <w:szCs w:val="22"/>
                <w:highlight w:val="none"/>
                <w:lang w:val="en-US" w:eastAsia="zh-CN" w:bidi="ar-SA"/>
              </w:rPr>
              <w:t>）《中华人民共和国职业病防治法》（中华人民共和国）主席令第六号，（2018年12月29日修订）；</w:t>
            </w:r>
          </w:p>
          <w:p w14:paraId="0DB7020C">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（2</w:t>
            </w:r>
            <w:r>
              <w:rPr>
                <w:rFonts w:hint="eastAsia" w:cs="Times New Roman"/>
                <w:color w:val="auto"/>
                <w:sz w:val="24"/>
                <w:szCs w:val="22"/>
                <w:highlight w:val="none"/>
                <w:lang w:val="en-US" w:eastAsia="zh-CN" w:bidi="ar-SA"/>
              </w:rPr>
              <w:t>1</w:t>
            </w:r>
            <w:r>
              <w:rPr>
                <w:rFonts w:hint="default" w:ascii="Times New Roman" w:hAnsi="Times New Roman" w:eastAsia="宋体" w:cs="Times New Roman"/>
                <w:color w:val="auto"/>
                <w:sz w:val="24"/>
                <w:szCs w:val="22"/>
                <w:highlight w:val="none"/>
                <w:lang w:val="en-US" w:eastAsia="zh-CN" w:bidi="ar-SA"/>
              </w:rPr>
              <w:t>）《关于发布&lt;建设项目环境影响报告书（表）编制监督管理办法&gt;配套文件的公告》（生态环境部公告2019年第38号，2019年10月24日）；</w:t>
            </w:r>
          </w:p>
          <w:p w14:paraId="4C7E543B">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（2</w:t>
            </w:r>
            <w:r>
              <w:rPr>
                <w:rFonts w:hint="eastAsia" w:cs="Times New Roman"/>
                <w:color w:val="auto"/>
                <w:sz w:val="24"/>
                <w:szCs w:val="22"/>
                <w:highlight w:val="none"/>
                <w:lang w:val="en-US" w:eastAsia="zh-CN" w:bidi="ar-SA"/>
              </w:rPr>
              <w:t>2</w:t>
            </w:r>
            <w:r>
              <w:rPr>
                <w:rFonts w:hint="default" w:ascii="Times New Roman" w:hAnsi="Times New Roman" w:eastAsia="宋体" w:cs="Times New Roman"/>
                <w:color w:val="auto"/>
                <w:sz w:val="24"/>
                <w:szCs w:val="22"/>
                <w:highlight w:val="none"/>
                <w:lang w:val="en-US" w:eastAsia="zh-CN" w:bidi="ar-SA"/>
              </w:rPr>
              <w:t>）《关于启用环境影响评价信用平台的公告》（生态环境部公告2019年第39号，2019年10月25日）</w:t>
            </w:r>
            <w:r>
              <w:rPr>
                <w:rFonts w:hint="default" w:ascii="Times New Roman" w:hAnsi="Times New Roman" w:cs="Times New Roman"/>
                <w:color w:val="auto"/>
                <w:sz w:val="24"/>
                <w:szCs w:val="22"/>
                <w:highlight w:val="none"/>
                <w:lang w:val="en-US" w:eastAsia="zh-CN" w:bidi="ar-SA"/>
              </w:rPr>
              <w:t>；</w:t>
            </w:r>
          </w:p>
          <w:p w14:paraId="5D668EBA">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default" w:ascii="Times New Roman" w:hAnsi="Times New Roman" w:cs="Times New Roman"/>
                <w:color w:val="auto"/>
                <w:sz w:val="24"/>
                <w:szCs w:val="22"/>
                <w:highlight w:val="none"/>
                <w:lang w:val="en-US" w:eastAsia="zh-CN" w:bidi="ar-SA"/>
              </w:rPr>
              <w:t>2</w:t>
            </w:r>
            <w:r>
              <w:rPr>
                <w:rFonts w:hint="eastAsia" w:cs="Times New Roman"/>
                <w:color w:val="auto"/>
                <w:sz w:val="24"/>
                <w:szCs w:val="22"/>
                <w:highlight w:val="none"/>
                <w:lang w:val="en-US" w:eastAsia="zh-CN" w:bidi="ar-SA"/>
              </w:rPr>
              <w:t>3</w:t>
            </w:r>
            <w:r>
              <w:rPr>
                <w:rFonts w:hint="default" w:ascii="Times New Roman" w:hAnsi="Times New Roman" w:eastAsia="宋体" w:cs="Times New Roman"/>
                <w:color w:val="auto"/>
                <w:sz w:val="24"/>
                <w:szCs w:val="22"/>
                <w:highlight w:val="none"/>
                <w:lang w:val="en-US" w:eastAsia="zh-CN" w:bidi="ar-SA"/>
              </w:rPr>
              <w:t>）《电离辐射监测质量保证通用要求》（GB 8999-2021）；</w:t>
            </w:r>
          </w:p>
          <w:p w14:paraId="13B34E4C">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default" w:ascii="Times New Roman" w:hAnsi="Times New Roman" w:cs="Times New Roman"/>
                <w:color w:val="auto"/>
                <w:sz w:val="24"/>
                <w:szCs w:val="22"/>
                <w:highlight w:val="none"/>
                <w:lang w:val="en-US" w:eastAsia="zh-CN" w:bidi="ar-SA"/>
              </w:rPr>
              <w:t>2</w:t>
            </w:r>
            <w:r>
              <w:rPr>
                <w:rFonts w:hint="eastAsia" w:cs="Times New Roman"/>
                <w:color w:val="auto"/>
                <w:sz w:val="24"/>
                <w:szCs w:val="22"/>
                <w:highlight w:val="none"/>
                <w:lang w:val="en-US" w:eastAsia="zh-CN" w:bidi="ar-SA"/>
              </w:rPr>
              <w:t>4</w:t>
            </w:r>
            <w:r>
              <w:rPr>
                <w:rFonts w:hint="default" w:ascii="Times New Roman" w:hAnsi="Times New Roman" w:eastAsia="宋体" w:cs="Times New Roman"/>
                <w:color w:val="auto"/>
                <w:sz w:val="24"/>
                <w:szCs w:val="22"/>
                <w:highlight w:val="none"/>
                <w:lang w:val="en-US" w:eastAsia="zh-CN" w:bidi="ar-SA"/>
              </w:rPr>
              <w:t>）《关于发布&lt;放射性废物分类&gt;的公告》（原环境保护部、工业和信息化部、国防科工局</w:t>
            </w:r>
            <w:r>
              <w:rPr>
                <w:rFonts w:hint="eastAsia"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lang w:val="en-US" w:eastAsia="zh-CN" w:bidi="ar-SA"/>
              </w:rPr>
              <w:t>公告2017年公告第65号公布，2018年1月1日起施行）；</w:t>
            </w:r>
          </w:p>
          <w:p w14:paraId="6213E91F">
            <w:pPr>
              <w:pStyle w:val="32"/>
              <w:keepNext w:val="0"/>
              <w:keepLines w:val="0"/>
              <w:pageBreakBefore w:val="0"/>
              <w:widowControl/>
              <w:suppressLineNumbers w:val="0"/>
              <w:shd w:val="clear" w:color="auto"/>
              <w:tabs>
                <w:tab w:val="left" w:pos="131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default" w:ascii="Times New Roman" w:hAnsi="Times New Roman" w:cs="Times New Roman"/>
                <w:color w:val="auto"/>
                <w:sz w:val="24"/>
                <w:szCs w:val="22"/>
                <w:highlight w:val="none"/>
                <w:lang w:val="en-US" w:eastAsia="zh-CN" w:bidi="ar-SA"/>
              </w:rPr>
              <w:t>2</w:t>
            </w:r>
            <w:r>
              <w:rPr>
                <w:rFonts w:hint="eastAsia" w:cs="Times New Roman"/>
                <w:color w:val="auto"/>
                <w:sz w:val="24"/>
                <w:szCs w:val="22"/>
                <w:highlight w:val="none"/>
                <w:lang w:val="en-US" w:eastAsia="zh-CN" w:bidi="ar-SA"/>
              </w:rPr>
              <w:t>5</w:t>
            </w:r>
            <w:r>
              <w:rPr>
                <w:rFonts w:hint="default" w:ascii="Times New Roman" w:hAnsi="Times New Roman" w:eastAsia="宋体" w:cs="Times New Roman"/>
                <w:color w:val="auto"/>
                <w:sz w:val="24"/>
                <w:szCs w:val="22"/>
                <w:highlight w:val="none"/>
                <w:lang w:val="en-US" w:eastAsia="zh-CN" w:bidi="ar-SA"/>
              </w:rPr>
              <w:t>）《产业结构调整指导目录（2024年本）》（2024年2月1日施行）。</w:t>
            </w:r>
          </w:p>
        </w:tc>
      </w:tr>
      <w:tr w14:paraId="360A1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24" w:type="dxa"/>
            <w:vAlign w:val="center"/>
          </w:tcPr>
          <w:p w14:paraId="37191254">
            <w:pPr>
              <w:pStyle w:val="32"/>
              <w:keepNext w:val="0"/>
              <w:keepLines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w:t>
            </w:r>
          </w:p>
          <w:p w14:paraId="22EEBDC3">
            <w:pPr>
              <w:pStyle w:val="32"/>
              <w:keepNext w:val="0"/>
              <w:keepLines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术</w:t>
            </w:r>
          </w:p>
          <w:p w14:paraId="0C6F21AB">
            <w:pPr>
              <w:pStyle w:val="32"/>
              <w:keepNext w:val="0"/>
              <w:keepLines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标</w:t>
            </w:r>
          </w:p>
          <w:p w14:paraId="703C7B56">
            <w:pPr>
              <w:pStyle w:val="32"/>
              <w:keepNext w:val="0"/>
              <w:keepLines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准</w:t>
            </w:r>
          </w:p>
        </w:tc>
        <w:tc>
          <w:tcPr>
            <w:tcW w:w="8867" w:type="dxa"/>
            <w:vAlign w:val="center"/>
          </w:tcPr>
          <w:p w14:paraId="3E620BA7">
            <w:pPr>
              <w:pStyle w:val="11"/>
              <w:keepNext w:val="0"/>
              <w:keepLines w:val="0"/>
              <w:pageBreakBefore w:val="0"/>
              <w:numPr>
                <w:ilvl w:val="-1"/>
                <w:numId w:val="0"/>
              </w:numPr>
              <w:suppressLineNumbers w:val="0"/>
              <w:shd w:val="clear"/>
              <w:kinsoku/>
              <w:wordWrap/>
              <w:overflowPunct/>
              <w:topLinePunct w:val="0"/>
              <w:autoSpaceDE w:val="0"/>
              <w:autoSpaceDN w:val="0"/>
              <w:bidi w:val="0"/>
              <w:adjustRightInd/>
              <w:snapToGrid/>
              <w:spacing w:before="0" w:beforeAutospacing="0" w:after="0" w:afterAutospacing="0" w:line="336" w:lineRule="auto"/>
              <w:ind w:left="0" w:right="0"/>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（1）《辐射环境保护管理导则核技术利用建设项目环境影响评价文件的内容和格式》（</w:t>
            </w:r>
            <w:r>
              <w:rPr>
                <w:rFonts w:hint="eastAsia" w:cs="Times New Roman"/>
                <w:color w:val="auto"/>
                <w:sz w:val="24"/>
                <w:szCs w:val="22"/>
                <w:highlight w:val="none"/>
                <w:lang w:val="en-US" w:eastAsia="zh-CN" w:bidi="ar-SA"/>
              </w:rPr>
              <w:t>HJ 10.1</w:t>
            </w:r>
            <w:r>
              <w:rPr>
                <w:rFonts w:hint="default" w:ascii="Times New Roman" w:hAnsi="Times New Roman" w:eastAsia="宋体" w:cs="Times New Roman"/>
                <w:color w:val="auto"/>
                <w:sz w:val="24"/>
                <w:szCs w:val="22"/>
                <w:highlight w:val="none"/>
                <w:lang w:val="en-US" w:eastAsia="zh-CN" w:bidi="ar-SA"/>
              </w:rPr>
              <w:t>-2016）；</w:t>
            </w:r>
          </w:p>
          <w:p w14:paraId="674335CD">
            <w:pPr>
              <w:pStyle w:val="11"/>
              <w:keepNext w:val="0"/>
              <w:keepLines w:val="0"/>
              <w:pageBreakBefore w:val="0"/>
              <w:numPr>
                <w:ilvl w:val="-1"/>
                <w:numId w:val="0"/>
              </w:numPr>
              <w:suppressLineNumbers w:val="0"/>
              <w:shd w:val="clear"/>
              <w:kinsoku/>
              <w:wordWrap/>
              <w:overflowPunct/>
              <w:topLinePunct w:val="0"/>
              <w:autoSpaceDE w:val="0"/>
              <w:autoSpaceDN w:val="0"/>
              <w:bidi w:val="0"/>
              <w:adjustRightInd/>
              <w:snapToGrid/>
              <w:spacing w:before="0" w:beforeAutospacing="0" w:after="0" w:afterAutospacing="0" w:line="336" w:lineRule="auto"/>
              <w:ind w:left="0" w:right="0"/>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（2）《电离辐射防护与辐射源安全基本标准》（GB 18871-2002）；</w:t>
            </w:r>
          </w:p>
          <w:p w14:paraId="750D84A4">
            <w:pPr>
              <w:pStyle w:val="11"/>
              <w:keepNext w:val="0"/>
              <w:keepLines w:val="0"/>
              <w:pageBreakBefore w:val="0"/>
              <w:numPr>
                <w:ilvl w:val="-1"/>
                <w:numId w:val="0"/>
              </w:numPr>
              <w:suppressLineNumbers w:val="0"/>
              <w:shd w:val="clear"/>
              <w:kinsoku/>
              <w:wordWrap/>
              <w:overflowPunct/>
              <w:topLinePunct w:val="0"/>
              <w:autoSpaceDE w:val="0"/>
              <w:autoSpaceDN w:val="0"/>
              <w:bidi w:val="0"/>
              <w:adjustRightInd/>
              <w:snapToGrid/>
              <w:spacing w:before="0" w:beforeAutospacing="0" w:after="0" w:afterAutospacing="0" w:line="336" w:lineRule="auto"/>
              <w:ind w:left="0" w:right="0"/>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（3）《辐射环境监测技术规范》（HJ61-2021）；</w:t>
            </w:r>
          </w:p>
          <w:p w14:paraId="74611446">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（4）《环境γ辐射剂量率测量技术规范》（HJ 1157-2021）；</w:t>
            </w:r>
          </w:p>
          <w:p w14:paraId="7CEB2107">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（5）《核医学辐射防护与安全要求》（HJ 1188-2021）；</w:t>
            </w:r>
          </w:p>
          <w:p w14:paraId="6752D0E9">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（6）《核医学放射防护要求》（GBZ120-2020）；</w:t>
            </w:r>
          </w:p>
          <w:p w14:paraId="18CA80AE">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7</w:t>
            </w:r>
            <w:r>
              <w:rPr>
                <w:rFonts w:hint="default" w:ascii="Times New Roman" w:hAnsi="Times New Roman" w:eastAsia="宋体" w:cs="Times New Roman"/>
                <w:color w:val="auto"/>
                <w:sz w:val="24"/>
                <w:szCs w:val="22"/>
                <w:highlight w:val="none"/>
                <w:lang w:val="en-US" w:eastAsia="zh-CN" w:bidi="ar-SA"/>
              </w:rPr>
              <w:t>）《辐射事故应急监测技术规范》（HJ 1155-2020）；</w:t>
            </w:r>
          </w:p>
          <w:p w14:paraId="53A8A3A7">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8</w:t>
            </w:r>
            <w:r>
              <w:rPr>
                <w:rFonts w:hint="default" w:ascii="Times New Roman" w:hAnsi="Times New Roman" w:eastAsia="宋体" w:cs="Times New Roman"/>
                <w:color w:val="auto"/>
                <w:sz w:val="24"/>
                <w:szCs w:val="22"/>
                <w:highlight w:val="none"/>
                <w:lang w:val="en-US" w:eastAsia="zh-CN" w:bidi="ar-SA"/>
              </w:rPr>
              <w:t>）《放射性废物管理规定》（GB14500-2002）；</w:t>
            </w:r>
          </w:p>
          <w:p w14:paraId="39EBBFD1">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9</w:t>
            </w:r>
            <w:r>
              <w:rPr>
                <w:rFonts w:hint="default" w:ascii="Times New Roman" w:hAnsi="Times New Roman" w:eastAsia="宋体" w:cs="Times New Roman"/>
                <w:color w:val="auto"/>
                <w:sz w:val="24"/>
                <w:szCs w:val="22"/>
                <w:highlight w:val="none"/>
                <w:lang w:val="en-US" w:eastAsia="zh-CN" w:bidi="ar-SA"/>
              </w:rPr>
              <w:t>）《操作非密封源的辐射防护规定》（GB11930-2010）；</w:t>
            </w:r>
          </w:p>
          <w:p w14:paraId="20D379D4">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10</w:t>
            </w:r>
            <w:r>
              <w:rPr>
                <w:rFonts w:hint="default" w:ascii="Times New Roman" w:hAnsi="Times New Roman" w:eastAsia="宋体" w:cs="Times New Roman"/>
                <w:color w:val="auto"/>
                <w:sz w:val="24"/>
                <w:szCs w:val="22"/>
                <w:highlight w:val="none"/>
                <w:lang w:val="en-US" w:eastAsia="zh-CN" w:bidi="ar-SA"/>
              </w:rPr>
              <w:t>）《医用放射性废物的卫生防护管理》（GBZ133-2009）</w:t>
            </w:r>
            <w:r>
              <w:rPr>
                <w:rFonts w:hint="default" w:ascii="Times New Roman" w:hAnsi="Times New Roman" w:cs="Times New Roman"/>
                <w:color w:val="auto"/>
                <w:sz w:val="24"/>
                <w:szCs w:val="22"/>
                <w:highlight w:val="none"/>
                <w:lang w:val="en-US" w:eastAsia="zh-CN" w:bidi="ar-SA"/>
              </w:rPr>
              <w:t>；</w:t>
            </w:r>
          </w:p>
          <w:p w14:paraId="3F9F48E4">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cs="Times New Roman"/>
                <w:color w:val="auto"/>
                <w:sz w:val="24"/>
                <w:szCs w:val="22"/>
                <w:highlight w:val="none"/>
                <w:lang w:val="en-US" w:eastAsia="zh-CN" w:bidi="ar-SA"/>
              </w:rPr>
            </w:pPr>
            <w:r>
              <w:rPr>
                <w:rFonts w:hint="default" w:ascii="Times New Roman" w:hAnsi="Times New Roman"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11</w:t>
            </w:r>
            <w:r>
              <w:rPr>
                <w:rFonts w:hint="default" w:ascii="Times New Roman" w:hAnsi="Times New Roman" w:cs="Times New Roman"/>
                <w:color w:val="auto"/>
                <w:sz w:val="24"/>
                <w:szCs w:val="22"/>
                <w:highlight w:val="none"/>
                <w:lang w:val="en-US" w:eastAsia="zh-CN" w:bidi="ar-SA"/>
              </w:rPr>
              <w:t>）《职业性外照射个人监测规范》（GBZ128-2019）；</w:t>
            </w:r>
          </w:p>
          <w:p w14:paraId="67E8757E">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cs="Times New Roman"/>
                <w:color w:val="auto"/>
                <w:sz w:val="24"/>
                <w:szCs w:val="22"/>
                <w:highlight w:val="none"/>
                <w:lang w:val="en-US" w:eastAsia="zh-CN" w:bidi="ar-SA"/>
              </w:rPr>
            </w:pPr>
            <w:r>
              <w:rPr>
                <w:rFonts w:hint="eastAsia" w:cs="Times New Roman"/>
                <w:color w:val="auto"/>
                <w:sz w:val="24"/>
                <w:szCs w:val="22"/>
                <w:highlight w:val="none"/>
                <w:lang w:val="en-US" w:eastAsia="zh-CN" w:bidi="ar-SA"/>
              </w:rPr>
              <w:t>（12）《放射工作人员健康要求及监护规范》（GBZ 98—2020）；</w:t>
            </w:r>
          </w:p>
          <w:p w14:paraId="7533E473">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cs="Times New Roman"/>
                <w:color w:val="auto"/>
                <w:sz w:val="24"/>
                <w:szCs w:val="22"/>
                <w:highlight w:val="none"/>
                <w:lang w:val="en-US" w:eastAsia="zh-CN" w:bidi="ar-SA"/>
              </w:rPr>
            </w:pPr>
            <w:r>
              <w:rPr>
                <w:rFonts w:hint="default" w:ascii="Times New Roman" w:hAnsi="Times New Roman" w:cs="Times New Roman"/>
                <w:color w:val="auto"/>
                <w:sz w:val="24"/>
                <w:szCs w:val="22"/>
                <w:highlight w:val="none"/>
                <w:lang w:val="en-US" w:eastAsia="zh-CN" w:bidi="ar-SA"/>
              </w:rPr>
              <w:t>（</w:t>
            </w:r>
            <w:r>
              <w:rPr>
                <w:rFonts w:hint="eastAsia" w:cs="Times New Roman"/>
                <w:color w:val="auto"/>
                <w:sz w:val="24"/>
                <w:szCs w:val="22"/>
                <w:highlight w:val="none"/>
                <w:lang w:val="en-US" w:eastAsia="zh-CN" w:bidi="ar-SA"/>
              </w:rPr>
              <w:t>13</w:t>
            </w:r>
            <w:r>
              <w:rPr>
                <w:rFonts w:hint="default" w:ascii="Times New Roman" w:hAnsi="Times New Roman" w:cs="Times New Roman"/>
                <w:color w:val="auto"/>
                <w:sz w:val="24"/>
                <w:szCs w:val="22"/>
                <w:highlight w:val="none"/>
                <w:lang w:val="en-US" w:eastAsia="zh-CN" w:bidi="ar-SA"/>
              </w:rPr>
              <w:t>）《核与辐射事故医学响应程序》（WS/T467-2014）</w:t>
            </w:r>
            <w:r>
              <w:rPr>
                <w:rFonts w:hint="eastAsia" w:cs="Times New Roman"/>
                <w:color w:val="auto"/>
                <w:sz w:val="24"/>
                <w:szCs w:val="22"/>
                <w:highlight w:val="none"/>
                <w:lang w:val="en-US" w:eastAsia="zh-CN" w:bidi="ar-SA"/>
              </w:rPr>
              <w:t>。</w:t>
            </w:r>
          </w:p>
        </w:tc>
      </w:tr>
      <w:tr w14:paraId="3C0D0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1" w:hRule="atLeast"/>
        </w:trPr>
        <w:tc>
          <w:tcPr>
            <w:tcW w:w="624" w:type="dxa"/>
            <w:vAlign w:val="center"/>
          </w:tcPr>
          <w:p w14:paraId="48441E39">
            <w:pPr>
              <w:pStyle w:val="32"/>
              <w:keepNext w:val="0"/>
              <w:keepLines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其</w:t>
            </w:r>
          </w:p>
          <w:p w14:paraId="38DEB9F2">
            <w:pPr>
              <w:pStyle w:val="32"/>
              <w:keepNext w:val="0"/>
              <w:keepLines w:val="0"/>
              <w:suppressLineNumbers w:val="0"/>
              <w:shd w:val="clear"/>
              <w:spacing w:before="0" w:beforeAutospacing="0" w:after="0" w:afterAutospacing="0" w:line="360" w:lineRule="auto"/>
              <w:ind w:left="0" w:right="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他</w:t>
            </w:r>
          </w:p>
        </w:tc>
        <w:tc>
          <w:tcPr>
            <w:tcW w:w="8867" w:type="dxa"/>
          </w:tcPr>
          <w:p w14:paraId="562553A1">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Lines="5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2"/>
                <w:highlight w:val="none"/>
                <w:lang w:val="en-US" w:eastAsia="zh-CN" w:bidi="ar-SA"/>
              </w:rPr>
              <w:t>1）</w:t>
            </w:r>
            <w:r>
              <w:rPr>
                <w:rFonts w:hint="default" w:ascii="Times New Roman" w:hAnsi="Times New Roman" w:cs="Times New Roman"/>
                <w:color w:val="auto"/>
                <w:sz w:val="24"/>
                <w:szCs w:val="22"/>
                <w:highlight w:val="none"/>
                <w:lang w:val="en-US" w:eastAsia="zh-CN" w:bidi="ar-SA"/>
              </w:rPr>
              <w:t>新疆医科大学附属肿瘤医院</w:t>
            </w:r>
            <w:r>
              <w:rPr>
                <w:rFonts w:hint="default" w:ascii="Times New Roman" w:hAnsi="Times New Roman" w:eastAsia="宋体" w:cs="Times New Roman"/>
                <w:color w:val="auto"/>
                <w:sz w:val="24"/>
                <w:szCs w:val="22"/>
                <w:highlight w:val="none"/>
                <w:lang w:val="en-US" w:eastAsia="zh-CN" w:bidi="ar-SA"/>
              </w:rPr>
              <w:t>环境影响评价委托书；</w:t>
            </w:r>
          </w:p>
          <w:p w14:paraId="7131790B">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（2）</w:t>
            </w:r>
            <w:r>
              <w:rPr>
                <w:rFonts w:hint="default" w:ascii="Times New Roman" w:hAnsi="Times New Roman" w:cs="Times New Roman"/>
                <w:color w:val="auto"/>
                <w:sz w:val="24"/>
                <w:szCs w:val="22"/>
                <w:highlight w:val="none"/>
                <w:lang w:val="en-US" w:eastAsia="zh-CN" w:bidi="ar-SA"/>
              </w:rPr>
              <w:t>新疆医科大学中亚肿瘤医学中心项目一标段核医学中心项目</w:t>
            </w:r>
            <w:r>
              <w:rPr>
                <w:rFonts w:hint="default" w:ascii="Times New Roman" w:hAnsi="Times New Roman" w:eastAsia="宋体" w:cs="Times New Roman"/>
                <w:color w:val="auto"/>
                <w:sz w:val="24"/>
                <w:szCs w:val="22"/>
                <w:highlight w:val="none"/>
                <w:lang w:val="en-US" w:eastAsia="zh-CN" w:bidi="ar-SA"/>
              </w:rPr>
              <w:t>设计图纸；</w:t>
            </w:r>
          </w:p>
          <w:p w14:paraId="4AFC9FFF">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（3）</w:t>
            </w:r>
            <w:r>
              <w:rPr>
                <w:rFonts w:hint="default" w:ascii="Times New Roman" w:hAnsi="Times New Roman" w:cs="Times New Roman"/>
                <w:color w:val="auto"/>
                <w:sz w:val="24"/>
                <w:szCs w:val="22"/>
                <w:highlight w:val="none"/>
                <w:lang w:val="en-US" w:eastAsia="zh-CN" w:bidi="ar-SA"/>
              </w:rPr>
              <w:t>新疆医科大学附属肿瘤医院</w:t>
            </w:r>
            <w:r>
              <w:rPr>
                <w:rFonts w:hint="default" w:ascii="Times New Roman" w:hAnsi="Times New Roman" w:eastAsia="宋体" w:cs="Times New Roman"/>
                <w:color w:val="auto"/>
                <w:sz w:val="24"/>
                <w:szCs w:val="22"/>
                <w:highlight w:val="none"/>
                <w:lang w:val="en-US" w:eastAsia="zh-CN" w:bidi="ar-SA"/>
              </w:rPr>
              <w:t>提供的其它技术资料；</w:t>
            </w:r>
          </w:p>
          <w:p w14:paraId="1941226D">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color w:val="auto"/>
                <w:spacing w:val="-7"/>
                <w:sz w:val="24"/>
                <w:szCs w:val="24"/>
                <w:highlight w:val="none"/>
                <w:lang w:eastAsia="zh-CN"/>
              </w:rPr>
            </w:pPr>
            <w:r>
              <w:rPr>
                <w:rFonts w:hint="default" w:ascii="Times New Roman" w:hAnsi="Times New Roman" w:eastAsia="宋体" w:cs="Times New Roman"/>
                <w:color w:val="auto"/>
                <w:spacing w:val="-7"/>
                <w:sz w:val="24"/>
                <w:szCs w:val="24"/>
                <w:highlight w:val="none"/>
                <w:lang w:eastAsia="zh-CN"/>
              </w:rPr>
              <w:t>（</w:t>
            </w:r>
            <w:r>
              <w:rPr>
                <w:rFonts w:hint="default" w:ascii="Times New Roman" w:hAnsi="Times New Roman" w:cs="Times New Roman"/>
                <w:color w:val="auto"/>
                <w:spacing w:val="-7"/>
                <w:sz w:val="24"/>
                <w:szCs w:val="24"/>
                <w:highlight w:val="none"/>
                <w:lang w:val="en-US" w:eastAsia="zh-CN"/>
              </w:rPr>
              <w:t>4</w:t>
            </w:r>
            <w:r>
              <w:rPr>
                <w:rFonts w:hint="default" w:ascii="Times New Roman" w:hAnsi="Times New Roman" w:eastAsia="宋体" w:cs="Times New Roman"/>
                <w:color w:val="auto"/>
                <w:spacing w:val="-7"/>
                <w:sz w:val="24"/>
                <w:szCs w:val="24"/>
                <w:highlight w:val="none"/>
                <w:lang w:eastAsia="zh-CN"/>
              </w:rPr>
              <w:t>）</w:t>
            </w:r>
            <w:r>
              <w:rPr>
                <w:rFonts w:hint="default" w:ascii="Times New Roman" w:hAnsi="Times New Roman" w:eastAsia="宋体" w:cs="Times New Roman"/>
                <w:color w:val="auto"/>
                <w:spacing w:val="-7"/>
                <w:sz w:val="24"/>
                <w:szCs w:val="24"/>
                <w:highlight w:val="none"/>
              </w:rPr>
              <w:t>《新疆维吾尔自治区环境天然放射性水平调查研究报告》</w:t>
            </w:r>
            <w:r>
              <w:rPr>
                <w:rFonts w:hint="default" w:ascii="Times New Roman" w:hAnsi="Times New Roman" w:eastAsia="宋体" w:cs="Times New Roman"/>
                <w:color w:val="auto"/>
                <w:spacing w:val="-7"/>
                <w:sz w:val="24"/>
                <w:szCs w:val="24"/>
                <w:highlight w:val="none"/>
                <w:lang w:eastAsia="zh-CN"/>
              </w:rPr>
              <w:t>（</w:t>
            </w:r>
            <w:r>
              <w:rPr>
                <w:rFonts w:hint="default" w:ascii="Times New Roman" w:hAnsi="Times New Roman" w:eastAsia="宋体" w:cs="Times New Roman"/>
                <w:color w:val="auto"/>
                <w:spacing w:val="-7"/>
                <w:sz w:val="24"/>
                <w:szCs w:val="24"/>
                <w:highlight w:val="none"/>
                <w:lang w:val="en-US" w:eastAsia="zh-CN"/>
              </w:rPr>
              <w:t>新疆环境监测中心站</w:t>
            </w:r>
            <w:r>
              <w:rPr>
                <w:rFonts w:hint="eastAsia" w:cs="Times New Roman"/>
                <w:color w:val="auto"/>
                <w:spacing w:val="-7"/>
                <w:sz w:val="24"/>
                <w:szCs w:val="24"/>
                <w:highlight w:val="none"/>
                <w:lang w:val="en-US" w:eastAsia="zh-CN"/>
              </w:rPr>
              <w:t>，1989年</w:t>
            </w:r>
            <w:r>
              <w:rPr>
                <w:rFonts w:hint="default" w:ascii="Times New Roman" w:hAnsi="Times New Roman" w:eastAsia="宋体" w:cs="Times New Roman"/>
                <w:color w:val="auto"/>
                <w:spacing w:val="-7"/>
                <w:sz w:val="24"/>
                <w:szCs w:val="24"/>
                <w:highlight w:val="none"/>
                <w:lang w:eastAsia="zh-CN"/>
              </w:rPr>
              <w:t>）</w:t>
            </w:r>
            <w:r>
              <w:rPr>
                <w:rFonts w:hint="default" w:ascii="Times New Roman" w:hAnsi="Times New Roman" w:cs="Times New Roman"/>
                <w:color w:val="auto"/>
                <w:spacing w:val="-7"/>
                <w:sz w:val="24"/>
                <w:szCs w:val="24"/>
                <w:highlight w:val="none"/>
                <w:lang w:eastAsia="zh-CN"/>
              </w:rPr>
              <w:t>；</w:t>
            </w:r>
          </w:p>
          <w:p w14:paraId="024279CF">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b w:val="0"/>
                <w:bCs w:val="0"/>
                <w:color w:val="auto"/>
                <w:sz w:val="24"/>
                <w:szCs w:val="22"/>
                <w:highlight w:val="none"/>
                <w:lang w:val="en-US" w:eastAsia="zh-CN"/>
              </w:rPr>
            </w:pPr>
            <w:r>
              <w:rPr>
                <w:rFonts w:hint="default" w:ascii="Times New Roman" w:hAnsi="Times New Roman" w:cs="Times New Roman"/>
                <w:color w:val="auto"/>
                <w:spacing w:val="-7"/>
                <w:sz w:val="24"/>
                <w:szCs w:val="24"/>
                <w:highlight w:val="none"/>
                <w:lang w:eastAsia="zh-CN"/>
              </w:rPr>
              <w:t>（</w:t>
            </w:r>
            <w:r>
              <w:rPr>
                <w:rFonts w:hint="default" w:ascii="Times New Roman" w:hAnsi="Times New Roman" w:cs="Times New Roman"/>
                <w:color w:val="auto"/>
                <w:spacing w:val="-7"/>
                <w:sz w:val="24"/>
                <w:szCs w:val="24"/>
                <w:highlight w:val="none"/>
                <w:lang w:val="en-US" w:eastAsia="zh-CN"/>
              </w:rPr>
              <w:t>5</w:t>
            </w:r>
            <w:r>
              <w:rPr>
                <w:rFonts w:hint="default" w:ascii="Times New Roman" w:hAnsi="Times New Roman" w:cs="Times New Roman"/>
                <w:color w:val="auto"/>
                <w:spacing w:val="-7"/>
                <w:sz w:val="24"/>
                <w:szCs w:val="24"/>
                <w:highlight w:val="none"/>
                <w:lang w:eastAsia="zh-CN"/>
              </w:rPr>
              <w:t>）</w:t>
            </w:r>
            <w:r>
              <w:rPr>
                <w:rFonts w:hint="default" w:ascii="Times New Roman" w:hAnsi="Times New Roman" w:eastAsia="宋体" w:cs="Times New Roman"/>
                <w:b w:val="0"/>
                <w:bCs w:val="0"/>
                <w:color w:val="auto"/>
                <w:sz w:val="24"/>
                <w:szCs w:val="22"/>
                <w:highlight w:val="none"/>
                <w:lang w:val="en-US" w:eastAsia="zh-CN"/>
              </w:rPr>
              <w:t>《新疆医科大学中亚肿瘤医学中心项目一标段</w:t>
            </w:r>
            <w:r>
              <w:rPr>
                <w:rFonts w:hint="default" w:ascii="Times New Roman" w:hAnsi="Times New Roman" w:cs="Times New Roman"/>
                <w:b w:val="0"/>
                <w:bCs w:val="0"/>
                <w:color w:val="auto"/>
                <w:sz w:val="24"/>
                <w:szCs w:val="22"/>
                <w:highlight w:val="none"/>
                <w:lang w:val="en-US" w:eastAsia="zh-CN"/>
              </w:rPr>
              <w:t>核医学楼</w:t>
            </w:r>
            <w:r>
              <w:rPr>
                <w:rFonts w:hint="default" w:ascii="Times New Roman" w:hAnsi="Times New Roman" w:eastAsia="宋体" w:cs="Times New Roman"/>
                <w:b w:val="0"/>
                <w:bCs w:val="0"/>
                <w:color w:val="auto"/>
                <w:sz w:val="24"/>
                <w:szCs w:val="22"/>
                <w:highlight w:val="none"/>
                <w:lang w:val="en-US" w:eastAsia="zh-CN"/>
              </w:rPr>
              <w:t>项目环境影响报告表（报批稿）》（乌鲁木齐众智安环工程咨询公司</w:t>
            </w:r>
            <w:r>
              <w:rPr>
                <w:rFonts w:hint="default" w:ascii="Times New Roman" w:hAnsi="Times New Roman" w:cs="Times New Roman"/>
                <w:b w:val="0"/>
                <w:bCs w:val="0"/>
                <w:color w:val="auto"/>
                <w:sz w:val="24"/>
                <w:szCs w:val="22"/>
                <w:highlight w:val="none"/>
                <w:lang w:val="en-US" w:eastAsia="zh-CN"/>
              </w:rPr>
              <w:t>，</w:t>
            </w:r>
            <w:r>
              <w:rPr>
                <w:rFonts w:hint="default" w:ascii="Times New Roman" w:hAnsi="Times New Roman" w:eastAsia="宋体" w:cs="Times New Roman"/>
                <w:b w:val="0"/>
                <w:bCs w:val="0"/>
                <w:color w:val="auto"/>
                <w:sz w:val="24"/>
                <w:szCs w:val="22"/>
                <w:highlight w:val="none"/>
                <w:lang w:val="en-US" w:eastAsia="zh-CN"/>
              </w:rPr>
              <w:t>202</w:t>
            </w:r>
            <w:r>
              <w:rPr>
                <w:rFonts w:hint="default" w:ascii="Times New Roman" w:hAnsi="Times New Roman" w:cs="Times New Roman"/>
                <w:b w:val="0"/>
                <w:bCs w:val="0"/>
                <w:color w:val="auto"/>
                <w:sz w:val="24"/>
                <w:szCs w:val="22"/>
                <w:highlight w:val="none"/>
                <w:lang w:val="en-US" w:eastAsia="zh-CN"/>
              </w:rPr>
              <w:t>3</w:t>
            </w:r>
            <w:r>
              <w:rPr>
                <w:rFonts w:hint="default" w:ascii="Times New Roman" w:hAnsi="Times New Roman" w:eastAsia="宋体" w:cs="Times New Roman"/>
                <w:b w:val="0"/>
                <w:bCs w:val="0"/>
                <w:color w:val="auto"/>
                <w:sz w:val="24"/>
                <w:szCs w:val="22"/>
                <w:highlight w:val="none"/>
                <w:lang w:val="en-US" w:eastAsia="zh-CN"/>
              </w:rPr>
              <w:t>年</w:t>
            </w:r>
            <w:r>
              <w:rPr>
                <w:rFonts w:hint="default" w:ascii="Times New Roman" w:hAnsi="Times New Roman" w:cs="Times New Roman"/>
                <w:b w:val="0"/>
                <w:bCs w:val="0"/>
                <w:color w:val="auto"/>
                <w:sz w:val="24"/>
                <w:szCs w:val="22"/>
                <w:highlight w:val="none"/>
                <w:lang w:val="en-US" w:eastAsia="zh-CN"/>
              </w:rPr>
              <w:t>6</w:t>
            </w:r>
            <w:r>
              <w:rPr>
                <w:rFonts w:hint="default" w:ascii="Times New Roman" w:hAnsi="Times New Roman" w:eastAsia="宋体" w:cs="Times New Roman"/>
                <w:b w:val="0"/>
                <w:bCs w:val="0"/>
                <w:color w:val="auto"/>
                <w:sz w:val="24"/>
                <w:szCs w:val="22"/>
                <w:highlight w:val="none"/>
                <w:lang w:val="en-US" w:eastAsia="zh-CN"/>
              </w:rPr>
              <w:t>月）</w:t>
            </w:r>
            <w:r>
              <w:rPr>
                <w:rFonts w:hint="default" w:ascii="Times New Roman" w:hAnsi="Times New Roman" w:cs="Times New Roman"/>
                <w:b w:val="0"/>
                <w:bCs w:val="0"/>
                <w:color w:val="auto"/>
                <w:sz w:val="24"/>
                <w:szCs w:val="22"/>
                <w:highlight w:val="none"/>
                <w:lang w:val="en-US" w:eastAsia="zh-CN"/>
              </w:rPr>
              <w:t>；</w:t>
            </w:r>
          </w:p>
          <w:p w14:paraId="457AB04A">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b w:val="0"/>
                <w:bCs w:val="0"/>
                <w:color w:val="auto"/>
                <w:sz w:val="24"/>
                <w:szCs w:val="22"/>
                <w:highlight w:val="none"/>
                <w:lang w:val="en-US" w:eastAsia="zh-CN"/>
              </w:rPr>
            </w:pPr>
            <w:r>
              <w:rPr>
                <w:rFonts w:hint="default" w:ascii="Times New Roman" w:hAnsi="Times New Roman" w:cs="Times New Roman"/>
                <w:b w:val="0"/>
                <w:bCs w:val="0"/>
                <w:color w:val="auto"/>
                <w:sz w:val="24"/>
                <w:szCs w:val="22"/>
                <w:highlight w:val="none"/>
                <w:lang w:val="en-US" w:eastAsia="zh-CN"/>
              </w:rPr>
              <w:t>（</w:t>
            </w:r>
            <w:r>
              <w:rPr>
                <w:rFonts w:hint="eastAsia" w:cs="Times New Roman"/>
                <w:b w:val="0"/>
                <w:bCs w:val="0"/>
                <w:color w:val="auto"/>
                <w:sz w:val="24"/>
                <w:szCs w:val="22"/>
                <w:highlight w:val="none"/>
                <w:lang w:val="en-US" w:eastAsia="zh-CN"/>
              </w:rPr>
              <w:t>6</w:t>
            </w:r>
            <w:r>
              <w:rPr>
                <w:rFonts w:hint="default" w:ascii="Times New Roman" w:hAnsi="Times New Roman" w:cs="Times New Roman"/>
                <w:b w:val="0"/>
                <w:bCs w:val="0"/>
                <w:color w:val="auto"/>
                <w:sz w:val="24"/>
                <w:szCs w:val="22"/>
                <w:highlight w:val="none"/>
                <w:lang w:val="en-US" w:eastAsia="zh-CN"/>
              </w:rPr>
              <w:t>）《</w:t>
            </w:r>
            <w:r>
              <w:rPr>
                <w:rFonts w:hint="default" w:ascii="Times New Roman" w:hAnsi="Times New Roman" w:eastAsia="宋体" w:cs="Times New Roman"/>
                <w:b w:val="0"/>
                <w:bCs w:val="0"/>
                <w:color w:val="auto"/>
                <w:sz w:val="24"/>
                <w:szCs w:val="22"/>
                <w:highlight w:val="none"/>
                <w:lang w:val="en-US" w:eastAsia="zh-CN"/>
              </w:rPr>
              <w:t>关于新疆医科大学中亚肿瘤医学中心</w:t>
            </w:r>
            <w:r>
              <w:rPr>
                <w:rFonts w:hint="default" w:ascii="Times New Roman" w:hAnsi="Times New Roman" w:cs="Times New Roman"/>
                <w:b w:val="0"/>
                <w:bCs w:val="0"/>
                <w:color w:val="auto"/>
                <w:sz w:val="24"/>
                <w:szCs w:val="22"/>
                <w:highlight w:val="none"/>
                <w:lang w:val="en-US" w:eastAsia="zh-CN"/>
              </w:rPr>
              <w:t>项目一</w:t>
            </w:r>
            <w:r>
              <w:rPr>
                <w:rFonts w:hint="default" w:ascii="Times New Roman" w:hAnsi="Times New Roman" w:eastAsia="宋体" w:cs="Times New Roman"/>
                <w:b w:val="0"/>
                <w:bCs w:val="0"/>
                <w:color w:val="auto"/>
                <w:sz w:val="24"/>
                <w:szCs w:val="22"/>
                <w:highlight w:val="none"/>
                <w:lang w:val="en-US" w:eastAsia="zh-CN"/>
              </w:rPr>
              <w:t>标段</w:t>
            </w:r>
            <w:r>
              <w:rPr>
                <w:rFonts w:hint="default" w:ascii="Times New Roman" w:hAnsi="Times New Roman" w:cs="Times New Roman"/>
                <w:b w:val="0"/>
                <w:bCs w:val="0"/>
                <w:color w:val="auto"/>
                <w:sz w:val="24"/>
                <w:szCs w:val="22"/>
                <w:highlight w:val="none"/>
                <w:lang w:val="en-US" w:eastAsia="zh-CN"/>
              </w:rPr>
              <w:t>核医学楼</w:t>
            </w:r>
            <w:r>
              <w:rPr>
                <w:rFonts w:hint="default" w:ascii="Times New Roman" w:hAnsi="Times New Roman" w:eastAsia="宋体" w:cs="Times New Roman"/>
                <w:b w:val="0"/>
                <w:bCs w:val="0"/>
                <w:color w:val="auto"/>
                <w:sz w:val="24"/>
                <w:szCs w:val="22"/>
                <w:highlight w:val="none"/>
                <w:lang w:val="en-US" w:eastAsia="zh-CN"/>
              </w:rPr>
              <w:t>项目环境影响报告表的批复</w:t>
            </w:r>
            <w:r>
              <w:rPr>
                <w:rFonts w:hint="default" w:ascii="Times New Roman" w:hAnsi="Times New Roman" w:cs="Times New Roman"/>
                <w:b w:val="0"/>
                <w:bCs w:val="0"/>
                <w:color w:val="auto"/>
                <w:sz w:val="24"/>
                <w:szCs w:val="22"/>
                <w:highlight w:val="none"/>
                <w:lang w:val="en-US" w:eastAsia="zh-CN"/>
              </w:rPr>
              <w:t>》（新环审〔2023〕169号）；</w:t>
            </w:r>
          </w:p>
          <w:p w14:paraId="0EB1D3D0">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eastAsia="宋体" w:cs="Times New Roman"/>
                <w:b w:val="0"/>
                <w:bCs w:val="0"/>
                <w:color w:val="auto"/>
                <w:sz w:val="24"/>
                <w:szCs w:val="22"/>
                <w:highlight w:val="none"/>
                <w:lang w:val="en-US" w:eastAsia="zh-CN"/>
              </w:rPr>
            </w:pPr>
            <w:r>
              <w:rPr>
                <w:rFonts w:hint="eastAsia" w:cs="Times New Roman"/>
                <w:b w:val="0"/>
                <w:bCs w:val="0"/>
                <w:color w:val="auto"/>
                <w:sz w:val="24"/>
                <w:szCs w:val="22"/>
                <w:highlight w:val="none"/>
                <w:lang w:val="en-US" w:eastAsia="zh-CN"/>
              </w:rPr>
              <w:t>（7）《新疆医科大学中亚肿瘤医学中心项目一标段核医学中心项目竣工环境保护验收监测报告表》（新疆智检汇安环保科技有限公司，2026年5月）；</w:t>
            </w:r>
          </w:p>
          <w:p w14:paraId="3C3198D3">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eastAsia" w:cs="Times New Roman"/>
                <w:b w:val="0"/>
                <w:bCs w:val="0"/>
                <w:color w:val="auto"/>
                <w:sz w:val="24"/>
                <w:szCs w:val="22"/>
                <w:highlight w:val="none"/>
                <w:lang w:val="en-US" w:eastAsia="zh-CN"/>
              </w:rPr>
            </w:pPr>
            <w:r>
              <w:rPr>
                <w:rFonts w:hint="eastAsia" w:cs="Times New Roman"/>
                <w:b w:val="0"/>
                <w:bCs w:val="0"/>
                <w:color w:val="auto"/>
                <w:sz w:val="24"/>
                <w:szCs w:val="22"/>
                <w:highlight w:val="none"/>
                <w:lang w:val="en-US" w:eastAsia="zh-CN"/>
              </w:rPr>
              <w:t>（8）《新疆医科大学附属肿瘤医院新增数字减影血管造影机(DSA)项目环境影响报告表（报批稿）》（合肥金浩峰检测研究院有限公司，2025年8月）；</w:t>
            </w:r>
          </w:p>
          <w:p w14:paraId="191C1777">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eastAsia" w:cs="Times New Roman"/>
                <w:b w:val="0"/>
                <w:bCs w:val="0"/>
                <w:color w:val="auto"/>
                <w:sz w:val="24"/>
                <w:szCs w:val="22"/>
                <w:highlight w:val="none"/>
                <w:lang w:val="en-US" w:eastAsia="zh-CN"/>
              </w:rPr>
            </w:pPr>
            <w:r>
              <w:rPr>
                <w:rFonts w:hint="eastAsia" w:cs="Times New Roman"/>
                <w:b w:val="0"/>
                <w:bCs w:val="0"/>
                <w:color w:val="auto"/>
                <w:sz w:val="24"/>
                <w:szCs w:val="22"/>
                <w:highlight w:val="none"/>
                <w:lang w:val="en-US" w:eastAsia="zh-CN"/>
              </w:rPr>
              <w:t>（9）《</w:t>
            </w:r>
            <w:r>
              <w:rPr>
                <w:rFonts w:hint="default" w:ascii="Times New Roman" w:hAnsi="Times New Roman" w:eastAsia="宋体" w:cs="Times New Roman"/>
                <w:b w:val="0"/>
                <w:bCs w:val="0"/>
                <w:color w:val="auto"/>
                <w:sz w:val="24"/>
                <w:szCs w:val="22"/>
                <w:highlight w:val="none"/>
                <w:lang w:val="en-US" w:eastAsia="zh-CN"/>
              </w:rPr>
              <w:t>关于新疆医科大学附属肿瘤医院新增数字减影血管造影机(DSA)项目环境影响报告表的批复</w:t>
            </w:r>
            <w:r>
              <w:rPr>
                <w:rFonts w:hint="eastAsia" w:cs="Times New Roman"/>
                <w:b w:val="0"/>
                <w:bCs w:val="0"/>
                <w:color w:val="auto"/>
                <w:sz w:val="24"/>
                <w:szCs w:val="22"/>
                <w:highlight w:val="none"/>
                <w:lang w:val="en-US" w:eastAsia="zh-CN"/>
              </w:rPr>
              <w:t>》（乌环评审〔2025〕162号）；</w:t>
            </w:r>
          </w:p>
          <w:p w14:paraId="77472685">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cs="Times New Roman"/>
                <w:b w:val="0"/>
                <w:bCs w:val="0"/>
                <w:color w:val="auto"/>
                <w:sz w:val="24"/>
                <w:szCs w:val="22"/>
                <w:highlight w:val="none"/>
                <w:lang w:val="en-US" w:eastAsia="zh-CN"/>
              </w:rPr>
            </w:pPr>
            <w:r>
              <w:rPr>
                <w:rFonts w:hint="default" w:ascii="Times New Roman" w:hAnsi="Times New Roman" w:eastAsia="宋体" w:cs="Times New Roman"/>
                <w:b w:val="0"/>
                <w:bCs w:val="0"/>
                <w:color w:val="auto"/>
                <w:sz w:val="24"/>
                <w:szCs w:val="22"/>
                <w:highlight w:val="none"/>
                <w:lang w:val="en-US" w:eastAsia="zh-CN"/>
              </w:rPr>
              <w:t>（</w:t>
            </w:r>
            <w:r>
              <w:rPr>
                <w:rFonts w:hint="eastAsia" w:cs="Times New Roman"/>
                <w:b w:val="0"/>
                <w:bCs w:val="0"/>
                <w:color w:val="auto"/>
                <w:sz w:val="24"/>
                <w:szCs w:val="22"/>
                <w:highlight w:val="none"/>
                <w:lang w:val="en-US" w:eastAsia="zh-CN"/>
              </w:rPr>
              <w:t>10</w:t>
            </w:r>
            <w:r>
              <w:rPr>
                <w:rFonts w:hint="default" w:ascii="Times New Roman" w:hAnsi="Times New Roman" w:eastAsia="宋体" w:cs="Times New Roman"/>
                <w:b w:val="0"/>
                <w:bCs w:val="0"/>
                <w:color w:val="auto"/>
                <w:sz w:val="24"/>
                <w:szCs w:val="22"/>
                <w:highlight w:val="none"/>
                <w:lang w:val="en-US" w:eastAsia="zh-CN"/>
              </w:rPr>
              <w:t>）《辐射防护手册（第三分册）》（李德平、潘自强主编）</w:t>
            </w:r>
            <w:r>
              <w:rPr>
                <w:rFonts w:hint="default" w:ascii="Times New Roman" w:hAnsi="Times New Roman" w:cs="Times New Roman"/>
                <w:b w:val="0"/>
                <w:bCs w:val="0"/>
                <w:color w:val="auto"/>
                <w:sz w:val="24"/>
                <w:szCs w:val="22"/>
                <w:highlight w:val="none"/>
                <w:lang w:val="en-US" w:eastAsia="zh-CN"/>
              </w:rPr>
              <w:t>；</w:t>
            </w:r>
          </w:p>
          <w:p w14:paraId="48C6CB06">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cs="Times New Roman"/>
                <w:b w:val="0"/>
                <w:bCs w:val="0"/>
                <w:color w:val="auto"/>
                <w:sz w:val="24"/>
                <w:szCs w:val="22"/>
                <w:highlight w:val="none"/>
                <w:lang w:val="en-US" w:eastAsia="zh-CN"/>
              </w:rPr>
            </w:pPr>
            <w:r>
              <w:rPr>
                <w:rFonts w:hint="default" w:ascii="Times New Roman" w:hAnsi="Times New Roman" w:cs="Times New Roman"/>
                <w:b w:val="0"/>
                <w:bCs w:val="0"/>
                <w:color w:val="auto"/>
                <w:sz w:val="24"/>
                <w:szCs w:val="22"/>
                <w:highlight w:val="none"/>
                <w:lang w:val="en-US" w:eastAsia="zh-CN"/>
              </w:rPr>
              <w:t>（</w:t>
            </w:r>
            <w:r>
              <w:rPr>
                <w:rFonts w:hint="eastAsia" w:cs="Times New Roman"/>
                <w:b w:val="0"/>
                <w:bCs w:val="0"/>
                <w:color w:val="auto"/>
                <w:sz w:val="24"/>
                <w:szCs w:val="22"/>
                <w:highlight w:val="none"/>
                <w:lang w:val="en-US" w:eastAsia="zh-CN"/>
              </w:rPr>
              <w:t>11</w:t>
            </w:r>
            <w:r>
              <w:rPr>
                <w:rFonts w:hint="default" w:ascii="Times New Roman" w:hAnsi="Times New Roman" w:cs="Times New Roman"/>
                <w:b w:val="0"/>
                <w:bCs w:val="0"/>
                <w:color w:val="auto"/>
                <w:sz w:val="24"/>
                <w:szCs w:val="22"/>
                <w:highlight w:val="none"/>
                <w:lang w:val="en-US" w:eastAsia="zh-CN"/>
              </w:rPr>
              <w:t>）《辐射安全手册》（潘自强主编）；</w:t>
            </w:r>
          </w:p>
          <w:p w14:paraId="4F273E22">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cs="Times New Roman"/>
                <w:b w:val="0"/>
                <w:bCs w:val="0"/>
                <w:color w:val="auto"/>
                <w:sz w:val="24"/>
                <w:szCs w:val="22"/>
                <w:highlight w:val="none"/>
                <w:lang w:val="en-US" w:eastAsia="zh-CN"/>
              </w:rPr>
            </w:pPr>
            <w:r>
              <w:rPr>
                <w:rFonts w:hint="default" w:ascii="Times New Roman" w:hAnsi="Times New Roman" w:cs="Times New Roman"/>
                <w:b w:val="0"/>
                <w:bCs w:val="0"/>
                <w:color w:val="auto"/>
                <w:sz w:val="24"/>
                <w:szCs w:val="22"/>
                <w:highlight w:val="none"/>
                <w:lang w:val="en-US" w:eastAsia="zh-CN"/>
              </w:rPr>
              <w:t>（</w:t>
            </w:r>
            <w:r>
              <w:rPr>
                <w:rFonts w:hint="eastAsia" w:cs="Times New Roman"/>
                <w:b w:val="0"/>
                <w:bCs w:val="0"/>
                <w:color w:val="auto"/>
                <w:sz w:val="24"/>
                <w:szCs w:val="22"/>
                <w:highlight w:val="none"/>
                <w:lang w:val="en-US" w:eastAsia="zh-CN"/>
              </w:rPr>
              <w:t>12</w:t>
            </w:r>
            <w:r>
              <w:rPr>
                <w:rFonts w:hint="default" w:ascii="Times New Roman" w:hAnsi="Times New Roman" w:cs="Times New Roman"/>
                <w:b w:val="0"/>
                <w:bCs w:val="0"/>
                <w:color w:val="auto"/>
                <w:sz w:val="24"/>
                <w:szCs w:val="22"/>
                <w:highlight w:val="none"/>
                <w:lang w:val="en-US" w:eastAsia="zh-CN"/>
              </w:rPr>
              <w:t>）《</w:t>
            </w:r>
            <w:r>
              <w:rPr>
                <w:rFonts w:hint="eastAsia" w:cs="Times New Roman"/>
                <w:b w:val="0"/>
                <w:bCs w:val="0"/>
                <w:color w:val="auto"/>
                <w:sz w:val="24"/>
                <w:szCs w:val="22"/>
                <w:highlight w:val="none"/>
                <w:vertAlign w:val="baseline"/>
                <w:lang w:val="en-US" w:eastAsia="zh-CN"/>
              </w:rPr>
              <w:t>Lu-177</w:t>
            </w:r>
            <w:r>
              <w:rPr>
                <w:rFonts w:hint="default" w:ascii="Times New Roman" w:hAnsi="Times New Roman" w:cs="Times New Roman"/>
                <w:b w:val="0"/>
                <w:bCs w:val="0"/>
                <w:color w:val="auto"/>
                <w:sz w:val="24"/>
                <w:szCs w:val="22"/>
                <w:highlight w:val="none"/>
                <w:lang w:val="en-US" w:eastAsia="zh-CN"/>
              </w:rPr>
              <w:t>-Dotatate 治疗的放射防护评估》（中国辐射卫生，2021.12.30）</w:t>
            </w:r>
            <w:r>
              <w:rPr>
                <w:rFonts w:hint="eastAsia" w:cs="Times New Roman"/>
                <w:b w:val="0"/>
                <w:bCs w:val="0"/>
                <w:color w:val="auto"/>
                <w:sz w:val="24"/>
                <w:szCs w:val="22"/>
                <w:highlight w:val="none"/>
                <w:lang w:val="en-US" w:eastAsia="zh-CN"/>
              </w:rPr>
              <w:t>；</w:t>
            </w:r>
          </w:p>
          <w:p w14:paraId="20E61CF2">
            <w:pPr>
              <w:pStyle w:val="32"/>
              <w:keepNext w:val="0"/>
              <w:keepLines w:val="0"/>
              <w:pageBreakBefore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36" w:lineRule="auto"/>
              <w:ind w:left="0" w:right="0"/>
              <w:jc w:val="both"/>
              <w:textAlignment w:val="auto"/>
              <w:rPr>
                <w:rFonts w:hint="default" w:ascii="Times New Roman" w:hAnsi="Times New Roman" w:cs="Times New Roman"/>
                <w:b w:val="0"/>
                <w:bCs w:val="0"/>
                <w:color w:val="auto"/>
                <w:sz w:val="24"/>
                <w:szCs w:val="22"/>
                <w:highlight w:val="none"/>
                <w:lang w:val="en-US" w:eastAsia="zh-CN"/>
              </w:rPr>
            </w:pPr>
            <w:r>
              <w:rPr>
                <w:rFonts w:hint="eastAsia" w:cs="Times New Roman"/>
                <w:b w:val="0"/>
                <w:bCs w:val="0"/>
                <w:color w:val="auto"/>
                <w:sz w:val="24"/>
                <w:szCs w:val="22"/>
                <w:highlight w:val="none"/>
                <w:lang w:val="en-US" w:eastAsia="zh-CN"/>
              </w:rPr>
              <w:t>（13）</w:t>
            </w:r>
            <w:r>
              <w:rPr>
                <w:rFonts w:hint="default" w:ascii="Times New Roman" w:hAnsi="Times New Roman" w:cs="Times New Roman"/>
                <w:b w:val="0"/>
                <w:bCs w:val="0"/>
                <w:color w:val="auto"/>
                <w:sz w:val="24"/>
                <w:szCs w:val="22"/>
                <w:highlight w:val="none"/>
                <w:lang w:val="en-US" w:eastAsia="zh-CN"/>
              </w:rPr>
              <w:t>《辐射剂量与防护》（霍雷、刘剑利、马永和</w:t>
            </w:r>
            <w:r>
              <w:rPr>
                <w:rFonts w:hint="eastAsia" w:cs="Times New Roman"/>
                <w:b w:val="0"/>
                <w:bCs w:val="0"/>
                <w:color w:val="auto"/>
                <w:sz w:val="24"/>
                <w:szCs w:val="22"/>
                <w:highlight w:val="none"/>
                <w:lang w:val="en-US" w:eastAsia="zh-CN"/>
              </w:rPr>
              <w:t>，电子工业出版，2015年</w:t>
            </w:r>
            <w:r>
              <w:rPr>
                <w:rFonts w:hint="default" w:ascii="Times New Roman" w:hAnsi="Times New Roman" w:cs="Times New Roman"/>
                <w:b w:val="0"/>
                <w:bCs w:val="0"/>
                <w:color w:val="auto"/>
                <w:sz w:val="24"/>
                <w:szCs w:val="22"/>
                <w:highlight w:val="none"/>
                <w:lang w:val="en-US" w:eastAsia="zh-CN"/>
              </w:rPr>
              <w:t>）</w:t>
            </w:r>
            <w:r>
              <w:rPr>
                <w:rFonts w:hint="eastAsia" w:cs="Times New Roman"/>
                <w:b w:val="0"/>
                <w:bCs w:val="0"/>
                <w:color w:val="auto"/>
                <w:sz w:val="24"/>
                <w:szCs w:val="22"/>
                <w:highlight w:val="none"/>
                <w:lang w:val="en-US" w:eastAsia="zh-CN"/>
              </w:rPr>
              <w:t>。</w:t>
            </w:r>
          </w:p>
        </w:tc>
      </w:tr>
    </w:tbl>
    <w:p w14:paraId="0E706CBC">
      <w:pPr>
        <w:shd w:val="clear"/>
        <w:rPr>
          <w:rFonts w:hint="default" w:ascii="Times New Roman" w:hAnsi="Times New Roman" w:eastAsia="宋体" w:cs="Times New Roman"/>
          <w:color w:val="auto"/>
          <w:sz w:val="24"/>
          <w:highlight w:val="none"/>
        </w:rPr>
        <w:sectPr>
          <w:pgSz w:w="11910" w:h="16840"/>
          <w:pgMar w:top="1219" w:right="1185" w:bottom="1219" w:left="1100" w:header="0" w:footer="1417" w:gutter="0"/>
          <w:pgBorders>
            <w:top w:val="none" w:sz="0" w:space="0"/>
            <w:left w:val="none" w:sz="0" w:space="0"/>
            <w:bottom w:val="none" w:sz="0" w:space="0"/>
            <w:right w:val="none" w:sz="0" w:space="0"/>
          </w:pgBorders>
          <w:pgNumType w:fmt="decimal"/>
          <w:cols w:space="0" w:num="1"/>
        </w:sectPr>
      </w:pPr>
    </w:p>
    <w:p w14:paraId="4639C63E">
      <w:pPr>
        <w:pStyle w:val="6"/>
        <w:shd w:val="clear"/>
        <w:rPr>
          <w:rFonts w:hint="default" w:ascii="Times New Roman" w:hAnsi="Times New Roman" w:eastAsia="宋体" w:cs="Times New Roman"/>
          <w:color w:val="auto"/>
          <w:highlight w:val="none"/>
        </w:rPr>
      </w:pPr>
      <w:bookmarkStart w:id="13" w:name="表7保护目标与评价标准"/>
      <w:bookmarkEnd w:id="13"/>
      <w:bookmarkStart w:id="14" w:name="_Toc23385"/>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7 保护目标与评价标准</w:t>
      </w:r>
      <w:bookmarkEnd w:id="14"/>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14:paraId="27E0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9" w:hRule="atLeast"/>
          <w:jc w:val="center"/>
        </w:trPr>
        <w:tc>
          <w:tcPr>
            <w:tcW w:w="9540" w:type="dxa"/>
          </w:tcPr>
          <w:p w14:paraId="2646CCA7">
            <w:pPr>
              <w:pStyle w:val="32"/>
              <w:keepNext w:val="0"/>
              <w:keepLines w:val="0"/>
              <w:numPr>
                <w:ilvl w:val="0"/>
                <w:numId w:val="0"/>
              </w:numPr>
              <w:suppressLineNumbers w:val="0"/>
              <w:shd w:val="clear"/>
              <w:tabs>
                <w:tab w:val="left" w:pos="528"/>
              </w:tabs>
              <w:spacing w:before="89" w:beforeAutospacing="0" w:after="0" w:afterAutospacing="0" w:line="360" w:lineRule="auto"/>
              <w:ind w:left="0" w:right="0"/>
              <w:jc w:val="both"/>
              <w:rPr>
                <w:rFonts w:hint="default" w:ascii="Times New Roman" w:hAnsi="Times New Roman" w:eastAsia="宋体" w:cs="Times New Roman"/>
                <w:b/>
                <w:color w:val="auto"/>
                <w:sz w:val="24"/>
                <w:szCs w:val="21"/>
                <w:highlight w:val="none"/>
              </w:rPr>
            </w:pPr>
            <w:r>
              <w:rPr>
                <w:rFonts w:hint="default" w:ascii="Times New Roman" w:hAnsi="Times New Roman" w:eastAsia="宋体" w:cs="Times New Roman"/>
                <w:b/>
                <w:color w:val="auto"/>
                <w:sz w:val="24"/>
                <w:szCs w:val="21"/>
                <w:highlight w:val="none"/>
                <w:lang w:val="en-US" w:eastAsia="zh-CN"/>
              </w:rPr>
              <w:t>7.1</w:t>
            </w:r>
            <w:r>
              <w:rPr>
                <w:rFonts w:hint="default" w:ascii="Times New Roman" w:hAnsi="Times New Roman" w:eastAsia="宋体" w:cs="Times New Roman"/>
                <w:b/>
                <w:color w:val="auto"/>
                <w:sz w:val="24"/>
                <w:szCs w:val="21"/>
                <w:highlight w:val="none"/>
              </w:rPr>
              <w:t>评价范围</w:t>
            </w:r>
          </w:p>
          <w:p w14:paraId="012D5E9E">
            <w:pPr>
              <w:pStyle w:val="32"/>
              <w:keepNext w:val="0"/>
              <w:keepLines w:val="0"/>
              <w:pageBreakBefore w:val="0"/>
              <w:widowControl w:val="0"/>
              <w:suppressLineNumbers w:val="0"/>
              <w:shd w:val="clear"/>
              <w:tabs>
                <w:tab w:val="left" w:pos="1190"/>
              </w:tabs>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根据《辐射环境保护管理导则 核技术利用建设项目 环境影响评价文件的内容和格式》（</w:t>
            </w:r>
            <w:r>
              <w:rPr>
                <w:rFonts w:hint="eastAsia" w:cs="Times New Roman"/>
                <w:color w:val="auto"/>
                <w:sz w:val="24"/>
                <w:szCs w:val="22"/>
                <w:highlight w:val="none"/>
                <w:lang w:val="en-US" w:eastAsia="zh-CN" w:bidi="ar-SA"/>
              </w:rPr>
              <w:t>HJ 10.1</w:t>
            </w:r>
            <w:r>
              <w:rPr>
                <w:rFonts w:hint="default" w:ascii="Times New Roman" w:hAnsi="Times New Roman" w:eastAsia="宋体" w:cs="Times New Roman"/>
                <w:color w:val="auto"/>
                <w:sz w:val="24"/>
                <w:szCs w:val="22"/>
                <w:highlight w:val="none"/>
                <w:lang w:val="en-US" w:eastAsia="zh-CN" w:bidi="ar-SA"/>
              </w:rPr>
              <w:t>-2016)中对于报告书项目的评价范围规定“</w:t>
            </w:r>
            <w:r>
              <w:rPr>
                <w:rFonts w:hint="default" w:ascii="Times New Roman" w:hAnsi="Times New Roman" w:cs="Times New Roman"/>
                <w:color w:val="auto"/>
                <w:sz w:val="24"/>
                <w:szCs w:val="22"/>
                <w:highlight w:val="none"/>
                <w:lang w:val="en-US" w:eastAsia="zh-CN" w:bidi="ar-SA"/>
              </w:rPr>
              <w:t>丙</w:t>
            </w:r>
            <w:r>
              <w:rPr>
                <w:rFonts w:hint="default" w:ascii="Times New Roman" w:hAnsi="Times New Roman" w:eastAsia="宋体" w:cs="Times New Roman"/>
                <w:color w:val="auto"/>
                <w:sz w:val="24"/>
                <w:szCs w:val="22"/>
                <w:highlight w:val="none"/>
                <w:lang w:val="en-US" w:eastAsia="zh-CN" w:bidi="ar-SA"/>
              </w:rPr>
              <w:t>级非密封放射性物质工作场所项目的评价范围取半径50m的范围，放射源和射线装置应用项目的评价范围，通常取装置所在场所实体屏蔽物边界外50m的范围”，结合项目特点，确定本项目辐射环境评价范围为该项目核技术应用辐射工作场所实体屏蔽墙体外周围50m的区域。</w:t>
            </w:r>
            <w:r>
              <w:rPr>
                <w:rFonts w:hint="default" w:ascii="Times New Roman" w:hAnsi="Times New Roman" w:cs="Times New Roman"/>
                <w:color w:val="auto"/>
                <w:sz w:val="24"/>
                <w:szCs w:val="22"/>
                <w:highlight w:val="none"/>
                <w:lang w:val="en-US" w:eastAsia="zh-CN" w:bidi="ar-SA"/>
              </w:rPr>
              <w:t>使用PET/SPECT/CT三合一小动物成像系统的动物影像室辐射环境评价范围为动物影像室实体屏蔽墙体外周围50m的</w:t>
            </w:r>
            <w:r>
              <w:rPr>
                <w:rFonts w:hint="eastAsia" w:cs="Times New Roman"/>
                <w:color w:val="auto"/>
                <w:sz w:val="24"/>
                <w:szCs w:val="22"/>
                <w:highlight w:val="none"/>
                <w:lang w:val="en-US" w:eastAsia="zh-CN" w:bidi="ar-SA"/>
              </w:rPr>
              <w:t>区域。</w:t>
            </w:r>
          </w:p>
          <w:p w14:paraId="3C117DBA">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2"/>
                <w:highlight w:val="none"/>
                <w:lang w:val="en-US" w:eastAsia="zh-CN" w:bidi="ar-SA"/>
              </w:rPr>
              <w:t>本项目评价因子为：α射线、α表面污染、β射线、β表面污染、γ射线、X射线</w:t>
            </w:r>
            <w:r>
              <w:rPr>
                <w:rFonts w:hint="eastAsia" w:cs="Times New Roman"/>
                <w:color w:val="auto"/>
                <w:sz w:val="24"/>
                <w:szCs w:val="22"/>
                <w:highlight w:val="none"/>
                <w:lang w:val="en-US" w:eastAsia="zh-CN" w:bidi="ar-SA"/>
              </w:rPr>
              <w:t>、</w:t>
            </w:r>
            <w:r>
              <w:rPr>
                <w:rFonts w:hint="default" w:ascii="Times New Roman" w:hAnsi="Times New Roman" w:eastAsia="宋体" w:cs="Times New Roman"/>
                <w:color w:val="auto"/>
                <w:sz w:val="24"/>
                <w:szCs w:val="22"/>
                <w:highlight w:val="none"/>
                <w:lang w:val="en-US" w:eastAsia="zh-CN" w:bidi="ar-SA"/>
              </w:rPr>
              <w:t>中子，主要污染物有放射性废气、放射性废水及放射性固废及臭氧、氮氧化物。</w:t>
            </w:r>
          </w:p>
        </w:tc>
      </w:tr>
      <w:tr w14:paraId="16F6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3" w:hRule="atLeast"/>
          <w:jc w:val="center"/>
        </w:trPr>
        <w:tc>
          <w:tcPr>
            <w:tcW w:w="9540" w:type="dxa"/>
            <w:vAlign w:val="top"/>
          </w:tcPr>
          <w:p w14:paraId="1CC2C6F3">
            <w:pPr>
              <w:pStyle w:val="32"/>
              <w:keepNext w:val="0"/>
              <w:keepLines w:val="0"/>
              <w:numPr>
                <w:ilvl w:val="0"/>
                <w:numId w:val="0"/>
              </w:numPr>
              <w:suppressLineNumbers w:val="0"/>
              <w:shd w:val="clear"/>
              <w:tabs>
                <w:tab w:val="left" w:pos="528"/>
              </w:tabs>
              <w:spacing w:before="89" w:beforeAutospacing="0" w:after="0" w:afterAutospacing="0" w:line="360" w:lineRule="auto"/>
              <w:ind w:left="0" w:right="0"/>
              <w:jc w:val="both"/>
              <w:rPr>
                <w:rFonts w:hint="default" w:ascii="Times New Roman" w:hAnsi="Times New Roman" w:eastAsia="宋体" w:cs="Times New Roman"/>
                <w:b/>
                <w:color w:val="auto"/>
                <w:sz w:val="24"/>
                <w:szCs w:val="21"/>
                <w:highlight w:val="none"/>
                <w:lang w:val="en-US" w:eastAsia="zh-CN"/>
              </w:rPr>
            </w:pPr>
            <w:r>
              <w:rPr>
                <w:rFonts w:hint="default" w:ascii="Times New Roman" w:hAnsi="Times New Roman" w:eastAsia="宋体" w:cs="Times New Roman"/>
                <w:b/>
                <w:color w:val="auto"/>
                <w:sz w:val="24"/>
                <w:szCs w:val="21"/>
                <w:highlight w:val="none"/>
                <w:lang w:val="en-US" w:eastAsia="zh-CN"/>
              </w:rPr>
              <w:t>7.2保护目标</w:t>
            </w:r>
          </w:p>
          <w:p w14:paraId="584E8A59">
            <w:pPr>
              <w:pStyle w:val="3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项目与其周围环境关系如图1-2所示，结合本项目的评价范围，确定本评价项目的环境保护目标是从事该项目辐射工作的医务人员及辐射工作场所周围50</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rPr>
              <w:t>范围内活动的非本项目工作人员和公众人员</w:t>
            </w:r>
            <w:r>
              <w:rPr>
                <w:rFonts w:hint="default" w:ascii="Times New Roman" w:hAnsi="Times New Roman" w:cs="Times New Roman"/>
                <w:color w:val="auto"/>
                <w:highlight w:val="none"/>
                <w:lang w:val="en-US" w:eastAsia="zh-CN"/>
              </w:rPr>
              <w:t>以及环境敏感点（公众聚集或特殊关注的区域）</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本项目</w:t>
            </w:r>
            <w:r>
              <w:rPr>
                <w:rFonts w:hint="eastAsia" w:cs="Times New Roman"/>
                <w:color w:val="auto"/>
                <w:highlight w:val="none"/>
                <w:lang w:val="en-US" w:eastAsia="zh-CN"/>
              </w:rPr>
              <w:t>北院区核医学楼北侧30m为新疆天文台，东侧50m为翰乐轩小区，西侧、南侧50m范围内为肿瘤医院预留发展用地，现状为停车场；老院区综合楼介入2室四周50m范围内为医院内部环境，其中北侧为空地、东侧、南侧、西侧为停车场。根据</w:t>
            </w:r>
            <w:r>
              <w:rPr>
                <w:rFonts w:hint="default" w:ascii="Times New Roman" w:hAnsi="Times New Roman" w:cs="Times New Roman"/>
                <w:color w:val="auto"/>
                <w:highlight w:val="none"/>
                <w:lang w:val="en-US" w:eastAsia="zh-CN"/>
              </w:rPr>
              <w:t>各涉源场所周边位置关系介绍，</w:t>
            </w:r>
            <w:r>
              <w:rPr>
                <w:rFonts w:hint="default" w:ascii="Times New Roman" w:hAnsi="Times New Roman" w:cs="Times New Roman"/>
                <w:color w:val="auto"/>
                <w:highlight w:val="none"/>
              </w:rPr>
              <w:t>本项目环境保护目标如表7-1所示。</w:t>
            </w:r>
          </w:p>
          <w:p w14:paraId="5A522B0F">
            <w:pPr>
              <w:keepNext w:val="0"/>
              <w:keepLines w:val="0"/>
              <w:suppressLineNumbers w:val="0"/>
              <w:shd w:val="clear"/>
              <w:spacing w:before="0" w:beforeAutospacing="0" w:after="0" w:afterAutospacing="0" w:line="360" w:lineRule="auto"/>
              <w:ind w:left="0" w:right="0" w:firstLine="482" w:firstLineChars="200"/>
              <w:jc w:val="center"/>
              <w:rPr>
                <w:rFonts w:hint="default" w:ascii="Times New Roman" w:hAnsi="Times New Roman" w:cs="Times New Roman"/>
                <w:color w:val="auto"/>
                <w:highlight w:val="none"/>
              </w:rPr>
            </w:pPr>
            <w:r>
              <w:rPr>
                <w:rFonts w:hint="default" w:ascii="Times New Roman" w:hAnsi="Times New Roman" w:cs="Times New Roman"/>
                <w:b/>
                <w:bCs/>
                <w:color w:val="auto"/>
                <w:highlight w:val="none"/>
              </w:rPr>
              <w:t xml:space="preserve">表7-1 </w:t>
            </w:r>
            <w:r>
              <w:rPr>
                <w:rFonts w:hint="default" w:ascii="Times New Roman" w:hAnsi="Times New Roman" w:cs="Times New Roman"/>
                <w:b/>
                <w:bCs/>
                <w:color w:val="auto"/>
                <w:highlight w:val="none"/>
                <w:lang w:val="en-US" w:eastAsia="zh-CN"/>
              </w:rPr>
              <w:t xml:space="preserve"> </w:t>
            </w:r>
            <w:r>
              <w:rPr>
                <w:rFonts w:hint="default" w:ascii="Times New Roman" w:hAnsi="Times New Roman" w:cs="Times New Roman"/>
                <w:b/>
                <w:bCs/>
                <w:color w:val="auto"/>
                <w:highlight w:val="none"/>
              </w:rPr>
              <w:t>本项目环境保护目标信息</w:t>
            </w:r>
          </w:p>
          <w:tbl>
            <w:tblPr>
              <w:tblStyle w:val="23"/>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200"/>
              <w:gridCol w:w="1984"/>
              <w:gridCol w:w="1892"/>
              <w:gridCol w:w="791"/>
              <w:gridCol w:w="1093"/>
              <w:gridCol w:w="739"/>
              <w:gridCol w:w="907"/>
            </w:tblGrid>
            <w:tr w14:paraId="1D992E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671" w:type="dxa"/>
                  <w:tcBorders>
                    <w:tl2br w:val="nil"/>
                    <w:tr2bl w:val="nil"/>
                  </w:tcBorders>
                  <w:vAlign w:val="center"/>
                </w:tcPr>
                <w:p w14:paraId="33F650B1">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eastAsia="zh-CN"/>
                    </w:rPr>
                  </w:pPr>
                  <w:r>
                    <w:rPr>
                      <w:rFonts w:hint="default" w:ascii="Times New Roman" w:hAnsi="Times New Roman" w:cs="Times New Roman"/>
                      <w:color w:val="auto"/>
                      <w:sz w:val="18"/>
                      <w:szCs w:val="16"/>
                      <w:highlight w:val="none"/>
                      <w:lang w:eastAsia="zh-CN"/>
                    </w:rPr>
                    <w:t>区域</w:t>
                  </w:r>
                </w:p>
              </w:tc>
              <w:tc>
                <w:tcPr>
                  <w:tcW w:w="1200" w:type="dxa"/>
                  <w:tcBorders>
                    <w:tl2br w:val="nil"/>
                    <w:tr2bl w:val="nil"/>
                  </w:tcBorders>
                  <w:vAlign w:val="center"/>
                </w:tcPr>
                <w:p w14:paraId="19976C64">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rPr>
                  </w:pPr>
                  <w:r>
                    <w:rPr>
                      <w:rFonts w:hint="default" w:ascii="Times New Roman" w:hAnsi="Times New Roman" w:cs="Times New Roman"/>
                      <w:color w:val="auto"/>
                      <w:sz w:val="18"/>
                      <w:szCs w:val="16"/>
                      <w:highlight w:val="none"/>
                    </w:rPr>
                    <w:t>保护</w:t>
                  </w:r>
                </w:p>
                <w:p w14:paraId="1D01F29B">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val="en-US" w:eastAsia="zh-CN"/>
                    </w:rPr>
                  </w:pPr>
                  <w:r>
                    <w:rPr>
                      <w:rFonts w:hint="default" w:ascii="Times New Roman" w:hAnsi="Times New Roman" w:cs="Times New Roman"/>
                      <w:color w:val="auto"/>
                      <w:sz w:val="18"/>
                      <w:szCs w:val="16"/>
                      <w:highlight w:val="none"/>
                    </w:rPr>
                    <w:t>目标</w:t>
                  </w:r>
                </w:p>
              </w:tc>
              <w:tc>
                <w:tcPr>
                  <w:tcW w:w="1984" w:type="dxa"/>
                  <w:tcBorders>
                    <w:tl2br w:val="nil"/>
                    <w:tr2bl w:val="nil"/>
                  </w:tcBorders>
                  <w:vAlign w:val="center"/>
                </w:tcPr>
                <w:p w14:paraId="0DD3AF20">
                  <w:pPr>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val="en-US" w:eastAsia="zh-CN"/>
                    </w:rPr>
                  </w:pPr>
                  <w:r>
                    <w:rPr>
                      <w:rFonts w:hint="default" w:ascii="Times New Roman" w:hAnsi="Times New Roman" w:cs="Times New Roman"/>
                      <w:color w:val="auto"/>
                      <w:sz w:val="18"/>
                      <w:szCs w:val="16"/>
                      <w:highlight w:val="none"/>
                      <w:lang w:eastAsia="zh-CN"/>
                    </w:rPr>
                    <w:t>受照</w:t>
                  </w:r>
                  <w:r>
                    <w:rPr>
                      <w:rFonts w:hint="default" w:ascii="Times New Roman" w:hAnsi="Times New Roman" w:cs="Times New Roman"/>
                      <w:color w:val="auto"/>
                      <w:sz w:val="18"/>
                      <w:szCs w:val="16"/>
                      <w:highlight w:val="none"/>
                      <w:lang w:val="en-US" w:eastAsia="zh-CN"/>
                    </w:rPr>
                    <w:t>射线</w:t>
                  </w:r>
                  <w:r>
                    <w:rPr>
                      <w:rFonts w:hint="default" w:ascii="Times New Roman" w:hAnsi="Times New Roman" w:cs="Times New Roman"/>
                      <w:color w:val="auto"/>
                      <w:sz w:val="18"/>
                      <w:szCs w:val="16"/>
                      <w:highlight w:val="none"/>
                    </w:rPr>
                    <w:t>类型</w:t>
                  </w:r>
                </w:p>
              </w:tc>
              <w:tc>
                <w:tcPr>
                  <w:tcW w:w="1892" w:type="dxa"/>
                  <w:tcBorders>
                    <w:tl2br w:val="nil"/>
                    <w:tr2bl w:val="nil"/>
                  </w:tcBorders>
                  <w:vAlign w:val="center"/>
                </w:tcPr>
                <w:p w14:paraId="4F77827F">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val="en-US" w:eastAsia="zh-CN"/>
                    </w:rPr>
                  </w:pPr>
                  <w:r>
                    <w:rPr>
                      <w:rFonts w:hint="default" w:ascii="Times New Roman" w:hAnsi="Times New Roman" w:cs="Times New Roman"/>
                      <w:color w:val="auto"/>
                      <w:sz w:val="18"/>
                      <w:szCs w:val="16"/>
                      <w:highlight w:val="none"/>
                    </w:rPr>
                    <w:t>位置描述</w:t>
                  </w:r>
                </w:p>
              </w:tc>
              <w:tc>
                <w:tcPr>
                  <w:tcW w:w="791" w:type="dxa"/>
                  <w:tcBorders>
                    <w:tl2br w:val="nil"/>
                    <w:tr2bl w:val="nil"/>
                  </w:tcBorders>
                  <w:vAlign w:val="center"/>
                </w:tcPr>
                <w:p w14:paraId="46C2E320">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val="en-US" w:eastAsia="zh-CN"/>
                    </w:rPr>
                  </w:pPr>
                  <w:r>
                    <w:rPr>
                      <w:rFonts w:hint="default" w:ascii="Times New Roman" w:hAnsi="Times New Roman" w:cs="Times New Roman"/>
                      <w:color w:val="auto"/>
                      <w:sz w:val="18"/>
                      <w:szCs w:val="16"/>
                      <w:highlight w:val="none"/>
                    </w:rPr>
                    <w:t>方位</w:t>
                  </w:r>
                </w:p>
              </w:tc>
              <w:tc>
                <w:tcPr>
                  <w:tcW w:w="1093" w:type="dxa"/>
                  <w:tcBorders>
                    <w:tl2br w:val="nil"/>
                    <w:tr2bl w:val="nil"/>
                  </w:tcBorders>
                  <w:vAlign w:val="center"/>
                </w:tcPr>
                <w:p w14:paraId="6CCF10F8">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val="en-US" w:eastAsia="zh-CN"/>
                    </w:rPr>
                  </w:pPr>
                  <w:r>
                    <w:rPr>
                      <w:rFonts w:hint="default" w:ascii="Times New Roman" w:hAnsi="Times New Roman" w:cs="Times New Roman"/>
                      <w:color w:val="auto"/>
                      <w:sz w:val="18"/>
                      <w:szCs w:val="16"/>
                      <w:highlight w:val="none"/>
                    </w:rPr>
                    <w:t>人员数量</w:t>
                  </w:r>
                </w:p>
              </w:tc>
              <w:tc>
                <w:tcPr>
                  <w:tcW w:w="739" w:type="dxa"/>
                  <w:tcBorders>
                    <w:tl2br w:val="nil"/>
                    <w:tr2bl w:val="nil"/>
                  </w:tcBorders>
                  <w:vAlign w:val="center"/>
                </w:tcPr>
                <w:p w14:paraId="1C6D7C80">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距离</w:t>
                  </w:r>
                </w:p>
                <w:p w14:paraId="62B32148">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rPr>
                    <w:t>（m）</w:t>
                  </w:r>
                </w:p>
              </w:tc>
              <w:tc>
                <w:tcPr>
                  <w:tcW w:w="907" w:type="dxa"/>
                  <w:tcBorders>
                    <w:tl2br w:val="nil"/>
                    <w:tr2bl w:val="nil"/>
                  </w:tcBorders>
                  <w:vAlign w:val="center"/>
                </w:tcPr>
                <w:p w14:paraId="2A6B07D5">
                  <w:pPr>
                    <w:pStyle w:val="32"/>
                    <w:keepNext w:val="0"/>
                    <w:keepLines w:val="0"/>
                    <w:suppressLineNumbers w:val="0"/>
                    <w:shd w:val="clear"/>
                    <w:spacing w:before="0" w:beforeAutospacing="0" w:after="0" w:afterAutospacing="0"/>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rPr>
                    <w:t>年剂</w:t>
                  </w:r>
                </w:p>
                <w:p w14:paraId="5FF0C707">
                  <w:pPr>
                    <w:pStyle w:val="32"/>
                    <w:keepNext w:val="0"/>
                    <w:keepLines w:val="0"/>
                    <w:suppressLineNumbers w:val="0"/>
                    <w:shd w:val="clear"/>
                    <w:spacing w:before="0" w:beforeAutospacing="0" w:after="0" w:afterAutospacing="0"/>
                    <w:ind w:left="0" w:right="0"/>
                    <w:jc w:val="both"/>
                    <w:rPr>
                      <w:rFonts w:hint="default" w:ascii="Times New Roman" w:hAnsi="Times New Roman" w:cs="Times New Roman"/>
                      <w:color w:val="auto"/>
                      <w:sz w:val="18"/>
                      <w:szCs w:val="18"/>
                      <w:highlight w:val="none"/>
                      <w:lang w:val="en-US" w:eastAsia="zh-CN"/>
                    </w:rPr>
                  </w:pPr>
                  <w:r>
                    <w:rPr>
                      <w:rFonts w:hint="default" w:ascii="Times New Roman" w:hAnsi="Times New Roman" w:cs="Times New Roman"/>
                      <w:color w:val="auto"/>
                      <w:sz w:val="18"/>
                      <w:szCs w:val="18"/>
                      <w:highlight w:val="none"/>
                    </w:rPr>
                    <w:t>量限值</w:t>
                  </w:r>
                </w:p>
              </w:tc>
            </w:tr>
            <w:tr w14:paraId="0FEE73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671" w:type="dxa"/>
                  <w:vMerge w:val="restart"/>
                  <w:tcBorders>
                    <w:tl2br w:val="nil"/>
                    <w:tr2bl w:val="nil"/>
                  </w:tcBorders>
                  <w:vAlign w:val="center"/>
                </w:tcPr>
                <w:p w14:paraId="6A531FC2">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eastAsia="zh-CN"/>
                    </w:rPr>
                  </w:pPr>
                  <w:r>
                    <w:rPr>
                      <w:rFonts w:hint="default" w:ascii="Times New Roman" w:hAnsi="Times New Roman" w:cs="Times New Roman"/>
                      <w:color w:val="auto"/>
                      <w:sz w:val="18"/>
                      <w:szCs w:val="16"/>
                      <w:highlight w:val="none"/>
                      <w:lang w:val="en-US" w:eastAsia="zh-CN"/>
                    </w:rPr>
                    <w:t>北院区核医学楼</w:t>
                  </w:r>
                </w:p>
              </w:tc>
              <w:tc>
                <w:tcPr>
                  <w:tcW w:w="1200" w:type="dxa"/>
                  <w:tcBorders>
                    <w:tl2br w:val="nil"/>
                    <w:tr2bl w:val="nil"/>
                  </w:tcBorders>
                  <w:vAlign w:val="center"/>
                </w:tcPr>
                <w:p w14:paraId="2AA0C83D">
                  <w:pPr>
                    <w:pStyle w:val="32"/>
                    <w:keepNext w:val="0"/>
                    <w:keepLines w:val="0"/>
                    <w:suppressLineNumbers w:val="0"/>
                    <w:shd w:val="clear"/>
                    <w:spacing w:before="0" w:beforeAutospacing="0" w:after="0" w:afterAutospacing="0"/>
                    <w:ind w:left="0" w:right="0"/>
                    <w:jc w:val="center"/>
                    <w:rPr>
                      <w:rFonts w:hint="eastAsia" w:ascii="Times New Roman" w:hAnsi="Times New Roman" w:eastAsia="宋体" w:cs="Times New Roman"/>
                      <w:color w:val="auto"/>
                      <w:sz w:val="18"/>
                      <w:szCs w:val="16"/>
                      <w:highlight w:val="none"/>
                      <w:lang w:val="en-US" w:eastAsia="zh-CN"/>
                    </w:rPr>
                  </w:pPr>
                  <w:r>
                    <w:rPr>
                      <w:rFonts w:hint="eastAsia" w:cs="Times New Roman"/>
                      <w:color w:val="auto"/>
                      <w:sz w:val="18"/>
                      <w:szCs w:val="16"/>
                      <w:highlight w:val="none"/>
                      <w:lang w:val="en-US" w:eastAsia="zh-CN"/>
                    </w:rPr>
                    <w:t>公众</w:t>
                  </w:r>
                </w:p>
              </w:tc>
              <w:tc>
                <w:tcPr>
                  <w:tcW w:w="1984" w:type="dxa"/>
                  <w:tcBorders>
                    <w:tl2br w:val="nil"/>
                    <w:tr2bl w:val="nil"/>
                  </w:tcBorders>
                  <w:vAlign w:val="center"/>
                </w:tcPr>
                <w:p w14:paraId="3E71F7DB">
                  <w:pPr>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eastAsia="zh-CN"/>
                    </w:rPr>
                  </w:pPr>
                  <w:r>
                    <w:rPr>
                      <w:rFonts w:hint="default" w:ascii="Times New Roman" w:hAnsi="Times New Roman" w:cs="Times New Roman"/>
                      <w:color w:val="auto"/>
                      <w:sz w:val="18"/>
                      <w:szCs w:val="16"/>
                      <w:highlight w:val="none"/>
                      <w:lang w:val="en-US" w:eastAsia="zh-CN"/>
                    </w:rPr>
                    <w:t>γ射线、X射线、中子</w:t>
                  </w:r>
                </w:p>
              </w:tc>
              <w:tc>
                <w:tcPr>
                  <w:tcW w:w="1892" w:type="dxa"/>
                  <w:tcBorders>
                    <w:tl2br w:val="nil"/>
                    <w:tr2bl w:val="nil"/>
                  </w:tcBorders>
                  <w:vAlign w:val="center"/>
                </w:tcPr>
                <w:p w14:paraId="478F311A">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val="en-US"/>
                    </w:rPr>
                  </w:pPr>
                  <w:r>
                    <w:rPr>
                      <w:rFonts w:hint="default" w:ascii="Times New Roman" w:hAnsi="Times New Roman" w:cs="Times New Roman"/>
                      <w:color w:val="auto"/>
                      <w:sz w:val="18"/>
                      <w:szCs w:val="16"/>
                      <w:highlight w:val="none"/>
                      <w:lang w:val="en-US" w:eastAsia="zh-CN"/>
                    </w:rPr>
                    <w:t>核医学楼</w:t>
                  </w:r>
                  <w:r>
                    <w:rPr>
                      <w:rFonts w:hint="eastAsia" w:cs="Times New Roman"/>
                      <w:color w:val="auto"/>
                      <w:sz w:val="18"/>
                      <w:szCs w:val="16"/>
                      <w:highlight w:val="none"/>
                      <w:lang w:val="en-US" w:eastAsia="zh-CN"/>
                    </w:rPr>
                    <w:t>内各控制区墙外50m范围</w:t>
                  </w:r>
                </w:p>
              </w:tc>
              <w:tc>
                <w:tcPr>
                  <w:tcW w:w="791" w:type="dxa"/>
                  <w:tcBorders>
                    <w:tl2br w:val="nil"/>
                    <w:tr2bl w:val="nil"/>
                  </w:tcBorders>
                  <w:vAlign w:val="center"/>
                </w:tcPr>
                <w:p w14:paraId="6F4CAB05">
                  <w:pPr>
                    <w:pStyle w:val="32"/>
                    <w:keepNext w:val="0"/>
                    <w:keepLines w:val="0"/>
                    <w:suppressLineNumbers w:val="0"/>
                    <w:shd w:val="clear"/>
                    <w:spacing w:before="0" w:beforeAutospacing="0" w:after="0" w:afterAutospacing="0"/>
                    <w:ind w:left="0" w:right="0"/>
                    <w:jc w:val="center"/>
                    <w:rPr>
                      <w:rFonts w:hint="eastAsia" w:ascii="Times New Roman" w:hAnsi="Times New Roman" w:eastAsia="宋体" w:cs="Times New Roman"/>
                      <w:color w:val="auto"/>
                      <w:sz w:val="18"/>
                      <w:szCs w:val="16"/>
                      <w:highlight w:val="none"/>
                      <w:lang w:val="en-US" w:eastAsia="zh-CN"/>
                    </w:rPr>
                  </w:pPr>
                  <w:r>
                    <w:rPr>
                      <w:rFonts w:hint="eastAsia" w:cs="Times New Roman"/>
                      <w:color w:val="auto"/>
                      <w:sz w:val="18"/>
                      <w:szCs w:val="16"/>
                      <w:highlight w:val="none"/>
                      <w:lang w:val="en-US" w:eastAsia="zh-CN"/>
                    </w:rPr>
                    <w:t>四周</w:t>
                  </w:r>
                </w:p>
              </w:tc>
              <w:tc>
                <w:tcPr>
                  <w:tcW w:w="1093" w:type="dxa"/>
                  <w:tcBorders>
                    <w:tl2br w:val="nil"/>
                    <w:tr2bl w:val="nil"/>
                  </w:tcBorders>
                  <w:vAlign w:val="center"/>
                </w:tcPr>
                <w:p w14:paraId="5986B01E">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rPr>
                  </w:pPr>
                  <w:r>
                    <w:rPr>
                      <w:rFonts w:hint="default" w:ascii="Times New Roman" w:hAnsi="Times New Roman" w:cs="Times New Roman"/>
                      <w:color w:val="auto"/>
                      <w:sz w:val="18"/>
                      <w:szCs w:val="16"/>
                      <w:highlight w:val="none"/>
                      <w:lang w:val="en-US" w:eastAsia="zh-CN"/>
                    </w:rPr>
                    <w:t>流动人员</w:t>
                  </w:r>
                </w:p>
              </w:tc>
              <w:tc>
                <w:tcPr>
                  <w:tcW w:w="739" w:type="dxa"/>
                  <w:tcBorders>
                    <w:tl2br w:val="nil"/>
                    <w:tr2bl w:val="nil"/>
                  </w:tcBorders>
                  <w:vAlign w:val="center"/>
                </w:tcPr>
                <w:p w14:paraId="0FF42617">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18"/>
                      <w:szCs w:val="18"/>
                      <w:highlight w:val="none"/>
                      <w:lang w:val="en-US" w:eastAsia="zh-CN"/>
                    </w:rPr>
                  </w:pPr>
                  <w:r>
                    <w:rPr>
                      <w:rFonts w:hint="eastAsia" w:cs="Times New Roman"/>
                      <w:color w:val="auto"/>
                      <w:sz w:val="18"/>
                      <w:szCs w:val="18"/>
                      <w:highlight w:val="none"/>
                      <w:lang w:val="en-US" w:eastAsia="zh-CN"/>
                    </w:rPr>
                    <w:t>1-50</w:t>
                  </w:r>
                </w:p>
              </w:tc>
              <w:tc>
                <w:tcPr>
                  <w:tcW w:w="907" w:type="dxa"/>
                  <w:vMerge w:val="restart"/>
                  <w:tcBorders>
                    <w:tl2br w:val="nil"/>
                    <w:tr2bl w:val="nil"/>
                  </w:tcBorders>
                  <w:vAlign w:val="center"/>
                </w:tcPr>
                <w:p w14:paraId="38C26A14">
                  <w:pPr>
                    <w:pStyle w:val="32"/>
                    <w:keepNext w:val="0"/>
                    <w:keepLines w:val="0"/>
                    <w:suppressLineNumbers w:val="0"/>
                    <w:shd w:val="clear"/>
                    <w:spacing w:before="0" w:beforeAutospacing="0" w:after="0" w:afterAutospacing="0"/>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0.1mSv/a</w:t>
                  </w:r>
                </w:p>
              </w:tc>
            </w:tr>
            <w:tr w14:paraId="44D83A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671" w:type="dxa"/>
                  <w:vMerge w:val="continue"/>
                  <w:tcBorders>
                    <w:tl2br w:val="nil"/>
                    <w:tr2bl w:val="nil"/>
                  </w:tcBorders>
                  <w:vAlign w:val="center"/>
                </w:tcPr>
                <w:p w14:paraId="0E14D2C8">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eastAsia="zh-CN"/>
                    </w:rPr>
                  </w:pPr>
                </w:p>
              </w:tc>
              <w:tc>
                <w:tcPr>
                  <w:tcW w:w="1200" w:type="dxa"/>
                  <w:tcBorders>
                    <w:tl2br w:val="nil"/>
                    <w:tr2bl w:val="nil"/>
                  </w:tcBorders>
                  <w:vAlign w:val="center"/>
                </w:tcPr>
                <w:p w14:paraId="5245894C">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rPr>
                  </w:pPr>
                  <w:r>
                    <w:rPr>
                      <w:rFonts w:hint="default" w:ascii="Times New Roman" w:hAnsi="Times New Roman" w:cs="Times New Roman"/>
                      <w:color w:val="auto"/>
                      <w:sz w:val="18"/>
                      <w:szCs w:val="16"/>
                      <w:highlight w:val="none"/>
                      <w:lang w:eastAsia="zh-CN"/>
                    </w:rPr>
                    <w:t>公众</w:t>
                  </w:r>
                </w:p>
              </w:tc>
              <w:tc>
                <w:tcPr>
                  <w:tcW w:w="1984" w:type="dxa"/>
                  <w:tcBorders>
                    <w:tl2br w:val="nil"/>
                    <w:tr2bl w:val="nil"/>
                  </w:tcBorders>
                  <w:vAlign w:val="center"/>
                </w:tcPr>
                <w:p w14:paraId="6AB5AE4A">
                  <w:pPr>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eastAsia="zh-CN"/>
                    </w:rPr>
                  </w:pPr>
                  <w:r>
                    <w:rPr>
                      <w:rFonts w:hint="default" w:ascii="Times New Roman" w:hAnsi="Times New Roman" w:cs="Times New Roman"/>
                      <w:color w:val="auto"/>
                      <w:sz w:val="18"/>
                      <w:szCs w:val="16"/>
                      <w:highlight w:val="none"/>
                      <w:lang w:val="en-US" w:eastAsia="zh-CN"/>
                    </w:rPr>
                    <w:t>γ射线、X射线、中子</w:t>
                  </w:r>
                </w:p>
              </w:tc>
              <w:tc>
                <w:tcPr>
                  <w:tcW w:w="1892" w:type="dxa"/>
                  <w:tcBorders>
                    <w:tl2br w:val="nil"/>
                    <w:tr2bl w:val="nil"/>
                  </w:tcBorders>
                  <w:vAlign w:val="center"/>
                </w:tcPr>
                <w:p w14:paraId="65E671D2">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rPr>
                  </w:pPr>
                  <w:r>
                    <w:rPr>
                      <w:rFonts w:hint="default" w:ascii="Times New Roman" w:hAnsi="Times New Roman" w:cs="Times New Roman"/>
                      <w:color w:val="auto"/>
                      <w:sz w:val="18"/>
                      <w:szCs w:val="16"/>
                      <w:highlight w:val="none"/>
                      <w:lang w:val="en-US" w:eastAsia="zh-CN"/>
                    </w:rPr>
                    <w:t>核医学楼北侧30m新疆天文台</w:t>
                  </w:r>
                </w:p>
              </w:tc>
              <w:tc>
                <w:tcPr>
                  <w:tcW w:w="791" w:type="dxa"/>
                  <w:tcBorders>
                    <w:tl2br w:val="nil"/>
                    <w:tr2bl w:val="nil"/>
                  </w:tcBorders>
                  <w:vAlign w:val="center"/>
                </w:tcPr>
                <w:p w14:paraId="3E7694B9">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rPr>
                  </w:pPr>
                  <w:r>
                    <w:rPr>
                      <w:rFonts w:hint="default" w:ascii="Times New Roman" w:hAnsi="Times New Roman" w:cs="Times New Roman"/>
                      <w:color w:val="auto"/>
                      <w:sz w:val="18"/>
                      <w:szCs w:val="16"/>
                      <w:highlight w:val="none"/>
                      <w:lang w:val="en-US" w:eastAsia="zh-CN"/>
                    </w:rPr>
                    <w:t>北侧</w:t>
                  </w:r>
                </w:p>
              </w:tc>
              <w:tc>
                <w:tcPr>
                  <w:tcW w:w="1093" w:type="dxa"/>
                  <w:tcBorders>
                    <w:tl2br w:val="nil"/>
                    <w:tr2bl w:val="nil"/>
                  </w:tcBorders>
                  <w:vAlign w:val="center"/>
                </w:tcPr>
                <w:p w14:paraId="3F54D9AB">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18"/>
                      <w:szCs w:val="16"/>
                      <w:highlight w:val="none"/>
                      <w:lang w:val="en-US" w:eastAsia="zh-CN"/>
                    </w:rPr>
                  </w:pPr>
                  <w:r>
                    <w:rPr>
                      <w:rFonts w:hint="eastAsia" w:cs="Times New Roman"/>
                      <w:color w:val="auto"/>
                      <w:sz w:val="18"/>
                      <w:szCs w:val="16"/>
                      <w:highlight w:val="none"/>
                      <w:lang w:val="en-US" w:eastAsia="zh-CN"/>
                    </w:rPr>
                    <w:t>50</w:t>
                  </w:r>
                </w:p>
              </w:tc>
              <w:tc>
                <w:tcPr>
                  <w:tcW w:w="739" w:type="dxa"/>
                  <w:tcBorders>
                    <w:tl2br w:val="nil"/>
                    <w:tr2bl w:val="nil"/>
                  </w:tcBorders>
                  <w:vAlign w:val="center"/>
                </w:tcPr>
                <w:p w14:paraId="532416D2">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30m</w:t>
                  </w:r>
                </w:p>
              </w:tc>
              <w:tc>
                <w:tcPr>
                  <w:tcW w:w="907" w:type="dxa"/>
                  <w:vMerge w:val="continue"/>
                  <w:tcBorders>
                    <w:tl2br w:val="nil"/>
                    <w:tr2bl w:val="nil"/>
                  </w:tcBorders>
                  <w:vAlign w:val="center"/>
                </w:tcPr>
                <w:p w14:paraId="3B0EB7D1">
                  <w:pPr>
                    <w:pStyle w:val="32"/>
                    <w:keepNext w:val="0"/>
                    <w:keepLines w:val="0"/>
                    <w:suppressLineNumbers w:val="0"/>
                    <w:shd w:val="clear"/>
                    <w:spacing w:before="0" w:beforeAutospacing="0" w:after="0" w:afterAutospacing="0"/>
                    <w:ind w:left="0" w:right="0"/>
                    <w:jc w:val="both"/>
                    <w:rPr>
                      <w:rFonts w:hint="default" w:ascii="Times New Roman" w:hAnsi="Times New Roman" w:cs="Times New Roman"/>
                      <w:color w:val="auto"/>
                      <w:sz w:val="18"/>
                      <w:szCs w:val="18"/>
                      <w:highlight w:val="none"/>
                    </w:rPr>
                  </w:pPr>
                </w:p>
              </w:tc>
            </w:tr>
            <w:tr w14:paraId="02A687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671" w:type="dxa"/>
                  <w:vMerge w:val="continue"/>
                  <w:tcBorders>
                    <w:tl2br w:val="nil"/>
                    <w:tr2bl w:val="nil"/>
                  </w:tcBorders>
                  <w:vAlign w:val="center"/>
                </w:tcPr>
                <w:p w14:paraId="167CAF28">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eastAsia="zh-CN"/>
                    </w:rPr>
                  </w:pPr>
                </w:p>
              </w:tc>
              <w:tc>
                <w:tcPr>
                  <w:tcW w:w="1200" w:type="dxa"/>
                  <w:tcBorders>
                    <w:tl2br w:val="nil"/>
                    <w:tr2bl w:val="nil"/>
                  </w:tcBorders>
                  <w:vAlign w:val="center"/>
                </w:tcPr>
                <w:p w14:paraId="7DA634F1">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rPr>
                  </w:pPr>
                  <w:r>
                    <w:rPr>
                      <w:rFonts w:hint="default" w:ascii="Times New Roman" w:hAnsi="Times New Roman" w:cs="Times New Roman"/>
                      <w:color w:val="auto"/>
                      <w:sz w:val="18"/>
                      <w:szCs w:val="16"/>
                      <w:highlight w:val="none"/>
                      <w:lang w:eastAsia="zh-CN"/>
                    </w:rPr>
                    <w:t>公众</w:t>
                  </w:r>
                </w:p>
              </w:tc>
              <w:tc>
                <w:tcPr>
                  <w:tcW w:w="1984" w:type="dxa"/>
                  <w:tcBorders>
                    <w:tl2br w:val="nil"/>
                    <w:tr2bl w:val="nil"/>
                  </w:tcBorders>
                  <w:vAlign w:val="center"/>
                </w:tcPr>
                <w:p w14:paraId="4985E77C">
                  <w:pPr>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eastAsia="zh-CN"/>
                    </w:rPr>
                  </w:pPr>
                  <w:r>
                    <w:rPr>
                      <w:rFonts w:hint="default" w:ascii="Times New Roman" w:hAnsi="Times New Roman" w:cs="Times New Roman"/>
                      <w:color w:val="auto"/>
                      <w:sz w:val="18"/>
                      <w:szCs w:val="16"/>
                      <w:highlight w:val="none"/>
                      <w:lang w:val="en-US" w:eastAsia="zh-CN"/>
                    </w:rPr>
                    <w:t>γ射线、X射线、中子</w:t>
                  </w:r>
                </w:p>
              </w:tc>
              <w:tc>
                <w:tcPr>
                  <w:tcW w:w="1892" w:type="dxa"/>
                  <w:tcBorders>
                    <w:tl2br w:val="nil"/>
                    <w:tr2bl w:val="nil"/>
                  </w:tcBorders>
                  <w:vAlign w:val="center"/>
                </w:tcPr>
                <w:p w14:paraId="23E31220">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rPr>
                  </w:pPr>
                  <w:r>
                    <w:rPr>
                      <w:rFonts w:hint="default" w:ascii="Times New Roman" w:hAnsi="Times New Roman" w:cs="Times New Roman"/>
                      <w:color w:val="auto"/>
                      <w:sz w:val="18"/>
                      <w:szCs w:val="16"/>
                      <w:highlight w:val="none"/>
                      <w:lang w:val="en-US" w:eastAsia="zh-CN"/>
                    </w:rPr>
                    <w:t>核医学楼东侧50m翰乐轩小区</w:t>
                  </w:r>
                </w:p>
              </w:tc>
              <w:tc>
                <w:tcPr>
                  <w:tcW w:w="791" w:type="dxa"/>
                  <w:tcBorders>
                    <w:tl2br w:val="nil"/>
                    <w:tr2bl w:val="nil"/>
                  </w:tcBorders>
                  <w:vAlign w:val="center"/>
                </w:tcPr>
                <w:p w14:paraId="4E1C8ABE">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rPr>
                  </w:pPr>
                  <w:r>
                    <w:rPr>
                      <w:rFonts w:hint="default" w:ascii="Times New Roman" w:hAnsi="Times New Roman" w:cs="Times New Roman"/>
                      <w:color w:val="auto"/>
                      <w:sz w:val="18"/>
                      <w:szCs w:val="16"/>
                      <w:highlight w:val="none"/>
                      <w:lang w:val="en-US" w:eastAsia="zh-CN"/>
                    </w:rPr>
                    <w:t>东侧</w:t>
                  </w:r>
                </w:p>
              </w:tc>
              <w:tc>
                <w:tcPr>
                  <w:tcW w:w="1093" w:type="dxa"/>
                  <w:tcBorders>
                    <w:tl2br w:val="nil"/>
                    <w:tr2bl w:val="nil"/>
                  </w:tcBorders>
                  <w:vAlign w:val="center"/>
                </w:tcPr>
                <w:p w14:paraId="35883E23">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18"/>
                      <w:szCs w:val="16"/>
                      <w:highlight w:val="none"/>
                      <w:lang w:val="en-US" w:eastAsia="zh-CN"/>
                    </w:rPr>
                  </w:pPr>
                  <w:r>
                    <w:rPr>
                      <w:rFonts w:hint="eastAsia" w:cs="Times New Roman"/>
                      <w:color w:val="auto"/>
                      <w:sz w:val="18"/>
                      <w:szCs w:val="16"/>
                      <w:highlight w:val="none"/>
                      <w:lang w:val="en-US" w:eastAsia="zh-CN"/>
                    </w:rPr>
                    <w:t>100</w:t>
                  </w:r>
                </w:p>
              </w:tc>
              <w:tc>
                <w:tcPr>
                  <w:tcW w:w="739" w:type="dxa"/>
                  <w:tcBorders>
                    <w:tl2br w:val="nil"/>
                    <w:tr2bl w:val="nil"/>
                  </w:tcBorders>
                  <w:vAlign w:val="center"/>
                </w:tcPr>
                <w:p w14:paraId="5ADBFAB7">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8"/>
                      <w:highlight w:val="none"/>
                    </w:rPr>
                  </w:pPr>
                  <w:r>
                    <w:rPr>
                      <w:rFonts w:hint="eastAsia" w:cs="Times New Roman"/>
                      <w:color w:val="auto"/>
                      <w:sz w:val="18"/>
                      <w:szCs w:val="18"/>
                      <w:highlight w:val="none"/>
                      <w:lang w:val="en-US" w:eastAsia="zh-CN"/>
                    </w:rPr>
                    <w:t>5</w:t>
                  </w:r>
                  <w:r>
                    <w:rPr>
                      <w:rFonts w:hint="default" w:ascii="Times New Roman" w:hAnsi="Times New Roman" w:cs="Times New Roman"/>
                      <w:color w:val="auto"/>
                      <w:sz w:val="18"/>
                      <w:szCs w:val="18"/>
                      <w:highlight w:val="none"/>
                      <w:lang w:val="en-US" w:eastAsia="zh-CN"/>
                    </w:rPr>
                    <w:t>0m</w:t>
                  </w:r>
                </w:p>
              </w:tc>
              <w:tc>
                <w:tcPr>
                  <w:tcW w:w="907" w:type="dxa"/>
                  <w:vMerge w:val="continue"/>
                  <w:tcBorders>
                    <w:tl2br w:val="nil"/>
                    <w:tr2bl w:val="nil"/>
                  </w:tcBorders>
                  <w:vAlign w:val="center"/>
                </w:tcPr>
                <w:p w14:paraId="70AAF2FE">
                  <w:pPr>
                    <w:pStyle w:val="32"/>
                    <w:keepNext w:val="0"/>
                    <w:keepLines w:val="0"/>
                    <w:suppressLineNumbers w:val="0"/>
                    <w:shd w:val="clear"/>
                    <w:spacing w:before="0" w:beforeAutospacing="0" w:after="0" w:afterAutospacing="0"/>
                    <w:ind w:left="0" w:right="0"/>
                    <w:jc w:val="both"/>
                    <w:rPr>
                      <w:rFonts w:hint="default" w:ascii="Times New Roman" w:hAnsi="Times New Roman" w:cs="Times New Roman"/>
                      <w:color w:val="auto"/>
                      <w:sz w:val="18"/>
                      <w:szCs w:val="18"/>
                      <w:highlight w:val="none"/>
                    </w:rPr>
                  </w:pPr>
                </w:p>
              </w:tc>
            </w:tr>
            <w:tr w14:paraId="3F9D4B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671" w:type="dxa"/>
                  <w:vMerge w:val="continue"/>
                  <w:tcBorders>
                    <w:tl2br w:val="nil"/>
                    <w:tr2bl w:val="nil"/>
                  </w:tcBorders>
                  <w:vAlign w:val="center"/>
                </w:tcPr>
                <w:p w14:paraId="74F94808">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eastAsia="zh-CN"/>
                    </w:rPr>
                  </w:pPr>
                </w:p>
              </w:tc>
              <w:tc>
                <w:tcPr>
                  <w:tcW w:w="1200" w:type="dxa"/>
                  <w:tcBorders>
                    <w:tl2br w:val="nil"/>
                    <w:tr2bl w:val="nil"/>
                  </w:tcBorders>
                  <w:vAlign w:val="center"/>
                </w:tcPr>
                <w:p w14:paraId="7DB755E0">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val="en-US" w:eastAsia="zh-CN"/>
                    </w:rPr>
                  </w:pPr>
                  <w:r>
                    <w:rPr>
                      <w:rFonts w:hint="eastAsia" w:cs="Times New Roman"/>
                      <w:color w:val="auto"/>
                      <w:sz w:val="18"/>
                      <w:szCs w:val="16"/>
                      <w:highlight w:val="none"/>
                      <w:lang w:val="en-US" w:eastAsia="zh-CN"/>
                    </w:rPr>
                    <w:t>职业</w:t>
                  </w:r>
                </w:p>
              </w:tc>
              <w:tc>
                <w:tcPr>
                  <w:tcW w:w="1984" w:type="dxa"/>
                  <w:tcBorders>
                    <w:tl2br w:val="nil"/>
                    <w:tr2bl w:val="nil"/>
                  </w:tcBorders>
                  <w:vAlign w:val="center"/>
                </w:tcPr>
                <w:p w14:paraId="39EF327B">
                  <w:pPr>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eastAsia="zh-CN"/>
                    </w:rPr>
                  </w:pPr>
                  <w:r>
                    <w:rPr>
                      <w:rFonts w:hint="default" w:ascii="Times New Roman" w:hAnsi="Times New Roman" w:cs="Times New Roman"/>
                      <w:color w:val="auto"/>
                      <w:sz w:val="18"/>
                      <w:szCs w:val="16"/>
                      <w:highlight w:val="none"/>
                      <w:lang w:val="en-US" w:eastAsia="zh-CN"/>
                    </w:rPr>
                    <w:t>α射线、α表面污染、β射线、β表面污染、γ射线、X射线、中子</w:t>
                  </w:r>
                </w:p>
              </w:tc>
              <w:tc>
                <w:tcPr>
                  <w:tcW w:w="1892" w:type="dxa"/>
                  <w:tcBorders>
                    <w:tl2br w:val="nil"/>
                    <w:tr2bl w:val="nil"/>
                  </w:tcBorders>
                  <w:vAlign w:val="center"/>
                </w:tcPr>
                <w:p w14:paraId="1D9AE153">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val="en-US" w:eastAsia="zh-CN"/>
                    </w:rPr>
                  </w:pPr>
                  <w:r>
                    <w:rPr>
                      <w:rFonts w:hint="default" w:ascii="Times New Roman" w:hAnsi="Times New Roman" w:cs="Times New Roman"/>
                      <w:color w:val="auto"/>
                      <w:sz w:val="18"/>
                      <w:szCs w:val="16"/>
                      <w:highlight w:val="none"/>
                      <w:lang w:val="en-US" w:eastAsia="zh-CN"/>
                    </w:rPr>
                    <w:t>核医学楼内各控制区</w:t>
                  </w:r>
                  <w:r>
                    <w:rPr>
                      <w:rFonts w:hint="eastAsia" w:cs="Times New Roman"/>
                      <w:color w:val="auto"/>
                      <w:sz w:val="18"/>
                      <w:szCs w:val="16"/>
                      <w:highlight w:val="none"/>
                      <w:lang w:val="en-US" w:eastAsia="zh-CN"/>
                    </w:rPr>
                    <w:t>、监督区</w:t>
                  </w:r>
                </w:p>
              </w:tc>
              <w:tc>
                <w:tcPr>
                  <w:tcW w:w="791" w:type="dxa"/>
                  <w:tcBorders>
                    <w:tl2br w:val="nil"/>
                    <w:tr2bl w:val="nil"/>
                  </w:tcBorders>
                  <w:vAlign w:val="center"/>
                </w:tcPr>
                <w:p w14:paraId="2C0FAAB9">
                  <w:pPr>
                    <w:pStyle w:val="32"/>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val="en-US" w:eastAsia="zh-CN"/>
                    </w:rPr>
                  </w:pPr>
                  <w:r>
                    <w:rPr>
                      <w:rFonts w:hint="eastAsia" w:cs="Times New Roman"/>
                      <w:color w:val="auto"/>
                      <w:sz w:val="18"/>
                      <w:szCs w:val="16"/>
                      <w:highlight w:val="none"/>
                      <w:lang w:val="en-US" w:eastAsia="zh-CN"/>
                    </w:rPr>
                    <w:t>四周</w:t>
                  </w:r>
                </w:p>
              </w:tc>
              <w:tc>
                <w:tcPr>
                  <w:tcW w:w="1093" w:type="dxa"/>
                  <w:tcBorders>
                    <w:tl2br w:val="nil"/>
                    <w:tr2bl w:val="nil"/>
                  </w:tcBorders>
                  <w:vAlign w:val="center"/>
                </w:tcPr>
                <w:p w14:paraId="4F84737A">
                  <w:pPr>
                    <w:pStyle w:val="32"/>
                    <w:keepNext w:val="0"/>
                    <w:keepLines w:val="0"/>
                    <w:suppressLineNumbers w:val="0"/>
                    <w:shd w:val="clear"/>
                    <w:spacing w:before="0" w:beforeAutospacing="0" w:after="0" w:afterAutospacing="0"/>
                    <w:ind w:left="0" w:right="0"/>
                    <w:jc w:val="center"/>
                    <w:rPr>
                      <w:rFonts w:hint="default" w:cs="Times New Roman"/>
                      <w:color w:val="auto"/>
                      <w:sz w:val="18"/>
                      <w:szCs w:val="16"/>
                      <w:highlight w:val="none"/>
                      <w:lang w:val="en-US" w:eastAsia="zh-CN"/>
                    </w:rPr>
                  </w:pPr>
                  <w:r>
                    <w:rPr>
                      <w:rFonts w:hint="eastAsia" w:cs="Times New Roman"/>
                      <w:color w:val="auto"/>
                      <w:sz w:val="18"/>
                      <w:szCs w:val="16"/>
                      <w:highlight w:val="none"/>
                      <w:lang w:val="en-US" w:eastAsia="zh-CN"/>
                    </w:rPr>
                    <w:t>30人</w:t>
                  </w:r>
                </w:p>
              </w:tc>
              <w:tc>
                <w:tcPr>
                  <w:tcW w:w="739" w:type="dxa"/>
                  <w:tcBorders>
                    <w:tl2br w:val="nil"/>
                    <w:tr2bl w:val="nil"/>
                  </w:tcBorders>
                  <w:vAlign w:val="center"/>
                </w:tcPr>
                <w:p w14:paraId="7852A52D">
                  <w:pPr>
                    <w:pStyle w:val="32"/>
                    <w:keepNext w:val="0"/>
                    <w:keepLines w:val="0"/>
                    <w:suppressLineNumbers w:val="0"/>
                    <w:shd w:val="clear"/>
                    <w:spacing w:before="0" w:beforeAutospacing="0" w:after="0" w:afterAutospacing="0"/>
                    <w:ind w:left="0" w:right="0"/>
                    <w:jc w:val="center"/>
                    <w:rPr>
                      <w:rFonts w:hint="eastAsia" w:cs="Times New Roman"/>
                      <w:color w:val="auto"/>
                      <w:sz w:val="18"/>
                      <w:szCs w:val="18"/>
                      <w:highlight w:val="none"/>
                      <w:lang w:val="en-US" w:eastAsia="zh-CN"/>
                    </w:rPr>
                  </w:pPr>
                  <w:r>
                    <w:rPr>
                      <w:rFonts w:hint="eastAsia" w:cs="Times New Roman"/>
                      <w:color w:val="auto"/>
                      <w:sz w:val="18"/>
                      <w:szCs w:val="18"/>
                      <w:highlight w:val="none"/>
                      <w:lang w:val="en-US" w:eastAsia="zh-CN"/>
                    </w:rPr>
                    <w:t>1-50</w:t>
                  </w:r>
                </w:p>
              </w:tc>
              <w:tc>
                <w:tcPr>
                  <w:tcW w:w="907" w:type="dxa"/>
                  <w:tcBorders>
                    <w:tl2br w:val="nil"/>
                    <w:tr2bl w:val="nil"/>
                  </w:tcBorders>
                  <w:vAlign w:val="center"/>
                </w:tcPr>
                <w:p w14:paraId="61617BDE">
                  <w:pPr>
                    <w:pStyle w:val="32"/>
                    <w:keepNext w:val="0"/>
                    <w:keepLines w:val="0"/>
                    <w:suppressLineNumbers w:val="0"/>
                    <w:shd w:val="clear"/>
                    <w:spacing w:before="0" w:beforeAutospacing="0" w:after="0" w:afterAutospacing="0"/>
                    <w:ind w:left="0" w:right="0"/>
                    <w:jc w:val="both"/>
                    <w:rPr>
                      <w:rFonts w:hint="default" w:ascii="Times New Roman" w:hAnsi="Times New Roman" w:cs="Times New Roman"/>
                      <w:color w:val="auto"/>
                      <w:sz w:val="18"/>
                      <w:szCs w:val="18"/>
                      <w:highlight w:val="none"/>
                    </w:rPr>
                  </w:pPr>
                  <w:r>
                    <w:rPr>
                      <w:rFonts w:hint="default" w:ascii="Times New Roman" w:hAnsi="Times New Roman" w:cs="Times New Roman"/>
                      <w:color w:val="auto"/>
                      <w:sz w:val="18"/>
                      <w:szCs w:val="18"/>
                      <w:highlight w:val="none"/>
                      <w:lang w:val="en-US" w:eastAsia="zh-CN"/>
                    </w:rPr>
                    <w:t>5mSv/a</w:t>
                  </w:r>
                </w:p>
              </w:tc>
            </w:tr>
            <w:tr w14:paraId="7D3D6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671" w:type="dxa"/>
                  <w:vMerge w:val="restart"/>
                  <w:tcBorders>
                    <w:tl2br w:val="nil"/>
                    <w:tr2bl w:val="nil"/>
                  </w:tcBorders>
                  <w:vAlign w:val="center"/>
                </w:tcPr>
                <w:p w14:paraId="35C20B96">
                  <w:pPr>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val="en-US" w:eastAsia="zh-CN"/>
                    </w:rPr>
                  </w:pPr>
                  <w:r>
                    <w:rPr>
                      <w:rFonts w:hint="default" w:ascii="Times New Roman" w:hAnsi="Times New Roman" w:cs="Times New Roman"/>
                      <w:color w:val="auto"/>
                      <w:sz w:val="18"/>
                      <w:szCs w:val="16"/>
                      <w:highlight w:val="none"/>
                      <w:lang w:val="en-US" w:eastAsia="zh-CN"/>
                    </w:rPr>
                    <w:t>老院区综合楼介入2室</w:t>
                  </w:r>
                </w:p>
              </w:tc>
              <w:tc>
                <w:tcPr>
                  <w:tcW w:w="1200" w:type="dxa"/>
                  <w:tcBorders>
                    <w:tl2br w:val="nil"/>
                    <w:tr2bl w:val="nil"/>
                  </w:tcBorders>
                  <w:shd w:val="clear" w:color="auto" w:fill="auto"/>
                  <w:vAlign w:val="center"/>
                </w:tcPr>
                <w:p w14:paraId="5418834C">
                  <w:pPr>
                    <w:pStyle w:val="32"/>
                    <w:keepNext w:val="0"/>
                    <w:keepLines w:val="0"/>
                    <w:suppressLineNumbers w:val="0"/>
                    <w:shd w:val="clear"/>
                    <w:spacing w:before="0" w:beforeAutospacing="0" w:after="0" w:afterAutospacing="0"/>
                    <w:ind w:left="0" w:leftChars="0" w:right="0" w:rightChars="0"/>
                    <w:jc w:val="center"/>
                    <w:rPr>
                      <w:rFonts w:hint="eastAsia" w:ascii="Times New Roman" w:hAnsi="Times New Roman" w:eastAsia="宋体" w:cs="Times New Roman"/>
                      <w:color w:val="auto"/>
                      <w:sz w:val="18"/>
                      <w:szCs w:val="16"/>
                      <w:highlight w:val="none"/>
                      <w:lang w:val="en-US" w:eastAsia="zh-CN" w:bidi="ar-SA"/>
                    </w:rPr>
                  </w:pPr>
                  <w:r>
                    <w:rPr>
                      <w:rFonts w:hint="eastAsia" w:cs="Times New Roman"/>
                      <w:color w:val="auto"/>
                      <w:sz w:val="18"/>
                      <w:szCs w:val="16"/>
                      <w:highlight w:val="none"/>
                      <w:lang w:val="en-US" w:eastAsia="zh-CN"/>
                    </w:rPr>
                    <w:t>公众</w:t>
                  </w:r>
                </w:p>
              </w:tc>
              <w:tc>
                <w:tcPr>
                  <w:tcW w:w="1984" w:type="dxa"/>
                  <w:tcBorders>
                    <w:tl2br w:val="nil"/>
                    <w:tr2bl w:val="nil"/>
                  </w:tcBorders>
                  <w:shd w:val="clear" w:color="auto" w:fill="auto"/>
                  <w:vAlign w:val="center"/>
                </w:tcPr>
                <w:p w14:paraId="336DE0DA">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18"/>
                      <w:szCs w:val="16"/>
                      <w:highlight w:val="none"/>
                      <w:lang w:val="en-US" w:eastAsia="zh-CN" w:bidi="ar-SA"/>
                    </w:rPr>
                  </w:pPr>
                  <w:r>
                    <w:rPr>
                      <w:rFonts w:hint="default" w:ascii="Times New Roman" w:hAnsi="Times New Roman" w:cs="Times New Roman"/>
                      <w:color w:val="auto"/>
                      <w:sz w:val="18"/>
                      <w:szCs w:val="16"/>
                      <w:highlight w:val="none"/>
                      <w:lang w:val="en-US" w:eastAsia="zh-CN"/>
                    </w:rPr>
                    <w:t>γ射线</w:t>
                  </w:r>
                  <w:r>
                    <w:rPr>
                      <w:rFonts w:hint="eastAsia" w:cs="Times New Roman"/>
                      <w:color w:val="auto"/>
                      <w:sz w:val="18"/>
                      <w:szCs w:val="16"/>
                      <w:highlight w:val="none"/>
                      <w:lang w:val="en-US" w:eastAsia="zh-CN"/>
                    </w:rPr>
                    <w:t>、X射线</w:t>
                  </w:r>
                </w:p>
              </w:tc>
              <w:tc>
                <w:tcPr>
                  <w:tcW w:w="1892" w:type="dxa"/>
                  <w:tcBorders>
                    <w:tl2br w:val="nil"/>
                    <w:tr2bl w:val="nil"/>
                  </w:tcBorders>
                  <w:shd w:val="clear" w:color="auto" w:fill="auto"/>
                  <w:vAlign w:val="center"/>
                </w:tcPr>
                <w:p w14:paraId="79B1AD13">
                  <w:pPr>
                    <w:pStyle w:val="32"/>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18"/>
                      <w:szCs w:val="16"/>
                      <w:highlight w:val="none"/>
                      <w:lang w:val="en-US" w:eastAsia="zh-CN" w:bidi="ar-SA"/>
                    </w:rPr>
                  </w:pPr>
                  <w:r>
                    <w:rPr>
                      <w:rFonts w:hint="default" w:ascii="Times New Roman" w:hAnsi="Times New Roman" w:eastAsia="宋体" w:cs="Times New Roman"/>
                      <w:color w:val="auto"/>
                      <w:sz w:val="18"/>
                      <w:szCs w:val="16"/>
                      <w:highlight w:val="none"/>
                      <w:lang w:val="en-US" w:eastAsia="zh-CN" w:bidi="ar-SA"/>
                    </w:rPr>
                    <w:t>综合楼介入2室墙外50m范围</w:t>
                  </w:r>
                </w:p>
              </w:tc>
              <w:tc>
                <w:tcPr>
                  <w:tcW w:w="791" w:type="dxa"/>
                  <w:tcBorders>
                    <w:tl2br w:val="nil"/>
                    <w:tr2bl w:val="nil"/>
                  </w:tcBorders>
                  <w:shd w:val="clear" w:color="auto" w:fill="auto"/>
                  <w:vAlign w:val="center"/>
                </w:tcPr>
                <w:p w14:paraId="5EDFC257">
                  <w:pPr>
                    <w:pStyle w:val="32"/>
                    <w:keepNext w:val="0"/>
                    <w:keepLines w:val="0"/>
                    <w:suppressLineNumbers w:val="0"/>
                    <w:shd w:val="clear"/>
                    <w:spacing w:before="0" w:beforeAutospacing="0" w:after="0" w:afterAutospacing="0"/>
                    <w:ind w:left="0" w:leftChars="0" w:right="0" w:rightChars="0"/>
                    <w:jc w:val="center"/>
                    <w:rPr>
                      <w:rFonts w:hint="eastAsia" w:ascii="Times New Roman" w:hAnsi="Times New Roman" w:eastAsia="宋体" w:cs="Times New Roman"/>
                      <w:color w:val="auto"/>
                      <w:sz w:val="18"/>
                      <w:szCs w:val="16"/>
                      <w:highlight w:val="none"/>
                      <w:lang w:val="en-US" w:eastAsia="zh-CN" w:bidi="ar-SA"/>
                    </w:rPr>
                  </w:pPr>
                  <w:r>
                    <w:rPr>
                      <w:rFonts w:hint="eastAsia" w:cs="Times New Roman"/>
                      <w:color w:val="auto"/>
                      <w:sz w:val="18"/>
                      <w:szCs w:val="16"/>
                      <w:highlight w:val="none"/>
                      <w:lang w:val="en-US" w:eastAsia="zh-CN"/>
                    </w:rPr>
                    <w:t>四周</w:t>
                  </w:r>
                </w:p>
              </w:tc>
              <w:tc>
                <w:tcPr>
                  <w:tcW w:w="1093" w:type="dxa"/>
                  <w:tcBorders>
                    <w:tl2br w:val="nil"/>
                    <w:tr2bl w:val="nil"/>
                  </w:tcBorders>
                  <w:shd w:val="clear" w:color="auto" w:fill="auto"/>
                  <w:vAlign w:val="center"/>
                </w:tcPr>
                <w:p w14:paraId="52062EAB">
                  <w:pPr>
                    <w:pStyle w:val="32"/>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18"/>
                      <w:szCs w:val="16"/>
                      <w:highlight w:val="none"/>
                      <w:lang w:val="en-US" w:eastAsia="zh-CN" w:bidi="ar-SA"/>
                    </w:rPr>
                  </w:pPr>
                  <w:r>
                    <w:rPr>
                      <w:rFonts w:hint="default" w:ascii="Times New Roman" w:hAnsi="Times New Roman" w:cs="Times New Roman"/>
                      <w:color w:val="auto"/>
                      <w:sz w:val="18"/>
                      <w:szCs w:val="16"/>
                      <w:highlight w:val="none"/>
                      <w:lang w:val="en-US" w:eastAsia="zh-CN"/>
                    </w:rPr>
                    <w:t>流动人员</w:t>
                  </w:r>
                </w:p>
              </w:tc>
              <w:tc>
                <w:tcPr>
                  <w:tcW w:w="739" w:type="dxa"/>
                  <w:tcBorders>
                    <w:tl2br w:val="nil"/>
                    <w:tr2bl w:val="nil"/>
                  </w:tcBorders>
                  <w:shd w:val="clear" w:color="auto" w:fill="auto"/>
                  <w:vAlign w:val="center"/>
                </w:tcPr>
                <w:p w14:paraId="705100F4">
                  <w:pPr>
                    <w:pStyle w:val="32"/>
                    <w:keepNext w:val="0"/>
                    <w:keepLines w:val="0"/>
                    <w:suppressLineNumbers w:val="0"/>
                    <w:shd w:val="clear"/>
                    <w:spacing w:before="0" w:beforeAutospacing="0" w:after="0" w:afterAutospacing="0"/>
                    <w:ind w:left="0" w:leftChars="0" w:right="0" w:rightChars="0"/>
                    <w:jc w:val="center"/>
                    <w:rPr>
                      <w:rFonts w:hint="eastAsia" w:ascii="Times New Roman" w:hAnsi="Times New Roman" w:eastAsia="宋体" w:cs="Times New Roman"/>
                      <w:color w:val="auto"/>
                      <w:sz w:val="18"/>
                      <w:szCs w:val="18"/>
                      <w:highlight w:val="none"/>
                      <w:lang w:val="en-US" w:eastAsia="zh-CN" w:bidi="ar-SA"/>
                    </w:rPr>
                  </w:pPr>
                  <w:r>
                    <w:rPr>
                      <w:rFonts w:hint="eastAsia" w:cs="Times New Roman"/>
                      <w:color w:val="auto"/>
                      <w:sz w:val="18"/>
                      <w:szCs w:val="18"/>
                      <w:highlight w:val="none"/>
                      <w:lang w:val="en-US" w:eastAsia="zh-CN"/>
                    </w:rPr>
                    <w:t>1-50</w:t>
                  </w:r>
                </w:p>
              </w:tc>
              <w:tc>
                <w:tcPr>
                  <w:tcW w:w="907" w:type="dxa"/>
                  <w:tcBorders>
                    <w:tl2br w:val="nil"/>
                    <w:tr2bl w:val="nil"/>
                  </w:tcBorders>
                  <w:shd w:val="clear" w:color="auto" w:fill="auto"/>
                  <w:vAlign w:val="center"/>
                </w:tcPr>
                <w:p w14:paraId="7E50F290">
                  <w:pPr>
                    <w:pStyle w:val="32"/>
                    <w:keepNext w:val="0"/>
                    <w:keepLines w:val="0"/>
                    <w:suppressLineNumbers w:val="0"/>
                    <w:shd w:val="clear"/>
                    <w:spacing w:before="0" w:beforeAutospacing="0" w:after="0" w:afterAutospacing="0"/>
                    <w:ind w:left="0" w:leftChars="0" w:right="0" w:rightChars="0"/>
                    <w:jc w:val="both"/>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bidi="ar-SA"/>
                    </w:rPr>
                    <w:t>0.1mSv/a</w:t>
                  </w:r>
                </w:p>
              </w:tc>
            </w:tr>
            <w:tr w14:paraId="358F19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71" w:type="dxa"/>
                  <w:vMerge w:val="continue"/>
                  <w:tcBorders>
                    <w:tl2br w:val="nil"/>
                    <w:tr2bl w:val="nil"/>
                  </w:tcBorders>
                  <w:vAlign w:val="center"/>
                </w:tcPr>
                <w:p w14:paraId="0C295E16">
                  <w:pPr>
                    <w:keepNext w:val="0"/>
                    <w:keepLines w:val="0"/>
                    <w:suppressLineNumbers w:val="0"/>
                    <w:shd w:val="clear"/>
                    <w:spacing w:before="0" w:beforeAutospacing="0" w:after="0" w:afterAutospacing="0"/>
                    <w:ind w:left="0" w:right="0"/>
                    <w:jc w:val="center"/>
                    <w:rPr>
                      <w:rFonts w:hint="default" w:ascii="Times New Roman" w:hAnsi="Times New Roman" w:cs="Times New Roman"/>
                      <w:color w:val="auto"/>
                      <w:sz w:val="18"/>
                      <w:szCs w:val="16"/>
                      <w:highlight w:val="none"/>
                      <w:lang w:val="en-US" w:eastAsia="zh-CN"/>
                    </w:rPr>
                  </w:pPr>
                </w:p>
              </w:tc>
              <w:tc>
                <w:tcPr>
                  <w:tcW w:w="1200" w:type="dxa"/>
                  <w:tcBorders>
                    <w:tl2br w:val="nil"/>
                    <w:tr2bl w:val="nil"/>
                  </w:tcBorders>
                  <w:shd w:val="clear" w:color="auto" w:fill="auto"/>
                  <w:vAlign w:val="center"/>
                </w:tcPr>
                <w:p w14:paraId="03FF05F3">
                  <w:pPr>
                    <w:pStyle w:val="32"/>
                    <w:keepNext w:val="0"/>
                    <w:keepLines w:val="0"/>
                    <w:suppressLineNumbers w:val="0"/>
                    <w:shd w:val="clear"/>
                    <w:spacing w:before="0" w:beforeAutospacing="0" w:after="0" w:afterAutospacing="0"/>
                    <w:ind w:left="0" w:leftChars="0" w:right="0" w:rightChars="0"/>
                    <w:jc w:val="center"/>
                    <w:rPr>
                      <w:rFonts w:hint="eastAsia" w:ascii="Times New Roman" w:hAnsi="Times New Roman" w:eastAsia="宋体" w:cs="Times New Roman"/>
                      <w:color w:val="auto"/>
                      <w:sz w:val="18"/>
                      <w:szCs w:val="16"/>
                      <w:highlight w:val="none"/>
                      <w:lang w:val="en-US" w:eastAsia="zh-CN" w:bidi="ar-SA"/>
                    </w:rPr>
                  </w:pPr>
                  <w:r>
                    <w:rPr>
                      <w:rFonts w:hint="eastAsia" w:ascii="Times New Roman" w:hAnsi="Times New Roman" w:eastAsia="宋体" w:cs="Times New Roman"/>
                      <w:color w:val="auto"/>
                      <w:sz w:val="18"/>
                      <w:szCs w:val="16"/>
                      <w:highlight w:val="none"/>
                      <w:lang w:val="en-US" w:eastAsia="zh-CN" w:bidi="ar-SA"/>
                    </w:rPr>
                    <w:t>职业</w:t>
                  </w:r>
                </w:p>
              </w:tc>
              <w:tc>
                <w:tcPr>
                  <w:tcW w:w="1984" w:type="dxa"/>
                  <w:tcBorders>
                    <w:tl2br w:val="nil"/>
                    <w:tr2bl w:val="nil"/>
                  </w:tcBorders>
                  <w:shd w:val="clear" w:color="auto" w:fill="auto"/>
                  <w:vAlign w:val="center"/>
                </w:tcPr>
                <w:p w14:paraId="663950B0">
                  <w:pPr>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18"/>
                      <w:szCs w:val="16"/>
                      <w:highlight w:val="none"/>
                      <w:lang w:val="en-US" w:eastAsia="zh-CN" w:bidi="ar-SA"/>
                    </w:rPr>
                  </w:pPr>
                  <w:r>
                    <w:rPr>
                      <w:rFonts w:hint="default" w:ascii="Times New Roman" w:hAnsi="Times New Roman" w:eastAsia="宋体" w:cs="Times New Roman"/>
                      <w:color w:val="auto"/>
                      <w:sz w:val="18"/>
                      <w:szCs w:val="16"/>
                      <w:highlight w:val="none"/>
                      <w:lang w:val="en-US" w:eastAsia="zh-CN" w:bidi="ar-SA"/>
                    </w:rPr>
                    <w:t>β射线、β表面污染、γ射线、X射线</w:t>
                  </w:r>
                </w:p>
              </w:tc>
              <w:tc>
                <w:tcPr>
                  <w:tcW w:w="1892" w:type="dxa"/>
                  <w:tcBorders>
                    <w:tl2br w:val="nil"/>
                    <w:tr2bl w:val="nil"/>
                  </w:tcBorders>
                  <w:shd w:val="clear" w:color="auto" w:fill="auto"/>
                  <w:vAlign w:val="center"/>
                </w:tcPr>
                <w:p w14:paraId="3BA738DE">
                  <w:pPr>
                    <w:pStyle w:val="32"/>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18"/>
                      <w:szCs w:val="16"/>
                      <w:highlight w:val="none"/>
                      <w:lang w:val="en-US" w:eastAsia="zh-CN" w:bidi="ar-SA"/>
                    </w:rPr>
                  </w:pPr>
                  <w:r>
                    <w:rPr>
                      <w:rFonts w:hint="default" w:ascii="Times New Roman" w:hAnsi="Times New Roman" w:eastAsia="宋体" w:cs="Times New Roman"/>
                      <w:color w:val="auto"/>
                      <w:sz w:val="18"/>
                      <w:szCs w:val="16"/>
                      <w:highlight w:val="none"/>
                      <w:lang w:val="en-US" w:eastAsia="zh-CN" w:bidi="ar-SA"/>
                    </w:rPr>
                    <w:t>综合楼介入2室</w:t>
                  </w:r>
                  <w:r>
                    <w:rPr>
                      <w:rFonts w:hint="eastAsia" w:cs="Times New Roman"/>
                      <w:color w:val="auto"/>
                      <w:sz w:val="18"/>
                      <w:szCs w:val="16"/>
                      <w:highlight w:val="none"/>
                      <w:lang w:val="en-US" w:eastAsia="zh-CN" w:bidi="ar-SA"/>
                    </w:rPr>
                    <w:t>内部及机房外</w:t>
                  </w:r>
                  <w:r>
                    <w:rPr>
                      <w:rFonts w:hint="default" w:ascii="Times New Roman" w:hAnsi="Times New Roman" w:eastAsia="宋体" w:cs="Times New Roman"/>
                      <w:color w:val="auto"/>
                      <w:sz w:val="18"/>
                      <w:szCs w:val="16"/>
                      <w:highlight w:val="none"/>
                      <w:lang w:val="en-US" w:eastAsia="zh-CN" w:bidi="ar-SA"/>
                    </w:rPr>
                    <w:t>50m范围</w:t>
                  </w:r>
                </w:p>
              </w:tc>
              <w:tc>
                <w:tcPr>
                  <w:tcW w:w="791" w:type="dxa"/>
                  <w:tcBorders>
                    <w:tl2br w:val="nil"/>
                    <w:tr2bl w:val="nil"/>
                  </w:tcBorders>
                  <w:shd w:val="clear" w:color="auto" w:fill="auto"/>
                  <w:vAlign w:val="center"/>
                </w:tcPr>
                <w:p w14:paraId="39A30D59">
                  <w:pPr>
                    <w:pStyle w:val="32"/>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18"/>
                      <w:szCs w:val="16"/>
                      <w:highlight w:val="none"/>
                      <w:lang w:val="en-US" w:eastAsia="zh-CN" w:bidi="ar-SA"/>
                    </w:rPr>
                  </w:pPr>
                  <w:r>
                    <w:rPr>
                      <w:rFonts w:hint="eastAsia" w:cs="Times New Roman"/>
                      <w:color w:val="auto"/>
                      <w:sz w:val="18"/>
                      <w:szCs w:val="16"/>
                      <w:highlight w:val="none"/>
                      <w:lang w:val="en-US" w:eastAsia="zh-CN" w:bidi="ar-SA"/>
                    </w:rPr>
                    <w:t>四周</w:t>
                  </w:r>
                </w:p>
              </w:tc>
              <w:tc>
                <w:tcPr>
                  <w:tcW w:w="1093" w:type="dxa"/>
                  <w:tcBorders>
                    <w:tl2br w:val="nil"/>
                    <w:tr2bl w:val="nil"/>
                  </w:tcBorders>
                  <w:shd w:val="clear" w:color="auto" w:fill="auto"/>
                  <w:vAlign w:val="center"/>
                </w:tcPr>
                <w:p w14:paraId="3CFAC607">
                  <w:pPr>
                    <w:pStyle w:val="32"/>
                    <w:keepNext w:val="0"/>
                    <w:keepLines w:val="0"/>
                    <w:suppressLineNumbers w:val="0"/>
                    <w:shd w:val="clear"/>
                    <w:spacing w:before="0" w:beforeAutospacing="0" w:after="0" w:afterAutospacing="0"/>
                    <w:ind w:left="0" w:leftChars="0" w:right="0" w:rightChars="0"/>
                    <w:jc w:val="center"/>
                    <w:rPr>
                      <w:rFonts w:hint="default" w:ascii="Times New Roman" w:hAnsi="Times New Roman" w:eastAsia="宋体" w:cs="Times New Roman"/>
                      <w:color w:val="auto"/>
                      <w:sz w:val="18"/>
                      <w:szCs w:val="16"/>
                      <w:highlight w:val="none"/>
                      <w:lang w:val="en-US" w:eastAsia="zh-CN" w:bidi="ar-SA"/>
                    </w:rPr>
                  </w:pPr>
                  <w:r>
                    <w:rPr>
                      <w:rFonts w:hint="eastAsia" w:cs="Times New Roman"/>
                      <w:color w:val="auto"/>
                      <w:sz w:val="18"/>
                      <w:szCs w:val="16"/>
                      <w:highlight w:val="none"/>
                      <w:lang w:val="en-US" w:eastAsia="zh-CN" w:bidi="ar-SA"/>
                    </w:rPr>
                    <w:t>5</w:t>
                  </w:r>
                </w:p>
              </w:tc>
              <w:tc>
                <w:tcPr>
                  <w:tcW w:w="739" w:type="dxa"/>
                  <w:tcBorders>
                    <w:tl2br w:val="nil"/>
                    <w:tr2bl w:val="nil"/>
                  </w:tcBorders>
                  <w:shd w:val="clear" w:color="auto" w:fill="auto"/>
                  <w:vAlign w:val="center"/>
                </w:tcPr>
                <w:p w14:paraId="1434BE21">
                  <w:pPr>
                    <w:pStyle w:val="32"/>
                    <w:keepNext w:val="0"/>
                    <w:keepLines w:val="0"/>
                    <w:suppressLineNumbers w:val="0"/>
                    <w:shd w:val="clear"/>
                    <w:spacing w:before="0" w:beforeAutospacing="0" w:after="0" w:afterAutospacing="0"/>
                    <w:ind w:left="0" w:leftChars="0" w:right="0" w:rightChars="0"/>
                    <w:jc w:val="center"/>
                    <w:rPr>
                      <w:rFonts w:hint="eastAsia" w:ascii="Times New Roman" w:hAnsi="Times New Roman" w:eastAsia="宋体" w:cs="Times New Roman"/>
                      <w:color w:val="auto"/>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bidi="ar-SA"/>
                    </w:rPr>
                    <w:t>1-50</w:t>
                  </w:r>
                </w:p>
              </w:tc>
              <w:tc>
                <w:tcPr>
                  <w:tcW w:w="907" w:type="dxa"/>
                  <w:tcBorders>
                    <w:tl2br w:val="nil"/>
                    <w:tr2bl w:val="nil"/>
                  </w:tcBorders>
                  <w:shd w:val="clear" w:color="auto" w:fill="auto"/>
                  <w:vAlign w:val="center"/>
                </w:tcPr>
                <w:p w14:paraId="1FEAF16E">
                  <w:pPr>
                    <w:pStyle w:val="32"/>
                    <w:keepNext w:val="0"/>
                    <w:keepLines w:val="0"/>
                    <w:suppressLineNumbers w:val="0"/>
                    <w:shd w:val="clear"/>
                    <w:spacing w:before="0" w:beforeAutospacing="0" w:after="0" w:afterAutospacing="0"/>
                    <w:ind w:left="0" w:leftChars="0" w:right="0" w:rightChars="0"/>
                    <w:jc w:val="both"/>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bidi="ar-SA"/>
                    </w:rPr>
                    <w:t>5mSv/a</w:t>
                  </w:r>
                </w:p>
              </w:tc>
            </w:tr>
          </w:tbl>
          <w:p w14:paraId="558F0FD8">
            <w:pPr>
              <w:pStyle w:val="9"/>
              <w:keepNext w:val="0"/>
              <w:keepLines w:val="0"/>
              <w:suppressLineNumbers w:val="0"/>
              <w:spacing w:before="0" w:beforeAutospacing="0" w:after="0" w:afterAutospacing="0"/>
              <w:ind w:left="0" w:leftChars="0" w:firstLine="0" w:firstLineChars="0"/>
              <w:jc w:val="both"/>
              <w:rPr>
                <w:rFonts w:hint="default" w:ascii="Times New Roman" w:hAnsi="Times New Roman" w:cs="Times New Roman"/>
                <w:color w:val="auto"/>
                <w:highlight w:val="none"/>
              </w:rPr>
            </w:pPr>
          </w:p>
        </w:tc>
      </w:tr>
      <w:tr w14:paraId="62AE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40" w:type="dxa"/>
          </w:tcPr>
          <w:p w14:paraId="61F0C712">
            <w:pPr>
              <w:pStyle w:val="43"/>
              <w:keepNext w:val="0"/>
              <w:keepLines w:val="0"/>
              <w:suppressLineNumbers w:val="0"/>
              <w:spacing w:before="199" w:beforeLines="0" w:beforeAutospacing="0" w:after="0" w:afterLines="0" w:afterAutospacing="0" w:line="240" w:lineRule="auto"/>
              <w:ind w:left="115"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2"/>
                <w:sz w:val="24"/>
                <w:szCs w:val="24"/>
                <w:highlight w:val="none"/>
              </w:rPr>
              <w:t>7.3 评价标准</w:t>
            </w:r>
          </w:p>
          <w:p w14:paraId="40CA4A17">
            <w:pPr>
              <w:pStyle w:val="43"/>
              <w:keepNext w:val="0"/>
              <w:keepLines w:val="0"/>
              <w:suppressLineNumbers w:val="0"/>
              <w:spacing w:before="217" w:beforeLines="0" w:beforeAutospacing="0" w:after="0" w:afterLines="0" w:afterAutospacing="0" w:line="240" w:lineRule="auto"/>
              <w:ind w:left="115"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2"/>
                <w:sz w:val="24"/>
                <w:szCs w:val="24"/>
                <w:highlight w:val="none"/>
              </w:rPr>
              <w:t>7.3.1 剂量限制</w:t>
            </w:r>
          </w:p>
          <w:p w14:paraId="227BAF04">
            <w:pPr>
              <w:pStyle w:val="43"/>
              <w:keepNext w:val="0"/>
              <w:keepLines w:val="0"/>
              <w:suppressLineNumbers w:val="0"/>
              <w:spacing w:before="214" w:beforeLines="0" w:beforeAutospacing="0" w:after="0" w:afterLines="0" w:afterAutospacing="0" w:line="240" w:lineRule="auto"/>
              <w:ind w:left="117"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1"/>
                <w:sz w:val="24"/>
                <w:szCs w:val="24"/>
                <w:highlight w:val="none"/>
              </w:rPr>
              <w:t>根据《电离辐射防护与辐射源安全基本标准》（GB1</w:t>
            </w:r>
            <w:r>
              <w:rPr>
                <w:rFonts w:hint="default" w:ascii="Times New Roman" w:hAnsi="Times New Roman" w:eastAsia="宋体" w:cs="Times New Roman"/>
                <w:b/>
                <w:color w:val="auto"/>
                <w:spacing w:val="-2"/>
                <w:sz w:val="24"/>
                <w:szCs w:val="24"/>
                <w:highlight w:val="none"/>
              </w:rPr>
              <w:t>8871-2002</w:t>
            </w:r>
            <w:r>
              <w:rPr>
                <w:rFonts w:hint="default" w:ascii="Times New Roman" w:hAnsi="Times New Roman" w:eastAsia="宋体" w:cs="Times New Roman"/>
                <w:b/>
                <w:color w:val="auto"/>
                <w:spacing w:val="-3"/>
                <w:sz w:val="24"/>
                <w:szCs w:val="24"/>
                <w:highlight w:val="none"/>
              </w:rPr>
              <w:t>）：</w:t>
            </w:r>
          </w:p>
          <w:p w14:paraId="13CA9921">
            <w:pPr>
              <w:pStyle w:val="43"/>
              <w:keepNext w:val="0"/>
              <w:keepLines w:val="0"/>
              <w:suppressLineNumbers w:val="0"/>
              <w:spacing w:before="215" w:beforeLines="0" w:beforeAutospacing="0" w:after="0" w:afterLines="0" w:afterAutospacing="0" w:line="240" w:lineRule="auto"/>
              <w:ind w:left="581"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rPr>
              <w:t>①职业照射</w:t>
            </w:r>
          </w:p>
          <w:p w14:paraId="5E0BAD96">
            <w:pPr>
              <w:pStyle w:val="43"/>
              <w:keepNext w:val="0"/>
              <w:keepLines w:val="0"/>
              <w:suppressLineNumbers w:val="0"/>
              <w:spacing w:before="218" w:beforeLines="0" w:beforeAutospacing="0" w:after="0" w:afterLines="0" w:afterAutospacing="0" w:line="240" w:lineRule="auto"/>
              <w:ind w:left="700" w:right="0"/>
              <w:jc w:val="both"/>
              <w:rPr>
                <w:rFonts w:hint="default" w:ascii="Times New Roman" w:hAnsi="Times New Roman" w:eastAsia="宋体" w:cs="Times New Roman"/>
                <w:b w:val="0"/>
                <w:bCs/>
                <w:color w:val="auto"/>
                <w:sz w:val="24"/>
                <w:szCs w:val="24"/>
                <w:highlight w:val="none"/>
              </w:rPr>
            </w:pPr>
            <w:r>
              <w:rPr>
                <w:rFonts w:hint="default" w:ascii="Times New Roman" w:hAnsi="Times New Roman" w:eastAsia="宋体" w:cs="Times New Roman"/>
                <w:b w:val="0"/>
                <w:bCs/>
                <w:color w:val="auto"/>
                <w:spacing w:val="-4"/>
                <w:sz w:val="24"/>
                <w:szCs w:val="24"/>
                <w:highlight w:val="none"/>
              </w:rPr>
              <w:t>B</w:t>
            </w:r>
            <w:r>
              <w:rPr>
                <w:rFonts w:hint="default" w:ascii="Times New Roman" w:hAnsi="Times New Roman" w:eastAsia="宋体" w:cs="Times New Roman"/>
                <w:b w:val="0"/>
                <w:bCs/>
                <w:color w:val="auto"/>
                <w:sz w:val="24"/>
                <w:szCs w:val="24"/>
                <w:highlight w:val="none"/>
              </w:rPr>
              <w:fldChar w:fldCharType="begin"/>
            </w:r>
            <w:r>
              <w:rPr>
                <w:rFonts w:hint="default" w:ascii="Times New Roman" w:hAnsi="Times New Roman" w:eastAsia="宋体" w:cs="Times New Roman"/>
                <w:b w:val="0"/>
                <w:bCs/>
                <w:color w:val="auto"/>
                <w:sz w:val="24"/>
                <w:szCs w:val="24"/>
                <w:highlight w:val="none"/>
              </w:rPr>
              <w:instrText xml:space="preserve"> HYPERLINK "1.1.1.1" </w:instrText>
            </w:r>
            <w:r>
              <w:rPr>
                <w:rFonts w:hint="default" w:ascii="Times New Roman" w:hAnsi="Times New Roman" w:eastAsia="宋体" w:cs="Times New Roman"/>
                <w:b w:val="0"/>
                <w:bCs/>
                <w:color w:val="auto"/>
                <w:sz w:val="24"/>
                <w:szCs w:val="24"/>
                <w:highlight w:val="none"/>
              </w:rPr>
              <w:fldChar w:fldCharType="separate"/>
            </w:r>
            <w:r>
              <w:rPr>
                <w:rFonts w:hint="default" w:ascii="Times New Roman" w:hAnsi="Times New Roman" w:eastAsia="宋体" w:cs="Times New Roman"/>
                <w:b w:val="0"/>
                <w:bCs/>
                <w:color w:val="auto"/>
                <w:spacing w:val="-4"/>
                <w:sz w:val="24"/>
                <w:szCs w:val="24"/>
                <w:highlight w:val="none"/>
              </w:rPr>
              <w:t>1.1.1.1</w:t>
            </w:r>
            <w:r>
              <w:rPr>
                <w:rFonts w:hint="default" w:ascii="Times New Roman" w:hAnsi="Times New Roman" w:eastAsia="宋体" w:cs="Times New Roman"/>
                <w:b w:val="0"/>
                <w:bCs/>
                <w:color w:val="auto"/>
                <w:spacing w:val="-4"/>
                <w:sz w:val="24"/>
                <w:szCs w:val="24"/>
                <w:highlight w:val="none"/>
              </w:rPr>
              <w:fldChar w:fldCharType="end"/>
            </w:r>
            <w:r>
              <w:rPr>
                <w:rFonts w:hint="default" w:ascii="Times New Roman" w:hAnsi="Times New Roman" w:eastAsia="宋体" w:cs="Times New Roman"/>
                <w:b w:val="0"/>
                <w:bCs/>
                <w:color w:val="auto"/>
                <w:spacing w:val="-4"/>
                <w:sz w:val="24"/>
                <w:szCs w:val="24"/>
                <w:highlight w:val="none"/>
              </w:rPr>
              <w:t>款应对任何工作人员的职业照射水平进行控制，使之不超过下述限值：</w:t>
            </w:r>
          </w:p>
          <w:p w14:paraId="63C3D9DF">
            <w:pPr>
              <w:pStyle w:val="43"/>
              <w:keepNext w:val="0"/>
              <w:keepLines w:val="0"/>
              <w:suppressLineNumbers w:val="0"/>
              <w:spacing w:before="213" w:beforeLines="0" w:beforeAutospacing="0" w:after="0" w:afterLines="0" w:afterAutospacing="0" w:line="240" w:lineRule="auto"/>
              <w:ind w:left="218" w:right="144" w:firstLine="483"/>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color w:val="auto"/>
                <w:spacing w:val="-9"/>
                <w:sz w:val="24"/>
                <w:szCs w:val="24"/>
                <w:highlight w:val="none"/>
              </w:rPr>
              <w:t>a）由审管部门决定的连续</w:t>
            </w:r>
            <w:r>
              <w:rPr>
                <w:rFonts w:hint="default" w:ascii="Times New Roman" w:hAnsi="Times New Roman" w:eastAsia="宋体" w:cs="Times New Roman"/>
                <w:b w:val="0"/>
                <w:bCs/>
                <w:color w:val="auto"/>
                <w:spacing w:val="-47"/>
                <w:sz w:val="24"/>
                <w:szCs w:val="24"/>
                <w:highlight w:val="none"/>
              </w:rPr>
              <w:t xml:space="preserve"> </w:t>
            </w:r>
            <w:r>
              <w:rPr>
                <w:rFonts w:hint="default" w:ascii="Times New Roman" w:hAnsi="Times New Roman" w:eastAsia="宋体" w:cs="Times New Roman"/>
                <w:b w:val="0"/>
                <w:bCs/>
                <w:color w:val="auto"/>
                <w:spacing w:val="-9"/>
                <w:sz w:val="24"/>
                <w:szCs w:val="24"/>
                <w:highlight w:val="none"/>
              </w:rPr>
              <w:t>5 年</w:t>
            </w:r>
            <w:r>
              <w:rPr>
                <w:rFonts w:hint="default" w:ascii="Times New Roman" w:hAnsi="Times New Roman" w:eastAsia="宋体" w:cs="Times New Roman"/>
                <w:color w:val="auto"/>
                <w:spacing w:val="-9"/>
                <w:sz w:val="24"/>
                <w:szCs w:val="24"/>
                <w:highlight w:val="none"/>
              </w:rPr>
              <w:t>的年平均有效剂量（但不可</w:t>
            </w:r>
            <w:r>
              <w:rPr>
                <w:rFonts w:hint="default" w:ascii="Times New Roman" w:hAnsi="Times New Roman" w:eastAsia="宋体" w:cs="Times New Roman"/>
                <w:color w:val="auto"/>
                <w:spacing w:val="-10"/>
                <w:sz w:val="24"/>
                <w:szCs w:val="24"/>
                <w:highlight w:val="none"/>
              </w:rPr>
              <w:t>作任何追溯性平均</w:t>
            </w:r>
            <w:r>
              <w:rPr>
                <w:rFonts w:hint="default" w:ascii="Times New Roman" w:hAnsi="Times New Roman" w:eastAsia="宋体" w:cs="Times New Roman"/>
                <w:color w:val="auto"/>
                <w:spacing w:val="-14"/>
                <w:sz w:val="24"/>
                <w:szCs w:val="24"/>
                <w:highlight w:val="none"/>
              </w:rPr>
              <w:t>），</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color w:val="auto"/>
                <w:spacing w:val="-1"/>
                <w:sz w:val="24"/>
                <w:szCs w:val="24"/>
                <w:highlight w:val="none"/>
              </w:rPr>
              <w:t>20mSv；</w:t>
            </w:r>
          </w:p>
          <w:p w14:paraId="729A45FB">
            <w:pPr>
              <w:pStyle w:val="43"/>
              <w:keepNext w:val="0"/>
              <w:keepLines w:val="0"/>
              <w:suppressLineNumbers w:val="0"/>
              <w:spacing w:before="34" w:beforeLines="0" w:beforeAutospacing="0" w:after="0" w:afterLines="0" w:afterAutospacing="0" w:line="240" w:lineRule="auto"/>
              <w:ind w:left="693"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b）任何一年中的有效剂量，50mSv；</w:t>
            </w:r>
          </w:p>
          <w:p w14:paraId="643AEB53">
            <w:pPr>
              <w:pStyle w:val="43"/>
              <w:keepNext w:val="0"/>
              <w:keepLines w:val="0"/>
              <w:suppressLineNumbers w:val="0"/>
              <w:spacing w:before="214" w:beforeLines="0" w:beforeAutospacing="0" w:after="0" w:afterLines="0" w:afterAutospacing="0" w:line="240" w:lineRule="auto"/>
              <w:ind w:left="701"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c）眼晶体的年当量剂量，150mSv；</w:t>
            </w:r>
          </w:p>
          <w:p w14:paraId="34C0A725">
            <w:pPr>
              <w:pStyle w:val="43"/>
              <w:keepNext w:val="0"/>
              <w:keepLines w:val="0"/>
              <w:suppressLineNumbers w:val="0"/>
              <w:spacing w:before="215" w:beforeLines="0" w:beforeAutospacing="0" w:after="0" w:afterLines="0" w:afterAutospacing="0" w:line="240" w:lineRule="auto"/>
              <w:ind w:left="701"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d）四肢（手和足）或皮肤的年当量剂量，500mSv；</w:t>
            </w:r>
          </w:p>
          <w:p w14:paraId="70779C40">
            <w:pPr>
              <w:pStyle w:val="43"/>
              <w:keepNext w:val="0"/>
              <w:keepLines w:val="0"/>
              <w:suppressLineNumbers w:val="0"/>
              <w:spacing w:before="217" w:beforeLines="0" w:beforeAutospacing="0" w:after="0" w:afterLines="0" w:afterAutospacing="0" w:line="240" w:lineRule="auto"/>
              <w:ind w:left="702"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4"/>
                <w:sz w:val="24"/>
                <w:szCs w:val="24"/>
                <w:highlight w:val="none"/>
              </w:rPr>
              <w:t>e）其中，对于年龄为16到18岁徒工或学生</w:t>
            </w:r>
            <w:r>
              <w:rPr>
                <w:rFonts w:hint="eastAsia" w:ascii="Times New Roman" w:hAnsi="Times New Roman" w:cs="Times New Roman"/>
                <w:color w:val="auto"/>
                <w:spacing w:val="-4"/>
                <w:sz w:val="24"/>
                <w:szCs w:val="24"/>
                <w:highlight w:val="none"/>
                <w:lang w:eastAsia="zh-CN"/>
              </w:rPr>
              <w:t>，年</w:t>
            </w:r>
            <w:r>
              <w:rPr>
                <w:rFonts w:hint="default" w:ascii="Times New Roman" w:hAnsi="Times New Roman" w:eastAsia="宋体" w:cs="Times New Roman"/>
                <w:color w:val="auto"/>
                <w:spacing w:val="-4"/>
                <w:sz w:val="24"/>
                <w:szCs w:val="24"/>
                <w:highlight w:val="none"/>
              </w:rPr>
              <w:t>有效剂量，6mSv。</w:t>
            </w:r>
          </w:p>
          <w:p w14:paraId="26E9D47E">
            <w:pPr>
              <w:pStyle w:val="43"/>
              <w:keepNext w:val="0"/>
              <w:keepLines w:val="0"/>
              <w:suppressLineNumbers w:val="0"/>
              <w:spacing w:before="214" w:beforeLines="0" w:beforeAutospacing="0" w:after="0" w:afterLines="0" w:afterAutospacing="0" w:line="240" w:lineRule="auto"/>
              <w:ind w:left="117"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2"/>
                <w:sz w:val="24"/>
                <w:szCs w:val="24"/>
                <w:highlight w:val="none"/>
              </w:rPr>
              <w:t>根据《核医学辐射防护与安全要求》（HJ1188-2021</w:t>
            </w:r>
            <w:r>
              <w:rPr>
                <w:rFonts w:hint="default" w:ascii="Times New Roman" w:hAnsi="Times New Roman" w:eastAsia="宋体" w:cs="Times New Roman"/>
                <w:b/>
                <w:color w:val="auto"/>
                <w:spacing w:val="-1"/>
                <w:sz w:val="24"/>
                <w:szCs w:val="24"/>
                <w:highlight w:val="none"/>
              </w:rPr>
              <w:t>）：</w:t>
            </w:r>
          </w:p>
          <w:p w14:paraId="44FDB165">
            <w:pPr>
              <w:pStyle w:val="43"/>
              <w:keepNext w:val="0"/>
              <w:keepLines w:val="0"/>
              <w:suppressLineNumbers w:val="0"/>
              <w:spacing w:before="214" w:beforeLines="0" w:beforeAutospacing="0" w:after="0" w:afterLines="0" w:afterAutospacing="0" w:line="240" w:lineRule="auto"/>
              <w:ind w:left="701"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2"/>
                <w:sz w:val="24"/>
                <w:szCs w:val="24"/>
                <w:highlight w:val="none"/>
              </w:rPr>
              <w:t>4.4.1 剂量限值</w:t>
            </w:r>
          </w:p>
          <w:p w14:paraId="31DB9820">
            <w:pPr>
              <w:pStyle w:val="43"/>
              <w:keepNext w:val="0"/>
              <w:keepLines w:val="0"/>
              <w:suppressLineNumbers w:val="0"/>
              <w:spacing w:before="218" w:beforeLines="0" w:beforeAutospacing="0" w:after="0" w:afterLines="0" w:afterAutospacing="0" w:line="360" w:lineRule="auto"/>
              <w:ind w:left="228" w:right="210" w:firstLine="477"/>
              <w:jc w:val="both"/>
              <w:rPr>
                <w:rFonts w:hint="default" w:ascii="Times New Roman" w:hAnsi="Times New Roman" w:eastAsia="宋体" w:cs="Times New Roman"/>
                <w:b w:val="0"/>
                <w:bCs/>
                <w:color w:val="auto"/>
                <w:sz w:val="24"/>
                <w:szCs w:val="24"/>
                <w:highlight w:val="none"/>
                <w:lang w:val="en-US" w:eastAsia="zh-CN" w:bidi="ar-SA"/>
              </w:rPr>
            </w:pPr>
            <w:r>
              <w:rPr>
                <w:rFonts w:hint="default" w:ascii="Times New Roman" w:hAnsi="Times New Roman" w:eastAsia="宋体" w:cs="Times New Roman"/>
                <w:b w:val="0"/>
                <w:bCs/>
                <w:color w:val="auto"/>
                <w:sz w:val="24"/>
                <w:szCs w:val="24"/>
                <w:highlight w:val="none"/>
                <w:lang w:val="en-US" w:eastAsia="zh-CN" w:bidi="ar-SA"/>
              </w:rPr>
              <w:t>核医学工作人员职业照射剂量限值应符合 GB18871  附录 B  中 B1.1  的相关规 定，核医学实践使公众成员所受到的剂量照射限值应符合 GB 18871 附录 B 中 B1.2 的相关规定。</w:t>
            </w:r>
          </w:p>
          <w:p w14:paraId="19EF5366">
            <w:pPr>
              <w:pStyle w:val="43"/>
              <w:keepNext w:val="0"/>
              <w:keepLines w:val="0"/>
              <w:suppressLineNumbers w:val="0"/>
              <w:spacing w:before="36" w:beforeLines="0" w:beforeAutospacing="0" w:after="0" w:afterLines="0" w:afterAutospacing="0" w:line="240" w:lineRule="auto"/>
              <w:ind w:left="701"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2"/>
                <w:sz w:val="24"/>
                <w:szCs w:val="24"/>
                <w:highlight w:val="none"/>
              </w:rPr>
              <w:t>4.4.2 剂量约束值</w:t>
            </w:r>
          </w:p>
          <w:p w14:paraId="43FDDC94">
            <w:pPr>
              <w:pStyle w:val="43"/>
              <w:keepNext w:val="0"/>
              <w:keepLines w:val="0"/>
              <w:suppressLineNumbers w:val="0"/>
              <w:spacing w:before="215" w:beforeLines="0" w:beforeAutospacing="0" w:after="0" w:afterLines="0" w:afterAutospacing="0" w:line="240" w:lineRule="auto"/>
              <w:ind w:left="697"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"4.4.2.1"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4.4.2.1</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color w:val="auto"/>
                <w:sz w:val="24"/>
                <w:szCs w:val="24"/>
                <w:highlight w:val="none"/>
              </w:rPr>
              <w:t xml:space="preserve"> 一般情况下，职业照射的</w:t>
            </w:r>
            <w:r>
              <w:rPr>
                <w:rFonts w:hint="default" w:ascii="Times New Roman" w:hAnsi="Times New Roman" w:eastAsia="宋体" w:cs="Times New Roman"/>
                <w:color w:val="auto"/>
                <w:spacing w:val="-1"/>
                <w:sz w:val="24"/>
                <w:szCs w:val="24"/>
                <w:highlight w:val="none"/>
              </w:rPr>
              <w:t>剂量约束值不超过</w:t>
            </w:r>
            <w:r>
              <w:rPr>
                <w:rFonts w:hint="default" w:ascii="Times New Roman" w:hAnsi="Times New Roman" w:eastAsia="宋体" w:cs="Times New Roman"/>
                <w:color w:val="auto"/>
                <w:spacing w:val="-48"/>
                <w:sz w:val="24"/>
                <w:szCs w:val="24"/>
                <w:highlight w:val="none"/>
              </w:rPr>
              <w:t xml:space="preserve"> </w:t>
            </w:r>
            <w:r>
              <w:rPr>
                <w:rFonts w:hint="default" w:ascii="Times New Roman" w:hAnsi="Times New Roman" w:eastAsia="宋体" w:cs="Times New Roman"/>
                <w:color w:val="auto"/>
                <w:spacing w:val="-1"/>
                <w:sz w:val="24"/>
                <w:szCs w:val="24"/>
                <w:highlight w:val="none"/>
              </w:rPr>
              <w:t>5mSv/a；</w:t>
            </w:r>
          </w:p>
          <w:p w14:paraId="6901D46D">
            <w:pPr>
              <w:pStyle w:val="43"/>
              <w:keepNext w:val="0"/>
              <w:keepLines w:val="0"/>
              <w:suppressLineNumbers w:val="0"/>
              <w:spacing w:before="214" w:beforeLines="0" w:beforeAutospacing="0" w:after="0" w:afterLines="0" w:afterAutospacing="0" w:line="240" w:lineRule="auto"/>
              <w:ind w:left="697"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"4.4.2.2"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pacing w:val="-1"/>
                <w:sz w:val="24"/>
                <w:szCs w:val="24"/>
                <w:highlight w:val="none"/>
              </w:rPr>
              <w:t>4.4.2.2</w:t>
            </w:r>
            <w:r>
              <w:rPr>
                <w:rFonts w:hint="default" w:ascii="Times New Roman" w:hAnsi="Times New Roman" w:eastAsia="宋体" w:cs="Times New Roman"/>
                <w:color w:val="auto"/>
                <w:spacing w:val="-1"/>
                <w:sz w:val="24"/>
                <w:szCs w:val="24"/>
                <w:highlight w:val="none"/>
              </w:rPr>
              <w:fldChar w:fldCharType="end"/>
            </w:r>
            <w:r>
              <w:rPr>
                <w:rFonts w:hint="default" w:ascii="Times New Roman" w:hAnsi="Times New Roman" w:eastAsia="宋体" w:cs="Times New Roman"/>
                <w:color w:val="auto"/>
                <w:spacing w:val="17"/>
                <w:sz w:val="24"/>
                <w:szCs w:val="24"/>
                <w:highlight w:val="none"/>
              </w:rPr>
              <w:t xml:space="preserve"> </w:t>
            </w:r>
            <w:r>
              <w:rPr>
                <w:rFonts w:hint="default" w:ascii="Times New Roman" w:hAnsi="Times New Roman" w:eastAsia="宋体" w:cs="Times New Roman"/>
                <w:color w:val="auto"/>
                <w:spacing w:val="-1"/>
                <w:sz w:val="24"/>
                <w:szCs w:val="24"/>
                <w:highlight w:val="none"/>
              </w:rPr>
              <w:t>公众照射的剂量约束值不超过</w:t>
            </w:r>
            <w:r>
              <w:rPr>
                <w:rFonts w:hint="default" w:ascii="Times New Roman" w:hAnsi="Times New Roman" w:eastAsia="宋体" w:cs="Times New Roman"/>
                <w:color w:val="auto"/>
                <w:spacing w:val="-51"/>
                <w:sz w:val="24"/>
                <w:szCs w:val="24"/>
                <w:highlight w:val="none"/>
              </w:rPr>
              <w:t xml:space="preserve"> </w:t>
            </w:r>
            <w:r>
              <w:rPr>
                <w:rFonts w:hint="default" w:ascii="Times New Roman" w:hAnsi="Times New Roman" w:eastAsia="宋体" w:cs="Times New Roman"/>
                <w:color w:val="auto"/>
                <w:spacing w:val="-1"/>
                <w:sz w:val="24"/>
                <w:szCs w:val="24"/>
                <w:highlight w:val="none"/>
              </w:rPr>
              <w:t>0.1mSv/a。</w:t>
            </w:r>
          </w:p>
          <w:p w14:paraId="5AC652F9">
            <w:pPr>
              <w:pStyle w:val="43"/>
              <w:keepNext w:val="0"/>
              <w:keepLines w:val="0"/>
              <w:suppressLineNumbers w:val="0"/>
              <w:spacing w:before="217" w:beforeLines="0" w:beforeAutospacing="0" w:after="0" w:afterLines="0" w:afterAutospacing="0" w:line="240" w:lineRule="auto"/>
              <w:ind w:left="701"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2"/>
                <w:sz w:val="24"/>
                <w:szCs w:val="24"/>
                <w:highlight w:val="none"/>
              </w:rPr>
              <w:t>4.4.3 放射性表面污染控制水平</w:t>
            </w:r>
          </w:p>
          <w:p w14:paraId="38C7BA00">
            <w:pPr>
              <w:pStyle w:val="43"/>
              <w:keepNext w:val="0"/>
              <w:keepLines w:val="0"/>
              <w:suppressLineNumbers w:val="0"/>
              <w:spacing w:before="218" w:beforeLines="0" w:beforeAutospacing="0" w:after="0" w:afterLines="0" w:afterAutospacing="0" w:line="360" w:lineRule="auto"/>
              <w:ind w:left="228" w:right="210" w:firstLine="477"/>
              <w:jc w:val="both"/>
              <w:rPr>
                <w:rFonts w:hint="default" w:ascii="Times New Roman" w:hAnsi="Times New Roman" w:eastAsia="宋体" w:cs="Times New Roman"/>
                <w:b w:val="0"/>
                <w:bCs/>
                <w:color w:val="auto"/>
                <w:sz w:val="24"/>
                <w:szCs w:val="24"/>
                <w:highlight w:val="none"/>
                <w:lang w:val="en-US" w:eastAsia="zh-CN" w:bidi="ar-SA"/>
              </w:rPr>
            </w:pPr>
            <w:r>
              <w:rPr>
                <w:rFonts w:hint="default" w:ascii="Times New Roman" w:hAnsi="Times New Roman" w:eastAsia="宋体" w:cs="Times New Roman"/>
                <w:b w:val="0"/>
                <w:bCs/>
                <w:color w:val="auto"/>
                <w:sz w:val="24"/>
                <w:szCs w:val="24"/>
                <w:highlight w:val="none"/>
                <w:lang w:val="en-US" w:eastAsia="zh-CN" w:bidi="ar-SA"/>
              </w:rPr>
              <w:t>核医学工作场所的放射性表面污染控制水平按照 GB 18871 执行。</w:t>
            </w:r>
          </w:p>
          <w:p w14:paraId="6C690152">
            <w:pPr>
              <w:pStyle w:val="43"/>
              <w:keepNext w:val="0"/>
              <w:keepLines w:val="0"/>
              <w:suppressLineNumbers w:val="0"/>
              <w:spacing w:before="218" w:beforeLines="0" w:beforeAutospacing="0" w:after="0" w:afterLines="0" w:afterAutospacing="0" w:line="360" w:lineRule="auto"/>
              <w:ind w:left="228" w:right="210" w:firstLine="477"/>
              <w:jc w:val="both"/>
              <w:rPr>
                <w:rFonts w:hint="default" w:ascii="Times New Roman" w:hAnsi="Times New Roman" w:eastAsia="宋体" w:cs="Times New Roman"/>
                <w:b w:val="0"/>
                <w:bCs/>
                <w:color w:val="auto"/>
                <w:sz w:val="24"/>
                <w:szCs w:val="24"/>
                <w:highlight w:val="none"/>
                <w:lang w:val="en-US" w:eastAsia="zh-CN" w:bidi="ar-SA"/>
              </w:rPr>
            </w:pPr>
            <w:r>
              <w:rPr>
                <w:rFonts w:hint="default" w:ascii="Times New Roman" w:hAnsi="Times New Roman" w:eastAsia="宋体" w:cs="Times New Roman"/>
                <w:b w:val="0"/>
                <w:bCs/>
                <w:color w:val="auto"/>
                <w:sz w:val="24"/>
                <w:szCs w:val="24"/>
                <w:highlight w:val="none"/>
                <w:lang w:val="en-US" w:eastAsia="zh-CN" w:bidi="ar-SA"/>
              </w:rPr>
              <w:t>本项目辐射工作人员职业照射年剂量约束值均取其相应剂量限值的四分之一，职业人员年有效剂量不超过5mSv/a作为职业工作人员的年有效剂量约束值。</w:t>
            </w:r>
          </w:p>
          <w:p w14:paraId="6994411B">
            <w:pPr>
              <w:pStyle w:val="43"/>
              <w:keepNext w:val="0"/>
              <w:keepLines w:val="0"/>
              <w:suppressLineNumbers w:val="0"/>
              <w:spacing w:before="215" w:beforeLines="0" w:beforeAutospacing="0" w:after="0" w:afterLines="0" w:afterAutospacing="0" w:line="240" w:lineRule="auto"/>
              <w:ind w:left="697" w:right="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②公众照射</w:t>
            </w:r>
          </w:p>
          <w:p w14:paraId="62099D16">
            <w:pPr>
              <w:pStyle w:val="43"/>
              <w:keepNext w:val="0"/>
              <w:keepLines w:val="0"/>
              <w:suppressLineNumbers w:val="0"/>
              <w:spacing w:before="215" w:beforeLines="0" w:beforeAutospacing="0" w:after="0" w:afterLines="0" w:afterAutospacing="0" w:line="240" w:lineRule="auto"/>
              <w:ind w:left="697" w:right="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B1.2.1款实践使公众中有关关键人群组的成员所受到的平均剂量估计值不应超过下述限值：</w:t>
            </w:r>
          </w:p>
          <w:p w14:paraId="3CE54288">
            <w:pPr>
              <w:pStyle w:val="43"/>
              <w:keepNext w:val="0"/>
              <w:keepLines w:val="0"/>
              <w:suppressLineNumbers w:val="0"/>
              <w:spacing w:before="215" w:beforeLines="0" w:beforeAutospacing="0" w:after="0" w:afterLines="0" w:afterAutospacing="0" w:line="240" w:lineRule="auto"/>
              <w:ind w:left="697" w:right="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a）年有效剂量，1mSv；</w:t>
            </w:r>
          </w:p>
          <w:p w14:paraId="3842416A">
            <w:pPr>
              <w:pStyle w:val="43"/>
              <w:keepNext w:val="0"/>
              <w:keepLines w:val="0"/>
              <w:suppressLineNumbers w:val="0"/>
              <w:spacing w:before="215" w:beforeLines="0" w:beforeAutospacing="0" w:after="0" w:afterLines="0" w:afterAutospacing="0" w:line="240" w:lineRule="auto"/>
              <w:ind w:left="697" w:right="0"/>
              <w:jc w:val="both"/>
              <w:rPr>
                <w:rFonts w:hint="default" w:ascii="Times New Roman" w:hAnsi="Times New Roman" w:eastAsia="宋体" w:cs="Times New Roman"/>
                <w:b w:val="0"/>
                <w:bCs/>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rPr>
              <w:t>本项目公众照射年剂量约束值取</w:t>
            </w:r>
            <w:r>
              <w:rPr>
                <w:rFonts w:hint="default" w:ascii="Times New Roman" w:hAnsi="Times New Roman" w:eastAsia="宋体" w:cs="Times New Roman"/>
                <w:b w:val="0"/>
                <w:bCs/>
                <w:color w:val="auto"/>
                <w:sz w:val="24"/>
                <w:szCs w:val="24"/>
                <w:highlight w:val="none"/>
                <w:lang w:val="en-US" w:eastAsia="zh-CN" w:bidi="ar-SA"/>
              </w:rPr>
              <w:t>其十分之一，即不超过0.1mSv作为剂量约束值。</w:t>
            </w:r>
          </w:p>
          <w:p w14:paraId="6B2A1043">
            <w:pPr>
              <w:pStyle w:val="43"/>
              <w:keepNext w:val="0"/>
              <w:keepLines w:val="0"/>
              <w:suppressLineNumbers w:val="0"/>
              <w:spacing w:before="33" w:beforeLines="0" w:beforeAutospacing="0" w:after="0" w:afterLines="0" w:afterAutospacing="0" w:line="220" w:lineRule="auto"/>
              <w:ind w:left="115"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2"/>
                <w:sz w:val="24"/>
                <w:szCs w:val="24"/>
                <w:highlight w:val="none"/>
              </w:rPr>
              <w:t>7.3.2 辐射管理分区</w:t>
            </w:r>
          </w:p>
          <w:p w14:paraId="6DC740DA">
            <w:pPr>
              <w:pStyle w:val="43"/>
              <w:keepNext w:val="0"/>
              <w:keepLines w:val="0"/>
              <w:suppressLineNumbers w:val="0"/>
              <w:spacing w:before="216" w:beforeLines="0" w:beforeAutospacing="0" w:after="0" w:afterLines="0" w:afterAutospacing="0" w:line="219" w:lineRule="auto"/>
              <w:ind w:left="117"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1"/>
                <w:sz w:val="24"/>
                <w:szCs w:val="24"/>
                <w:highlight w:val="none"/>
              </w:rPr>
              <w:t>根据《电离辐射防护与辐射源安全基本标准》（GB1</w:t>
            </w:r>
            <w:r>
              <w:rPr>
                <w:rFonts w:hint="default" w:ascii="Times New Roman" w:hAnsi="Times New Roman" w:eastAsia="宋体" w:cs="Times New Roman"/>
                <w:b/>
                <w:color w:val="auto"/>
                <w:spacing w:val="-2"/>
                <w:sz w:val="24"/>
                <w:szCs w:val="24"/>
                <w:highlight w:val="none"/>
              </w:rPr>
              <w:t>8871-2002</w:t>
            </w:r>
            <w:r>
              <w:rPr>
                <w:rFonts w:hint="default" w:ascii="Times New Roman" w:hAnsi="Times New Roman" w:eastAsia="宋体" w:cs="Times New Roman"/>
                <w:b/>
                <w:color w:val="auto"/>
                <w:spacing w:val="-1"/>
                <w:sz w:val="24"/>
                <w:szCs w:val="24"/>
                <w:highlight w:val="none"/>
              </w:rPr>
              <w:t>）</w:t>
            </w:r>
            <w:r>
              <w:rPr>
                <w:rFonts w:hint="default" w:ascii="Times New Roman" w:hAnsi="Times New Roman" w:eastAsia="宋体" w:cs="Times New Roman"/>
                <w:color w:val="auto"/>
                <w:spacing w:val="-1"/>
                <w:sz w:val="24"/>
                <w:szCs w:val="24"/>
                <w:highlight w:val="none"/>
              </w:rPr>
              <w:t>：</w:t>
            </w:r>
          </w:p>
          <w:p w14:paraId="64F1066D">
            <w:pPr>
              <w:pStyle w:val="43"/>
              <w:keepNext w:val="0"/>
              <w:keepLines w:val="0"/>
              <w:suppressLineNumbers w:val="0"/>
              <w:spacing w:before="214" w:beforeLines="0" w:beforeAutospacing="0" w:after="0" w:afterLines="0" w:afterAutospacing="0" w:line="220" w:lineRule="auto"/>
              <w:ind w:left="597"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应把辐射工作场所分为控制区和监督区，以便于辐射防护管</w:t>
            </w:r>
            <w:r>
              <w:rPr>
                <w:rFonts w:hint="default" w:ascii="Times New Roman" w:hAnsi="Times New Roman" w:eastAsia="宋体" w:cs="Times New Roman"/>
                <w:color w:val="auto"/>
                <w:spacing w:val="-2"/>
                <w:sz w:val="24"/>
                <w:szCs w:val="24"/>
                <w:highlight w:val="none"/>
              </w:rPr>
              <w:t>理和职业照射控制。</w:t>
            </w:r>
          </w:p>
          <w:p w14:paraId="346F84EA">
            <w:pPr>
              <w:pStyle w:val="43"/>
              <w:keepNext w:val="0"/>
              <w:keepLines w:val="0"/>
              <w:suppressLineNumbers w:val="0"/>
              <w:spacing w:before="214" w:beforeLines="0" w:beforeAutospacing="0" w:after="0" w:afterLines="0" w:afterAutospacing="0" w:line="220" w:lineRule="auto"/>
              <w:ind w:left="598"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6.4.1 控制区</w:t>
            </w:r>
          </w:p>
          <w:p w14:paraId="01514CB0">
            <w:pPr>
              <w:pStyle w:val="43"/>
              <w:keepNext w:val="0"/>
              <w:keepLines w:val="0"/>
              <w:suppressLineNumbers w:val="0"/>
              <w:spacing w:before="217" w:beforeLines="0" w:beforeAutospacing="0" w:after="0" w:afterLines="0" w:afterAutospacing="0" w:line="329" w:lineRule="auto"/>
              <w:ind w:left="124" w:right="109" w:firstLine="473"/>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"6.4.1.1"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pacing w:val="2"/>
                <w:sz w:val="24"/>
                <w:szCs w:val="24"/>
                <w:highlight w:val="none"/>
              </w:rPr>
              <w:t>6.4.1.1</w:t>
            </w:r>
            <w:r>
              <w:rPr>
                <w:rFonts w:hint="default" w:ascii="Times New Roman" w:hAnsi="Times New Roman" w:eastAsia="宋体" w:cs="Times New Roman"/>
                <w:color w:val="auto"/>
                <w:spacing w:val="2"/>
                <w:sz w:val="24"/>
                <w:szCs w:val="24"/>
                <w:highlight w:val="none"/>
              </w:rPr>
              <w:fldChar w:fldCharType="end"/>
            </w:r>
            <w:r>
              <w:rPr>
                <w:rFonts w:hint="default" w:ascii="Times New Roman" w:hAnsi="Times New Roman" w:eastAsia="宋体" w:cs="Times New Roman"/>
                <w:color w:val="auto"/>
                <w:spacing w:val="2"/>
                <w:sz w:val="24"/>
                <w:szCs w:val="24"/>
                <w:highlight w:val="none"/>
              </w:rPr>
              <w:t xml:space="preserve">  注册者和许可证持有者应把需要和可能需要专门防护手段或安全措施的</w:t>
            </w:r>
            <w:r>
              <w:rPr>
                <w:rFonts w:hint="default" w:ascii="Times New Roman" w:hAnsi="Times New Roman" w:eastAsia="宋体" w:cs="Times New Roman"/>
                <w:color w:val="auto"/>
                <w:spacing w:val="7"/>
                <w:sz w:val="24"/>
                <w:szCs w:val="24"/>
                <w:highlight w:val="none"/>
              </w:rPr>
              <w:t xml:space="preserve"> </w:t>
            </w:r>
            <w:r>
              <w:rPr>
                <w:rFonts w:hint="default" w:ascii="Times New Roman" w:hAnsi="Times New Roman" w:eastAsia="宋体" w:cs="Times New Roman"/>
                <w:color w:val="auto"/>
                <w:spacing w:val="-3"/>
                <w:sz w:val="24"/>
                <w:szCs w:val="24"/>
                <w:highlight w:val="none"/>
              </w:rPr>
              <w:t>区域定为控制区，以便控制正常工作条件下的正常照射或防止污染扩散，并预防潜在</w:t>
            </w:r>
            <w:r>
              <w:rPr>
                <w:rFonts w:hint="default" w:ascii="Times New Roman" w:hAnsi="Times New Roman" w:eastAsia="宋体" w:cs="Times New Roman"/>
                <w:color w:val="auto"/>
                <w:spacing w:val="11"/>
                <w:sz w:val="24"/>
                <w:szCs w:val="24"/>
                <w:highlight w:val="none"/>
              </w:rPr>
              <w:t xml:space="preserve"> </w:t>
            </w:r>
            <w:r>
              <w:rPr>
                <w:rFonts w:hint="default" w:ascii="Times New Roman" w:hAnsi="Times New Roman" w:eastAsia="宋体" w:cs="Times New Roman"/>
                <w:color w:val="auto"/>
                <w:spacing w:val="-4"/>
                <w:sz w:val="24"/>
                <w:szCs w:val="24"/>
                <w:highlight w:val="none"/>
              </w:rPr>
              <w:t>照射或限制潜在照射的范围。</w:t>
            </w:r>
          </w:p>
          <w:p w14:paraId="04141CDC">
            <w:pPr>
              <w:pStyle w:val="43"/>
              <w:keepNext w:val="0"/>
              <w:keepLines w:val="0"/>
              <w:suppressLineNumbers w:val="0"/>
              <w:spacing w:before="215" w:beforeLines="0" w:beforeAutospacing="0" w:after="0" w:afterLines="0" w:afterAutospacing="0" w:line="221" w:lineRule="auto"/>
              <w:ind w:left="598"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6.4.2 监督区</w:t>
            </w:r>
          </w:p>
          <w:p w14:paraId="2FCEF82F">
            <w:pPr>
              <w:keepNext w:val="0"/>
              <w:keepLines w:val="0"/>
              <w:suppressLineNumbers w:val="0"/>
              <w:shd w:val="clear"/>
              <w:spacing w:before="0" w:beforeLines="50" w:beforeAutospacing="0" w:after="0" w:afterAutospacing="0" w:line="360" w:lineRule="auto"/>
              <w:ind w:left="0" w:right="0" w:firstLine="480" w:firstLineChars="200"/>
              <w:jc w:val="both"/>
              <w:rPr>
                <w:rFonts w:hint="default" w:ascii="Times New Roman" w:hAnsi="Times New Roman" w:eastAsia="宋体" w:cs="Times New Roman"/>
                <w:color w:val="auto"/>
                <w:spacing w:val="-7"/>
                <w:sz w:val="24"/>
                <w:szCs w:val="24"/>
                <w:highlight w:val="none"/>
              </w:rPr>
            </w:pP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HYPERLINK "6.4.2.1"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pacing w:val="-2"/>
                <w:sz w:val="24"/>
                <w:szCs w:val="24"/>
                <w:highlight w:val="none"/>
              </w:rPr>
              <w:t>6.4.2.1</w:t>
            </w:r>
            <w:r>
              <w:rPr>
                <w:rFonts w:hint="default" w:ascii="Times New Roman" w:hAnsi="Times New Roman" w:eastAsia="宋体" w:cs="Times New Roman"/>
                <w:color w:val="auto"/>
                <w:spacing w:val="-2"/>
                <w:sz w:val="24"/>
                <w:szCs w:val="24"/>
                <w:highlight w:val="none"/>
              </w:rPr>
              <w:fldChar w:fldCharType="end"/>
            </w:r>
            <w:r>
              <w:rPr>
                <w:rFonts w:hint="default" w:ascii="Times New Roman" w:hAnsi="Times New Roman" w:eastAsia="宋体" w:cs="Times New Roman"/>
                <w:color w:val="auto"/>
                <w:spacing w:val="-2"/>
                <w:sz w:val="24"/>
                <w:szCs w:val="24"/>
                <w:highlight w:val="none"/>
              </w:rPr>
              <w:t xml:space="preserve"> 注册者和许可证持有者应将下述区域定为监督区</w:t>
            </w:r>
            <w:r>
              <w:rPr>
                <w:rFonts w:hint="default" w:ascii="Times New Roman" w:hAnsi="Times New Roman" w:eastAsia="宋体" w:cs="Times New Roman"/>
                <w:color w:val="auto"/>
                <w:spacing w:val="-3"/>
                <w:sz w:val="24"/>
                <w:szCs w:val="24"/>
                <w:highlight w:val="none"/>
              </w:rPr>
              <w:t>：这种区域未被定为控制</w:t>
            </w:r>
            <w:r>
              <w:rPr>
                <w:rFonts w:hint="default" w:ascii="Times New Roman" w:hAnsi="Times New Roman" w:eastAsia="宋体" w:cs="Times New Roman"/>
                <w:color w:val="auto"/>
                <w:sz w:val="24"/>
                <w:szCs w:val="24"/>
                <w:highlight w:val="none"/>
              </w:rPr>
              <w:t xml:space="preserve"> </w:t>
            </w:r>
            <w:r>
              <w:rPr>
                <w:rFonts w:hint="default" w:ascii="Times New Roman" w:hAnsi="Times New Roman" w:eastAsia="宋体" w:cs="Times New Roman"/>
                <w:color w:val="auto"/>
                <w:spacing w:val="-3"/>
                <w:sz w:val="24"/>
                <w:szCs w:val="24"/>
                <w:highlight w:val="none"/>
              </w:rPr>
              <w:t>区，在其中通常不需要专门的防护手段或安全措施，但需要经常对职业照射条件进行</w:t>
            </w:r>
            <w:r>
              <w:rPr>
                <w:rFonts w:hint="default" w:ascii="Times New Roman" w:hAnsi="Times New Roman" w:eastAsia="宋体" w:cs="Times New Roman"/>
                <w:color w:val="auto"/>
                <w:spacing w:val="18"/>
                <w:sz w:val="24"/>
                <w:szCs w:val="24"/>
                <w:highlight w:val="none"/>
              </w:rPr>
              <w:t xml:space="preserve"> </w:t>
            </w:r>
            <w:r>
              <w:rPr>
                <w:rFonts w:hint="default" w:ascii="Times New Roman" w:hAnsi="Times New Roman" w:eastAsia="宋体" w:cs="Times New Roman"/>
                <w:color w:val="auto"/>
                <w:spacing w:val="-7"/>
                <w:sz w:val="24"/>
                <w:szCs w:val="24"/>
                <w:highlight w:val="none"/>
              </w:rPr>
              <w:t>监督和评价。</w:t>
            </w:r>
          </w:p>
          <w:p w14:paraId="6D6DBD3A">
            <w:pPr>
              <w:pStyle w:val="43"/>
              <w:keepNext w:val="0"/>
              <w:keepLines w:val="0"/>
              <w:suppressLineNumbers w:val="0"/>
              <w:spacing w:before="215" w:beforeLines="0" w:beforeAutospacing="0" w:after="0" w:afterLines="0" w:afterAutospacing="0" w:line="220" w:lineRule="auto"/>
              <w:ind w:left="115"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2"/>
                <w:sz w:val="24"/>
                <w:szCs w:val="24"/>
                <w:highlight w:val="none"/>
              </w:rPr>
              <w:t>7.3.3 工作场所分级、分类</w:t>
            </w:r>
          </w:p>
          <w:p w14:paraId="363BE500">
            <w:pPr>
              <w:pStyle w:val="43"/>
              <w:keepNext w:val="0"/>
              <w:keepLines w:val="0"/>
              <w:suppressLineNumbers w:val="0"/>
              <w:spacing w:before="215" w:beforeLines="0" w:beforeAutospacing="0" w:after="0" w:afterLines="0" w:afterAutospacing="0" w:line="360" w:lineRule="auto"/>
              <w:ind w:left="0" w:right="0" w:firstLine="476" w:firstLineChars="200"/>
              <w:jc w:val="both"/>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根据《电离辐射防护与辐射源安全基本标准》（GB18871-2002）：附录 C 规定的非 密封源工作场所的分级，应按表7-</w:t>
            </w:r>
            <w:r>
              <w:rPr>
                <w:rFonts w:hint="default" w:ascii="Times New Roman" w:hAnsi="Times New Roman" w:eastAsia="宋体" w:cs="Times New Roman"/>
                <w:color w:val="auto"/>
                <w:spacing w:val="-1"/>
                <w:sz w:val="24"/>
                <w:szCs w:val="24"/>
                <w:highlight w:val="none"/>
                <w:lang w:val="en-US" w:eastAsia="zh-CN"/>
              </w:rPr>
              <w:t>2</w:t>
            </w:r>
            <w:r>
              <w:rPr>
                <w:rFonts w:hint="default" w:ascii="Times New Roman" w:hAnsi="Times New Roman" w:eastAsia="宋体" w:cs="Times New Roman"/>
                <w:color w:val="auto"/>
                <w:spacing w:val="-1"/>
                <w:sz w:val="24"/>
                <w:szCs w:val="24"/>
                <w:highlight w:val="none"/>
              </w:rPr>
              <w:t>将非密封源工作场所按放射性核素日等效最大操作量的大小分级。</w:t>
            </w:r>
          </w:p>
          <w:p w14:paraId="5B4353BA">
            <w:pPr>
              <w:pStyle w:val="43"/>
              <w:keepNext w:val="0"/>
              <w:keepLines w:val="0"/>
              <w:suppressLineNumbers w:val="0"/>
              <w:spacing w:before="215" w:beforeLines="0" w:beforeAutospacing="0" w:after="0" w:afterLines="0" w:afterAutospacing="0" w:line="360" w:lineRule="auto"/>
              <w:ind w:left="0" w:right="0" w:firstLine="474" w:firstLineChars="200"/>
              <w:jc w:val="center"/>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b/>
                <w:color w:val="auto"/>
                <w:spacing w:val="-2"/>
                <w:sz w:val="24"/>
                <w:szCs w:val="24"/>
                <w:highlight w:val="none"/>
              </w:rPr>
              <w:t>表7-</w:t>
            </w:r>
            <w:r>
              <w:rPr>
                <w:rFonts w:hint="default" w:ascii="Times New Roman" w:hAnsi="Times New Roman" w:eastAsia="宋体" w:cs="Times New Roman"/>
                <w:b/>
                <w:color w:val="auto"/>
                <w:spacing w:val="-2"/>
                <w:sz w:val="24"/>
                <w:szCs w:val="24"/>
                <w:highlight w:val="none"/>
                <w:lang w:val="en-US" w:eastAsia="zh-CN"/>
              </w:rPr>
              <w:t xml:space="preserve">2  </w:t>
            </w:r>
            <w:r>
              <w:rPr>
                <w:rFonts w:hint="default" w:ascii="Times New Roman" w:hAnsi="Times New Roman" w:eastAsia="宋体" w:cs="Times New Roman"/>
                <w:b/>
                <w:color w:val="auto"/>
                <w:spacing w:val="-2"/>
                <w:sz w:val="24"/>
                <w:szCs w:val="24"/>
                <w:highlight w:val="none"/>
              </w:rPr>
              <w:t>非密封源工作场所的分级</w:t>
            </w:r>
          </w:p>
          <w:tbl>
            <w:tblPr>
              <w:tblStyle w:val="30"/>
              <w:tblW w:w="9219" w:type="dxa"/>
              <w:tblInd w:w="-1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376"/>
              <w:gridCol w:w="6843"/>
            </w:tblGrid>
            <w:tr w14:paraId="5B9A07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376" w:type="dxa"/>
                  <w:tcBorders>
                    <w:tl2br w:val="nil"/>
                    <w:tr2bl w:val="nil"/>
                  </w:tcBorders>
                  <w:vAlign w:val="top"/>
                </w:tcPr>
                <w:p w14:paraId="6A15949D">
                  <w:pPr>
                    <w:pStyle w:val="43"/>
                    <w:keepNext w:val="0"/>
                    <w:keepLines w:val="0"/>
                    <w:suppressLineNumbers w:val="0"/>
                    <w:spacing w:before="23" w:beforeAutospacing="0" w:after="0" w:afterAutospacing="0" w:line="206" w:lineRule="auto"/>
                    <w:ind w:left="1012"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5"/>
                      <w:sz w:val="21"/>
                      <w:szCs w:val="21"/>
                      <w:highlight w:val="none"/>
                    </w:rPr>
                    <w:t>级别</w:t>
                  </w:r>
                </w:p>
              </w:tc>
              <w:tc>
                <w:tcPr>
                  <w:tcW w:w="6843" w:type="dxa"/>
                  <w:tcBorders>
                    <w:tl2br w:val="nil"/>
                    <w:tr2bl w:val="nil"/>
                  </w:tcBorders>
                  <w:vAlign w:val="top"/>
                </w:tcPr>
                <w:p w14:paraId="07117F8A">
                  <w:pPr>
                    <w:pStyle w:val="43"/>
                    <w:keepNext w:val="0"/>
                    <w:keepLines w:val="0"/>
                    <w:suppressLineNumbers w:val="0"/>
                    <w:spacing w:before="23" w:beforeAutospacing="0" w:after="0" w:afterAutospacing="0" w:line="206" w:lineRule="auto"/>
                    <w:ind w:left="2878"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4"/>
                      <w:sz w:val="21"/>
                      <w:szCs w:val="21"/>
                      <w:highlight w:val="none"/>
                    </w:rPr>
                    <w:t>具体内容</w:t>
                  </w:r>
                </w:p>
              </w:tc>
            </w:tr>
            <w:tr w14:paraId="376465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2376" w:type="dxa"/>
                  <w:tcBorders>
                    <w:tl2br w:val="nil"/>
                    <w:tr2bl w:val="nil"/>
                  </w:tcBorders>
                  <w:vAlign w:val="top"/>
                </w:tcPr>
                <w:p w14:paraId="13C05AB5">
                  <w:pPr>
                    <w:pStyle w:val="43"/>
                    <w:keepNext w:val="0"/>
                    <w:keepLines w:val="0"/>
                    <w:suppressLineNumbers w:val="0"/>
                    <w:spacing w:before="33" w:beforeAutospacing="0" w:after="0" w:afterAutospacing="0" w:line="204" w:lineRule="auto"/>
                    <w:ind w:left="114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甲</w:t>
                  </w:r>
                </w:p>
              </w:tc>
              <w:tc>
                <w:tcPr>
                  <w:tcW w:w="6843" w:type="dxa"/>
                  <w:tcBorders>
                    <w:tl2br w:val="nil"/>
                    <w:tr2bl w:val="nil"/>
                  </w:tcBorders>
                  <w:vAlign w:val="top"/>
                </w:tcPr>
                <w:p w14:paraId="08E6FDAB">
                  <w:pPr>
                    <w:pStyle w:val="43"/>
                    <w:keepNext w:val="0"/>
                    <w:keepLines w:val="0"/>
                    <w:suppressLineNumbers w:val="0"/>
                    <w:spacing w:before="33" w:beforeAutospacing="0" w:after="0" w:afterAutospacing="0" w:line="204" w:lineRule="auto"/>
                    <w:ind w:left="2958" w:right="0"/>
                    <w:rPr>
                      <w:rFonts w:hint="default" w:ascii="Times New Roman" w:hAnsi="Times New Roman" w:eastAsia="宋体" w:cs="Times New Roman"/>
                      <w:color w:val="auto"/>
                      <w:sz w:val="13"/>
                      <w:szCs w:val="13"/>
                      <w:highlight w:val="none"/>
                    </w:rPr>
                  </w:pPr>
                  <w:r>
                    <w:rPr>
                      <w:rFonts w:hint="default" w:ascii="Times New Roman" w:hAnsi="Times New Roman" w:eastAsia="宋体" w:cs="Times New Roman"/>
                      <w:color w:val="auto"/>
                      <w:spacing w:val="14"/>
                      <w:sz w:val="21"/>
                      <w:szCs w:val="21"/>
                      <w:highlight w:val="none"/>
                    </w:rPr>
                    <w:t>&gt;4×10</w:t>
                  </w:r>
                  <w:r>
                    <w:rPr>
                      <w:rFonts w:hint="default" w:ascii="Times New Roman" w:hAnsi="Times New Roman" w:eastAsia="宋体" w:cs="Times New Roman"/>
                      <w:color w:val="auto"/>
                      <w:spacing w:val="14"/>
                      <w:position w:val="6"/>
                      <w:sz w:val="13"/>
                      <w:szCs w:val="13"/>
                      <w:highlight w:val="none"/>
                    </w:rPr>
                    <w:t>9</w:t>
                  </w:r>
                </w:p>
              </w:tc>
            </w:tr>
            <w:tr w14:paraId="7BF90A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2376" w:type="dxa"/>
                  <w:tcBorders>
                    <w:tl2br w:val="nil"/>
                    <w:tr2bl w:val="nil"/>
                  </w:tcBorders>
                  <w:vAlign w:val="top"/>
                </w:tcPr>
                <w:p w14:paraId="7FD0FC48">
                  <w:pPr>
                    <w:pStyle w:val="43"/>
                    <w:keepNext w:val="0"/>
                    <w:keepLines w:val="0"/>
                    <w:suppressLineNumbers w:val="0"/>
                    <w:spacing w:before="35" w:beforeAutospacing="0" w:after="0" w:afterAutospacing="0" w:line="204" w:lineRule="auto"/>
                    <w:ind w:left="113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乙</w:t>
                  </w:r>
                </w:p>
              </w:tc>
              <w:tc>
                <w:tcPr>
                  <w:tcW w:w="6843" w:type="dxa"/>
                  <w:tcBorders>
                    <w:tl2br w:val="nil"/>
                    <w:tr2bl w:val="nil"/>
                  </w:tcBorders>
                  <w:vAlign w:val="top"/>
                </w:tcPr>
                <w:p w14:paraId="4A50BA37">
                  <w:pPr>
                    <w:keepNext w:val="0"/>
                    <w:keepLines w:val="0"/>
                    <w:suppressLineNumbers w:val="0"/>
                    <w:spacing w:before="53" w:beforeAutospacing="0" w:after="0" w:afterAutospacing="0" w:line="208" w:lineRule="auto"/>
                    <w:ind w:left="2731" w:right="0"/>
                    <w:rPr>
                      <w:rFonts w:hint="default" w:ascii="Times New Roman" w:hAnsi="Times New Roman" w:eastAsia="宋体" w:cs="Times New Roman"/>
                      <w:color w:val="auto"/>
                      <w:sz w:val="13"/>
                      <w:szCs w:val="13"/>
                      <w:highlight w:val="none"/>
                    </w:rPr>
                  </w:pPr>
                  <w:r>
                    <w:rPr>
                      <w:rFonts w:hint="default" w:ascii="Times New Roman" w:hAnsi="Times New Roman" w:eastAsia="宋体" w:cs="Times New Roman"/>
                      <w:color w:val="auto"/>
                      <w:sz w:val="21"/>
                      <w:szCs w:val="21"/>
                      <w:highlight w:val="none"/>
                    </w:rPr>
                    <w:t>2×10</w:t>
                  </w:r>
                  <w:r>
                    <w:rPr>
                      <w:rFonts w:hint="default" w:ascii="Times New Roman" w:hAnsi="Times New Roman" w:eastAsia="宋体" w:cs="Times New Roman"/>
                      <w:color w:val="auto"/>
                      <w:position w:val="6"/>
                      <w:sz w:val="13"/>
                      <w:szCs w:val="13"/>
                      <w:highlight w:val="none"/>
                    </w:rPr>
                    <w:t>7</w:t>
                  </w:r>
                  <w:r>
                    <w:rPr>
                      <w:rFonts w:hint="default" w:ascii="Times New Roman" w:hAnsi="Times New Roman" w:eastAsia="宋体" w:cs="Times New Roman"/>
                      <w:color w:val="auto"/>
                      <w:sz w:val="21"/>
                      <w:szCs w:val="21"/>
                      <w:highlight w:val="none"/>
                    </w:rPr>
                    <w:t>~4×10</w:t>
                  </w:r>
                  <w:r>
                    <w:rPr>
                      <w:rFonts w:hint="default" w:ascii="Times New Roman" w:hAnsi="Times New Roman" w:eastAsia="宋体" w:cs="Times New Roman"/>
                      <w:color w:val="auto"/>
                      <w:position w:val="6"/>
                      <w:sz w:val="13"/>
                      <w:szCs w:val="13"/>
                      <w:highlight w:val="none"/>
                    </w:rPr>
                    <w:t>9</w:t>
                  </w:r>
                </w:p>
              </w:tc>
            </w:tr>
            <w:tr w14:paraId="03AF74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376" w:type="dxa"/>
                  <w:tcBorders>
                    <w:tl2br w:val="nil"/>
                    <w:tr2bl w:val="nil"/>
                  </w:tcBorders>
                  <w:vAlign w:val="top"/>
                </w:tcPr>
                <w:p w14:paraId="05EC9067">
                  <w:pPr>
                    <w:pStyle w:val="43"/>
                    <w:keepNext w:val="0"/>
                    <w:keepLines w:val="0"/>
                    <w:suppressLineNumbers w:val="0"/>
                    <w:spacing w:before="33" w:beforeAutospacing="0" w:after="0" w:afterAutospacing="0" w:line="215" w:lineRule="auto"/>
                    <w:ind w:left="1118"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丙</w:t>
                  </w:r>
                </w:p>
              </w:tc>
              <w:tc>
                <w:tcPr>
                  <w:tcW w:w="6843" w:type="dxa"/>
                  <w:tcBorders>
                    <w:tl2br w:val="nil"/>
                    <w:tr2bl w:val="nil"/>
                  </w:tcBorders>
                  <w:vAlign w:val="top"/>
                </w:tcPr>
                <w:p w14:paraId="7C3AF753">
                  <w:pPr>
                    <w:pStyle w:val="43"/>
                    <w:keepNext w:val="0"/>
                    <w:keepLines w:val="0"/>
                    <w:suppressLineNumbers w:val="0"/>
                    <w:spacing w:before="33" w:beforeAutospacing="0" w:after="0" w:afterAutospacing="0" w:line="215" w:lineRule="auto"/>
                    <w:ind w:left="2248" w:right="0"/>
                    <w:rPr>
                      <w:rFonts w:hint="default" w:ascii="Times New Roman" w:hAnsi="Times New Roman" w:eastAsia="宋体" w:cs="Times New Roman"/>
                      <w:color w:val="auto"/>
                      <w:sz w:val="13"/>
                      <w:szCs w:val="13"/>
                      <w:highlight w:val="none"/>
                    </w:rPr>
                  </w:pPr>
                  <w:r>
                    <w:rPr>
                      <w:rFonts w:hint="default" w:ascii="Times New Roman" w:hAnsi="Times New Roman" w:eastAsia="宋体" w:cs="Times New Roman"/>
                      <w:color w:val="auto"/>
                      <w:sz w:val="21"/>
                      <w:szCs w:val="21"/>
                      <w:highlight w:val="none"/>
                    </w:rPr>
                    <w:t>豁免活度值以上~2×10</w:t>
                  </w:r>
                  <w:r>
                    <w:rPr>
                      <w:rFonts w:hint="default" w:ascii="Times New Roman" w:hAnsi="Times New Roman" w:eastAsia="宋体" w:cs="Times New Roman"/>
                      <w:color w:val="auto"/>
                      <w:position w:val="6"/>
                      <w:sz w:val="13"/>
                      <w:szCs w:val="13"/>
                      <w:highlight w:val="none"/>
                    </w:rPr>
                    <w:t>7</w:t>
                  </w:r>
                </w:p>
              </w:tc>
            </w:tr>
          </w:tbl>
          <w:p w14:paraId="43099508">
            <w:pPr>
              <w:pStyle w:val="43"/>
              <w:keepNext w:val="0"/>
              <w:keepLines w:val="0"/>
              <w:suppressLineNumbers w:val="0"/>
              <w:spacing w:before="215" w:beforeLines="0" w:beforeAutospacing="0" w:after="0" w:afterLines="0" w:afterAutospacing="0" w:line="360" w:lineRule="auto"/>
              <w:ind w:left="0" w:right="0" w:firstLine="476" w:firstLineChars="200"/>
              <w:jc w:val="both"/>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放射性核素的</w:t>
            </w:r>
            <w:r>
              <w:rPr>
                <w:rFonts w:hint="eastAsia" w:ascii="Times New Roman" w:hAnsi="Times New Roman" w:cs="Times New Roman"/>
                <w:color w:val="auto"/>
                <w:spacing w:val="-1"/>
                <w:sz w:val="24"/>
                <w:szCs w:val="24"/>
                <w:highlight w:val="none"/>
                <w:lang w:eastAsia="zh-CN"/>
              </w:rPr>
              <w:t>日等效最大操作量</w:t>
            </w:r>
            <w:r>
              <w:rPr>
                <w:rFonts w:hint="default" w:ascii="Times New Roman" w:hAnsi="Times New Roman" w:eastAsia="宋体" w:cs="Times New Roman"/>
                <w:color w:val="auto"/>
                <w:spacing w:val="-1"/>
                <w:sz w:val="24"/>
                <w:szCs w:val="24"/>
                <w:highlight w:val="none"/>
              </w:rPr>
              <w:t>等于放射性核素的实际日操作量（Bq）与该核素毒性 组别修正因子的积除以与操作方式有关的修正因子所得的商。放射性核素的毒性组别修正因子及操作方式有关的修正因子分别见表7-</w:t>
            </w:r>
            <w:r>
              <w:rPr>
                <w:rFonts w:hint="default" w:ascii="Times New Roman" w:hAnsi="Times New Roman" w:eastAsia="宋体" w:cs="Times New Roman"/>
                <w:color w:val="auto"/>
                <w:spacing w:val="-1"/>
                <w:sz w:val="24"/>
                <w:szCs w:val="24"/>
                <w:highlight w:val="none"/>
                <w:lang w:val="en-US" w:eastAsia="zh-CN"/>
              </w:rPr>
              <w:t>3</w:t>
            </w:r>
            <w:r>
              <w:rPr>
                <w:rFonts w:hint="default" w:ascii="Times New Roman" w:hAnsi="Times New Roman" w:eastAsia="宋体" w:cs="Times New Roman"/>
                <w:color w:val="auto"/>
                <w:spacing w:val="-1"/>
                <w:sz w:val="24"/>
                <w:szCs w:val="24"/>
                <w:highlight w:val="none"/>
              </w:rPr>
              <w:t>和表7-</w:t>
            </w:r>
            <w:r>
              <w:rPr>
                <w:rFonts w:hint="default" w:ascii="Times New Roman" w:hAnsi="Times New Roman" w:eastAsia="宋体" w:cs="Times New Roman"/>
                <w:color w:val="auto"/>
                <w:spacing w:val="-1"/>
                <w:sz w:val="24"/>
                <w:szCs w:val="24"/>
                <w:highlight w:val="none"/>
                <w:lang w:val="en-US" w:eastAsia="zh-CN"/>
              </w:rPr>
              <w:t>4</w:t>
            </w:r>
            <w:r>
              <w:rPr>
                <w:rFonts w:hint="default" w:ascii="Times New Roman" w:hAnsi="Times New Roman" w:eastAsia="宋体" w:cs="Times New Roman"/>
                <w:color w:val="auto"/>
                <w:spacing w:val="-1"/>
                <w:sz w:val="24"/>
                <w:szCs w:val="24"/>
                <w:highlight w:val="none"/>
              </w:rPr>
              <w:t>。</w:t>
            </w:r>
          </w:p>
          <w:p w14:paraId="2F306727">
            <w:pPr>
              <w:pStyle w:val="43"/>
              <w:keepNext w:val="0"/>
              <w:keepLines w:val="0"/>
              <w:suppressLineNumbers w:val="0"/>
              <w:spacing w:before="215" w:beforeLines="0" w:beforeAutospacing="0" w:after="0" w:afterLines="0" w:afterAutospacing="0" w:line="360" w:lineRule="auto"/>
              <w:ind w:left="0" w:right="0" w:firstLine="474" w:firstLineChars="200"/>
              <w:jc w:val="center"/>
              <w:rPr>
                <w:rFonts w:hint="default" w:ascii="Times New Roman" w:hAnsi="Times New Roman" w:eastAsia="宋体" w:cs="Times New Roman"/>
                <w:b/>
                <w:color w:val="auto"/>
                <w:spacing w:val="-2"/>
                <w:sz w:val="24"/>
                <w:szCs w:val="24"/>
                <w:highlight w:val="none"/>
              </w:rPr>
            </w:pPr>
            <w:r>
              <w:rPr>
                <w:rFonts w:hint="default" w:ascii="Times New Roman" w:hAnsi="Times New Roman" w:eastAsia="宋体" w:cs="Times New Roman"/>
                <w:b/>
                <w:color w:val="auto"/>
                <w:spacing w:val="-2"/>
                <w:sz w:val="24"/>
                <w:szCs w:val="24"/>
                <w:highlight w:val="none"/>
              </w:rPr>
              <w:t>表7-</w:t>
            </w:r>
            <w:r>
              <w:rPr>
                <w:rFonts w:hint="default" w:ascii="Times New Roman" w:hAnsi="Times New Roman" w:eastAsia="宋体" w:cs="Times New Roman"/>
                <w:b/>
                <w:color w:val="auto"/>
                <w:spacing w:val="-2"/>
                <w:sz w:val="24"/>
                <w:szCs w:val="24"/>
                <w:highlight w:val="none"/>
                <w:lang w:val="en-US" w:eastAsia="zh-CN"/>
              </w:rPr>
              <w:t xml:space="preserve">3  </w:t>
            </w:r>
            <w:r>
              <w:rPr>
                <w:rFonts w:hint="default" w:ascii="Times New Roman" w:hAnsi="Times New Roman" w:eastAsia="宋体" w:cs="Times New Roman"/>
                <w:b/>
                <w:color w:val="auto"/>
                <w:spacing w:val="-2"/>
                <w:sz w:val="24"/>
                <w:szCs w:val="24"/>
                <w:highlight w:val="none"/>
              </w:rPr>
              <w:t>放射性核素毒性组别修正因子</w:t>
            </w:r>
          </w:p>
          <w:tbl>
            <w:tblPr>
              <w:tblStyle w:val="30"/>
              <w:tblW w:w="9339" w:type="dxa"/>
              <w:tblInd w:w="-1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407"/>
              <w:gridCol w:w="6932"/>
            </w:tblGrid>
            <w:tr w14:paraId="1919E7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7" w:hRule="atLeast"/>
              </w:trPr>
              <w:tc>
                <w:tcPr>
                  <w:tcW w:w="2407" w:type="dxa"/>
                  <w:tcBorders>
                    <w:tl2br w:val="nil"/>
                    <w:tr2bl w:val="nil"/>
                  </w:tcBorders>
                  <w:vAlign w:val="top"/>
                </w:tcPr>
                <w:p w14:paraId="604B5C94">
                  <w:pPr>
                    <w:pStyle w:val="43"/>
                    <w:keepNext w:val="0"/>
                    <w:keepLines w:val="0"/>
                    <w:suppressLineNumbers w:val="0"/>
                    <w:spacing w:before="23" w:beforeAutospacing="0" w:after="0" w:afterAutospacing="0" w:line="205" w:lineRule="auto"/>
                    <w:ind w:left="804"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4"/>
                      <w:sz w:val="21"/>
                      <w:szCs w:val="21"/>
                      <w:highlight w:val="none"/>
                    </w:rPr>
                    <w:t>毒性组别</w:t>
                  </w:r>
                </w:p>
              </w:tc>
              <w:tc>
                <w:tcPr>
                  <w:tcW w:w="6932" w:type="dxa"/>
                  <w:tcBorders>
                    <w:tl2br w:val="nil"/>
                    <w:tr2bl w:val="nil"/>
                  </w:tcBorders>
                  <w:vAlign w:val="top"/>
                </w:tcPr>
                <w:p w14:paraId="7D05509E">
                  <w:pPr>
                    <w:pStyle w:val="43"/>
                    <w:keepNext w:val="0"/>
                    <w:keepLines w:val="0"/>
                    <w:suppressLineNumbers w:val="0"/>
                    <w:spacing w:before="23" w:beforeAutospacing="0" w:after="0" w:afterAutospacing="0" w:line="205" w:lineRule="auto"/>
                    <w:ind w:left="245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3"/>
                      <w:sz w:val="21"/>
                      <w:szCs w:val="21"/>
                      <w:highlight w:val="none"/>
                    </w:rPr>
                    <w:t>毒性组别修正因子</w:t>
                  </w:r>
                </w:p>
              </w:tc>
            </w:tr>
            <w:tr w14:paraId="69BB15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2" w:hRule="atLeast"/>
              </w:trPr>
              <w:tc>
                <w:tcPr>
                  <w:tcW w:w="2407" w:type="dxa"/>
                  <w:tcBorders>
                    <w:tl2br w:val="nil"/>
                    <w:tr2bl w:val="nil"/>
                  </w:tcBorders>
                  <w:vAlign w:val="top"/>
                </w:tcPr>
                <w:p w14:paraId="2EE97953">
                  <w:pPr>
                    <w:pStyle w:val="43"/>
                    <w:keepNext w:val="0"/>
                    <w:keepLines w:val="0"/>
                    <w:suppressLineNumbers w:val="0"/>
                    <w:spacing w:before="34" w:beforeAutospacing="0" w:after="0" w:afterAutospacing="0" w:line="205" w:lineRule="auto"/>
                    <w:ind w:left="1016"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极毒</w:t>
                  </w:r>
                </w:p>
              </w:tc>
              <w:tc>
                <w:tcPr>
                  <w:tcW w:w="6932" w:type="dxa"/>
                  <w:tcBorders>
                    <w:tl2br w:val="nil"/>
                    <w:tr2bl w:val="nil"/>
                  </w:tcBorders>
                  <w:vAlign w:val="top"/>
                </w:tcPr>
                <w:p w14:paraId="1F76F753">
                  <w:pPr>
                    <w:keepNext w:val="0"/>
                    <w:keepLines w:val="0"/>
                    <w:suppressLineNumbers w:val="0"/>
                    <w:spacing w:before="73" w:beforeAutospacing="0" w:after="0" w:afterAutospacing="0" w:line="187" w:lineRule="auto"/>
                    <w:ind w:left="3209"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6"/>
                      <w:sz w:val="21"/>
                      <w:szCs w:val="21"/>
                      <w:highlight w:val="none"/>
                    </w:rPr>
                    <w:t>10</w:t>
                  </w:r>
                </w:p>
              </w:tc>
            </w:tr>
            <w:tr w14:paraId="0F86DE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1" w:hRule="atLeast"/>
              </w:trPr>
              <w:tc>
                <w:tcPr>
                  <w:tcW w:w="2407" w:type="dxa"/>
                  <w:tcBorders>
                    <w:tl2br w:val="nil"/>
                    <w:tr2bl w:val="nil"/>
                  </w:tcBorders>
                  <w:vAlign w:val="top"/>
                </w:tcPr>
                <w:p w14:paraId="16C6828C">
                  <w:pPr>
                    <w:pStyle w:val="43"/>
                    <w:keepNext w:val="0"/>
                    <w:keepLines w:val="0"/>
                    <w:suppressLineNumbers w:val="0"/>
                    <w:spacing w:before="35" w:beforeAutospacing="0" w:after="0" w:afterAutospacing="0" w:line="203" w:lineRule="auto"/>
                    <w:ind w:left="1019"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高毒</w:t>
                  </w:r>
                </w:p>
              </w:tc>
              <w:tc>
                <w:tcPr>
                  <w:tcW w:w="6932" w:type="dxa"/>
                  <w:tcBorders>
                    <w:tl2br w:val="nil"/>
                    <w:tr2bl w:val="nil"/>
                  </w:tcBorders>
                  <w:vAlign w:val="top"/>
                </w:tcPr>
                <w:p w14:paraId="44FA1117">
                  <w:pPr>
                    <w:keepNext w:val="0"/>
                    <w:keepLines w:val="0"/>
                    <w:suppressLineNumbers w:val="0"/>
                    <w:spacing w:before="73" w:beforeAutospacing="0" w:after="0" w:afterAutospacing="0" w:line="187" w:lineRule="auto"/>
                    <w:ind w:left="3262"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r>
            <w:tr w14:paraId="48FBFB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2" w:hRule="atLeast"/>
              </w:trPr>
              <w:tc>
                <w:tcPr>
                  <w:tcW w:w="2407" w:type="dxa"/>
                  <w:tcBorders>
                    <w:tl2br w:val="nil"/>
                    <w:tr2bl w:val="nil"/>
                  </w:tcBorders>
                  <w:vAlign w:val="top"/>
                </w:tcPr>
                <w:p w14:paraId="29C19827">
                  <w:pPr>
                    <w:pStyle w:val="43"/>
                    <w:keepNext w:val="0"/>
                    <w:keepLines w:val="0"/>
                    <w:suppressLineNumbers w:val="0"/>
                    <w:spacing w:before="34" w:beforeAutospacing="0" w:after="0" w:afterAutospacing="0" w:line="205" w:lineRule="auto"/>
                    <w:ind w:left="1033"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7"/>
                      <w:sz w:val="21"/>
                      <w:szCs w:val="21"/>
                      <w:highlight w:val="none"/>
                    </w:rPr>
                    <w:t>中毒</w:t>
                  </w:r>
                </w:p>
              </w:tc>
              <w:tc>
                <w:tcPr>
                  <w:tcW w:w="6932" w:type="dxa"/>
                  <w:tcBorders>
                    <w:tl2br w:val="nil"/>
                    <w:tr2bl w:val="nil"/>
                  </w:tcBorders>
                  <w:vAlign w:val="top"/>
                </w:tcPr>
                <w:p w14:paraId="0BE9E940">
                  <w:pPr>
                    <w:keepNext w:val="0"/>
                    <w:keepLines w:val="0"/>
                    <w:suppressLineNumbers w:val="0"/>
                    <w:spacing w:before="73" w:beforeAutospacing="0" w:after="0" w:afterAutospacing="0" w:line="187" w:lineRule="auto"/>
                    <w:ind w:left="3166"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0.1</w:t>
                  </w:r>
                </w:p>
              </w:tc>
            </w:tr>
            <w:tr w14:paraId="301934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4" w:hRule="atLeast"/>
              </w:trPr>
              <w:tc>
                <w:tcPr>
                  <w:tcW w:w="2407" w:type="dxa"/>
                  <w:tcBorders>
                    <w:tl2br w:val="nil"/>
                    <w:tr2bl w:val="nil"/>
                  </w:tcBorders>
                  <w:vAlign w:val="top"/>
                </w:tcPr>
                <w:p w14:paraId="084E8D73">
                  <w:pPr>
                    <w:pStyle w:val="43"/>
                    <w:keepNext w:val="0"/>
                    <w:keepLines w:val="0"/>
                    <w:suppressLineNumbers w:val="0"/>
                    <w:spacing w:before="34" w:beforeAutospacing="0" w:after="0" w:afterAutospacing="0" w:line="221" w:lineRule="auto"/>
                    <w:ind w:left="1012"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低毒</w:t>
                  </w:r>
                </w:p>
              </w:tc>
              <w:tc>
                <w:tcPr>
                  <w:tcW w:w="6932" w:type="dxa"/>
                  <w:tcBorders>
                    <w:tl2br w:val="nil"/>
                    <w:tr2bl w:val="nil"/>
                  </w:tcBorders>
                  <w:vAlign w:val="top"/>
                </w:tcPr>
                <w:p w14:paraId="2A7C5FBB">
                  <w:pPr>
                    <w:keepNext w:val="0"/>
                    <w:keepLines w:val="0"/>
                    <w:suppressLineNumbers w:val="0"/>
                    <w:spacing w:before="73" w:beforeAutospacing="0" w:after="0" w:afterAutospacing="0" w:line="187" w:lineRule="auto"/>
                    <w:ind w:left="3113"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0.01</w:t>
                  </w:r>
                </w:p>
              </w:tc>
            </w:tr>
          </w:tbl>
          <w:p w14:paraId="607BBC13">
            <w:pPr>
              <w:keepNext w:val="0"/>
              <w:keepLines w:val="0"/>
              <w:widowControl/>
              <w:suppressLineNumbers w:val="0"/>
              <w:kinsoku w:val="0"/>
              <w:autoSpaceDE w:val="0"/>
              <w:autoSpaceDN w:val="0"/>
              <w:adjustRightInd w:val="0"/>
              <w:snapToGrid w:val="0"/>
              <w:spacing w:before="0" w:beforeAutospacing="0" w:after="0" w:afterAutospacing="0"/>
              <w:ind w:left="0" w:right="0"/>
              <w:jc w:val="left"/>
              <w:textAlignment w:val="baseline"/>
              <w:rPr>
                <w:rFonts w:hint="default" w:ascii="Times New Roman" w:hAnsi="Times New Roman" w:eastAsia="宋体" w:cs="Times New Roman"/>
                <w:b/>
                <w:bCs/>
                <w:snapToGrid/>
                <w:color w:val="auto"/>
                <w:spacing w:val="-2"/>
                <w:kern w:val="0"/>
                <w:sz w:val="21"/>
                <w:szCs w:val="21"/>
                <w:highlight w:val="none"/>
                <w:lang w:val="en-US" w:eastAsia="zh-CN" w:bidi="ar"/>
              </w:rPr>
            </w:pPr>
          </w:p>
          <w:p w14:paraId="18DBB160">
            <w:pPr>
              <w:pStyle w:val="43"/>
              <w:keepNext w:val="0"/>
              <w:keepLines w:val="0"/>
              <w:suppressLineNumbers w:val="0"/>
              <w:spacing w:before="215" w:beforeLines="0" w:beforeAutospacing="0" w:after="0" w:afterLines="0" w:afterAutospacing="0" w:line="360" w:lineRule="auto"/>
              <w:ind w:left="0" w:right="0" w:firstLine="474" w:firstLineChars="200"/>
              <w:jc w:val="center"/>
              <w:rPr>
                <w:rFonts w:hint="default" w:ascii="Times New Roman" w:hAnsi="Times New Roman" w:eastAsia="宋体" w:cs="Times New Roman"/>
                <w:b/>
                <w:color w:val="auto"/>
                <w:spacing w:val="-2"/>
                <w:sz w:val="24"/>
                <w:szCs w:val="24"/>
                <w:highlight w:val="none"/>
              </w:rPr>
            </w:pPr>
            <w:r>
              <w:rPr>
                <w:rFonts w:hint="default" w:ascii="Times New Roman" w:hAnsi="Times New Roman" w:eastAsia="宋体" w:cs="Times New Roman"/>
                <w:b/>
                <w:color w:val="auto"/>
                <w:spacing w:val="-2"/>
                <w:sz w:val="24"/>
                <w:szCs w:val="24"/>
                <w:highlight w:val="none"/>
                <w:lang w:val="en-US" w:eastAsia="zh-CN"/>
              </w:rPr>
              <w:t>表7-4  操作方式与放射源状态修正因子</w:t>
            </w:r>
          </w:p>
          <w:tbl>
            <w:tblPr>
              <w:tblStyle w:val="30"/>
              <w:tblW w:w="9356" w:type="dxa"/>
              <w:tblInd w:w="-1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888"/>
              <w:gridCol w:w="1808"/>
              <w:gridCol w:w="1669"/>
              <w:gridCol w:w="1295"/>
              <w:gridCol w:w="2696"/>
            </w:tblGrid>
            <w:tr w14:paraId="145501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888" w:type="dxa"/>
                  <w:vMerge w:val="restart"/>
                  <w:tcBorders>
                    <w:tl2br w:val="nil"/>
                    <w:tr2bl w:val="nil"/>
                  </w:tcBorders>
                  <w:vAlign w:val="center"/>
                </w:tcPr>
                <w:p w14:paraId="21B0C845">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p>
                <w:p w14:paraId="05C429C8">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操作方式</w:t>
                  </w:r>
                </w:p>
              </w:tc>
              <w:tc>
                <w:tcPr>
                  <w:tcW w:w="7468" w:type="dxa"/>
                  <w:gridSpan w:val="4"/>
                  <w:tcBorders>
                    <w:tl2br w:val="nil"/>
                    <w:tr2bl w:val="nil"/>
                  </w:tcBorders>
                  <w:vAlign w:val="center"/>
                </w:tcPr>
                <w:p w14:paraId="65170E40">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放射源状态</w:t>
                  </w:r>
                </w:p>
              </w:tc>
            </w:tr>
            <w:tr w14:paraId="3E6650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888" w:type="dxa"/>
                  <w:vMerge w:val="continue"/>
                  <w:tcBorders>
                    <w:tl2br w:val="nil"/>
                    <w:tr2bl w:val="nil"/>
                  </w:tcBorders>
                  <w:vAlign w:val="center"/>
                </w:tcPr>
                <w:p w14:paraId="3B9C8956">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p>
              </w:tc>
              <w:tc>
                <w:tcPr>
                  <w:tcW w:w="1808" w:type="dxa"/>
                  <w:tcBorders>
                    <w:tl2br w:val="nil"/>
                    <w:tr2bl w:val="nil"/>
                  </w:tcBorders>
                  <w:vAlign w:val="center"/>
                </w:tcPr>
                <w:p w14:paraId="67DC3136">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表面污染水平较低的固体</w:t>
                  </w:r>
                </w:p>
              </w:tc>
              <w:tc>
                <w:tcPr>
                  <w:tcW w:w="1669" w:type="dxa"/>
                  <w:tcBorders>
                    <w:tl2br w:val="nil"/>
                    <w:tr2bl w:val="nil"/>
                  </w:tcBorders>
                  <w:vAlign w:val="center"/>
                </w:tcPr>
                <w:p w14:paraId="1C64FD51">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液体，溶液，悬浮液</w:t>
                  </w:r>
                </w:p>
              </w:tc>
              <w:tc>
                <w:tcPr>
                  <w:tcW w:w="1295" w:type="dxa"/>
                  <w:tcBorders>
                    <w:tl2br w:val="nil"/>
                    <w:tr2bl w:val="nil"/>
                  </w:tcBorders>
                  <w:vAlign w:val="center"/>
                </w:tcPr>
                <w:p w14:paraId="706A0094">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表面有污染的固体</w:t>
                  </w:r>
                </w:p>
              </w:tc>
              <w:tc>
                <w:tcPr>
                  <w:tcW w:w="2696" w:type="dxa"/>
                  <w:tcBorders>
                    <w:tl2br w:val="nil"/>
                    <w:tr2bl w:val="nil"/>
                  </w:tcBorders>
                  <w:vAlign w:val="center"/>
                </w:tcPr>
                <w:p w14:paraId="490BEDD2">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气体，蒸汽，粉末，压力很高的液体，固体</w:t>
                  </w:r>
                </w:p>
              </w:tc>
            </w:tr>
            <w:tr w14:paraId="6AD6D7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888" w:type="dxa"/>
                  <w:tcBorders>
                    <w:tl2br w:val="nil"/>
                    <w:tr2bl w:val="nil"/>
                  </w:tcBorders>
                  <w:vAlign w:val="center"/>
                </w:tcPr>
                <w:p w14:paraId="0584836F">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源的贮存</w:t>
                  </w:r>
                </w:p>
              </w:tc>
              <w:tc>
                <w:tcPr>
                  <w:tcW w:w="1808" w:type="dxa"/>
                  <w:tcBorders>
                    <w:tl2br w:val="nil"/>
                    <w:tr2bl w:val="nil"/>
                  </w:tcBorders>
                  <w:vAlign w:val="center"/>
                </w:tcPr>
                <w:p w14:paraId="41CF8AA9">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1000</w:t>
                  </w:r>
                </w:p>
              </w:tc>
              <w:tc>
                <w:tcPr>
                  <w:tcW w:w="1669" w:type="dxa"/>
                  <w:tcBorders>
                    <w:tl2br w:val="nil"/>
                    <w:tr2bl w:val="nil"/>
                  </w:tcBorders>
                  <w:vAlign w:val="center"/>
                </w:tcPr>
                <w:p w14:paraId="0C0532BB">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100</w:t>
                  </w:r>
                </w:p>
              </w:tc>
              <w:tc>
                <w:tcPr>
                  <w:tcW w:w="1295" w:type="dxa"/>
                  <w:tcBorders>
                    <w:tl2br w:val="nil"/>
                    <w:tr2bl w:val="nil"/>
                  </w:tcBorders>
                  <w:vAlign w:val="center"/>
                </w:tcPr>
                <w:p w14:paraId="6C19A11A">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w:t>
                  </w:r>
                </w:p>
              </w:tc>
              <w:tc>
                <w:tcPr>
                  <w:tcW w:w="2696" w:type="dxa"/>
                  <w:tcBorders>
                    <w:tl2br w:val="nil"/>
                    <w:tr2bl w:val="nil"/>
                  </w:tcBorders>
                  <w:vAlign w:val="center"/>
                </w:tcPr>
                <w:p w14:paraId="556E8177">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w:t>
                  </w:r>
                </w:p>
              </w:tc>
            </w:tr>
            <w:tr w14:paraId="3B42EA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888" w:type="dxa"/>
                  <w:tcBorders>
                    <w:tl2br w:val="nil"/>
                    <w:tr2bl w:val="nil"/>
                  </w:tcBorders>
                  <w:vAlign w:val="center"/>
                </w:tcPr>
                <w:p w14:paraId="46B159B4">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很简单的操作</w:t>
                  </w:r>
                </w:p>
              </w:tc>
              <w:tc>
                <w:tcPr>
                  <w:tcW w:w="1808" w:type="dxa"/>
                  <w:tcBorders>
                    <w:tl2br w:val="nil"/>
                    <w:tr2bl w:val="nil"/>
                  </w:tcBorders>
                  <w:vAlign w:val="center"/>
                </w:tcPr>
                <w:p w14:paraId="23C6601A">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100</w:t>
                  </w:r>
                </w:p>
              </w:tc>
              <w:tc>
                <w:tcPr>
                  <w:tcW w:w="1669" w:type="dxa"/>
                  <w:tcBorders>
                    <w:tl2br w:val="nil"/>
                    <w:tr2bl w:val="nil"/>
                  </w:tcBorders>
                  <w:vAlign w:val="center"/>
                </w:tcPr>
                <w:p w14:paraId="04C6E543">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w:t>
                  </w:r>
                </w:p>
              </w:tc>
              <w:tc>
                <w:tcPr>
                  <w:tcW w:w="1295" w:type="dxa"/>
                  <w:tcBorders>
                    <w:tl2br w:val="nil"/>
                    <w:tr2bl w:val="nil"/>
                  </w:tcBorders>
                  <w:vAlign w:val="center"/>
                </w:tcPr>
                <w:p w14:paraId="1AFE29FF">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w:t>
                  </w:r>
                </w:p>
              </w:tc>
              <w:tc>
                <w:tcPr>
                  <w:tcW w:w="2696" w:type="dxa"/>
                  <w:tcBorders>
                    <w:tl2br w:val="nil"/>
                    <w:tr2bl w:val="nil"/>
                  </w:tcBorders>
                  <w:vAlign w:val="center"/>
                </w:tcPr>
                <w:p w14:paraId="630066A0">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w:t>
                  </w:r>
                </w:p>
              </w:tc>
            </w:tr>
            <w:tr w14:paraId="7A1919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888" w:type="dxa"/>
                  <w:tcBorders>
                    <w:tl2br w:val="nil"/>
                    <w:tr2bl w:val="nil"/>
                  </w:tcBorders>
                  <w:vAlign w:val="center"/>
                </w:tcPr>
                <w:p w14:paraId="20B58FD0">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简单操作</w:t>
                  </w:r>
                </w:p>
              </w:tc>
              <w:tc>
                <w:tcPr>
                  <w:tcW w:w="1808" w:type="dxa"/>
                  <w:tcBorders>
                    <w:tl2br w:val="nil"/>
                    <w:tr2bl w:val="nil"/>
                  </w:tcBorders>
                  <w:vAlign w:val="center"/>
                </w:tcPr>
                <w:p w14:paraId="6ADB1954">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10</w:t>
                  </w:r>
                </w:p>
              </w:tc>
              <w:tc>
                <w:tcPr>
                  <w:tcW w:w="1669" w:type="dxa"/>
                  <w:tcBorders>
                    <w:tl2br w:val="nil"/>
                    <w:tr2bl w:val="nil"/>
                  </w:tcBorders>
                  <w:vAlign w:val="center"/>
                </w:tcPr>
                <w:p w14:paraId="5F07483F">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w:t>
                  </w:r>
                </w:p>
              </w:tc>
              <w:tc>
                <w:tcPr>
                  <w:tcW w:w="1295" w:type="dxa"/>
                  <w:tcBorders>
                    <w:tl2br w:val="nil"/>
                    <w:tr2bl w:val="nil"/>
                  </w:tcBorders>
                  <w:vAlign w:val="center"/>
                </w:tcPr>
                <w:p w14:paraId="73D43631">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w:t>
                  </w:r>
                </w:p>
              </w:tc>
              <w:tc>
                <w:tcPr>
                  <w:tcW w:w="2696" w:type="dxa"/>
                  <w:tcBorders>
                    <w:tl2br w:val="nil"/>
                    <w:tr2bl w:val="nil"/>
                  </w:tcBorders>
                  <w:vAlign w:val="center"/>
                </w:tcPr>
                <w:p w14:paraId="2C8111FF">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0.01</w:t>
                  </w:r>
                </w:p>
              </w:tc>
            </w:tr>
            <w:tr w14:paraId="707200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888" w:type="dxa"/>
                  <w:tcBorders>
                    <w:tl2br w:val="nil"/>
                    <w:tr2bl w:val="nil"/>
                  </w:tcBorders>
                  <w:vAlign w:val="center"/>
                </w:tcPr>
                <w:p w14:paraId="69E0AA66">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特别危险的操作</w:t>
                  </w:r>
                </w:p>
              </w:tc>
              <w:tc>
                <w:tcPr>
                  <w:tcW w:w="1808" w:type="dxa"/>
                  <w:tcBorders>
                    <w:tl2br w:val="nil"/>
                    <w:tr2bl w:val="nil"/>
                  </w:tcBorders>
                  <w:vAlign w:val="center"/>
                </w:tcPr>
                <w:p w14:paraId="061C4CE3">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1</w:t>
                  </w:r>
                </w:p>
              </w:tc>
              <w:tc>
                <w:tcPr>
                  <w:tcW w:w="1669" w:type="dxa"/>
                  <w:tcBorders>
                    <w:tl2br w:val="nil"/>
                    <w:tr2bl w:val="nil"/>
                  </w:tcBorders>
                  <w:vAlign w:val="center"/>
                </w:tcPr>
                <w:p w14:paraId="0B2CDE6A">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0.1</w:t>
                  </w:r>
                </w:p>
              </w:tc>
              <w:tc>
                <w:tcPr>
                  <w:tcW w:w="1295" w:type="dxa"/>
                  <w:tcBorders>
                    <w:tl2br w:val="nil"/>
                    <w:tr2bl w:val="nil"/>
                  </w:tcBorders>
                  <w:vAlign w:val="center"/>
                </w:tcPr>
                <w:p w14:paraId="0D595932">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0.01</w:t>
                  </w:r>
                </w:p>
              </w:tc>
              <w:tc>
                <w:tcPr>
                  <w:tcW w:w="2696" w:type="dxa"/>
                  <w:tcBorders>
                    <w:tl2br w:val="nil"/>
                    <w:tr2bl w:val="nil"/>
                  </w:tcBorders>
                  <w:vAlign w:val="center"/>
                </w:tcPr>
                <w:p w14:paraId="29110485">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0.001</w:t>
                  </w:r>
                </w:p>
              </w:tc>
            </w:tr>
          </w:tbl>
          <w:p w14:paraId="537CF277">
            <w:pPr>
              <w:pStyle w:val="43"/>
              <w:keepNext w:val="0"/>
              <w:keepLines w:val="0"/>
              <w:suppressLineNumbers w:val="0"/>
              <w:spacing w:before="184" w:beforeLines="0" w:beforeAutospacing="0" w:after="0" w:afterLines="0" w:afterAutospacing="0" w:line="220" w:lineRule="auto"/>
              <w:ind w:left="117"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1"/>
                <w:sz w:val="24"/>
                <w:szCs w:val="24"/>
                <w:highlight w:val="none"/>
              </w:rPr>
              <w:t>根据《核医学放射防护要求》（GBZ120</w:t>
            </w:r>
            <w:r>
              <w:rPr>
                <w:rFonts w:hint="default" w:ascii="Times New Roman" w:hAnsi="Times New Roman" w:eastAsia="宋体" w:cs="Times New Roman"/>
                <w:b/>
                <w:color w:val="auto"/>
                <w:spacing w:val="-2"/>
                <w:sz w:val="24"/>
                <w:szCs w:val="24"/>
                <w:highlight w:val="none"/>
              </w:rPr>
              <w:t>-2020</w:t>
            </w:r>
            <w:r>
              <w:rPr>
                <w:rFonts w:hint="default" w:ascii="Times New Roman" w:hAnsi="Times New Roman" w:eastAsia="宋体" w:cs="Times New Roman"/>
                <w:b/>
                <w:color w:val="auto"/>
                <w:spacing w:val="-4"/>
                <w:sz w:val="24"/>
                <w:szCs w:val="24"/>
                <w:highlight w:val="none"/>
              </w:rPr>
              <w:t>）：</w:t>
            </w:r>
          </w:p>
          <w:p w14:paraId="693228A2">
            <w:pPr>
              <w:pStyle w:val="43"/>
              <w:keepNext w:val="0"/>
              <w:keepLines w:val="0"/>
              <w:suppressLineNumbers w:val="0"/>
              <w:spacing w:before="214" w:beforeLines="0" w:beforeAutospacing="0" w:after="0" w:afterLines="0" w:afterAutospacing="0" w:line="370" w:lineRule="auto"/>
              <w:ind w:left="119" w:right="79" w:firstLine="479"/>
              <w:jc w:val="both"/>
              <w:rPr>
                <w:rFonts w:hint="default" w:ascii="Times New Roman" w:hAnsi="Times New Roman" w:eastAsia="宋体" w:cs="Times New Roman"/>
                <w:color w:val="auto"/>
                <w:spacing w:val="-4"/>
                <w:sz w:val="24"/>
                <w:szCs w:val="24"/>
                <w:highlight w:val="none"/>
              </w:rPr>
            </w:pPr>
            <w:r>
              <w:rPr>
                <w:rFonts w:hint="default" w:ascii="Times New Roman" w:hAnsi="Times New Roman" w:eastAsia="宋体" w:cs="Times New Roman"/>
                <w:color w:val="auto"/>
                <w:spacing w:val="-2"/>
                <w:sz w:val="24"/>
                <w:szCs w:val="24"/>
                <w:highlight w:val="none"/>
              </w:rPr>
              <w:t>对临床核医学工作场所具体分类，临床核医学工作场所属于非密封源工作场所，</w:t>
            </w:r>
            <w:r>
              <w:rPr>
                <w:rFonts w:hint="default" w:ascii="Times New Roman" w:hAnsi="Times New Roman" w:eastAsia="宋体" w:cs="Times New Roman"/>
                <w:color w:val="auto"/>
                <w:spacing w:val="7"/>
                <w:sz w:val="24"/>
                <w:szCs w:val="24"/>
                <w:highlight w:val="none"/>
              </w:rPr>
              <w:t xml:space="preserve"> </w:t>
            </w:r>
            <w:r>
              <w:rPr>
                <w:rFonts w:hint="default" w:ascii="Times New Roman" w:hAnsi="Times New Roman" w:eastAsia="宋体" w:cs="Times New Roman"/>
                <w:color w:val="auto"/>
                <w:spacing w:val="-2"/>
                <w:sz w:val="24"/>
                <w:szCs w:val="24"/>
                <w:highlight w:val="none"/>
              </w:rPr>
              <w:t>依据计划操作最大量放射性核素的加权活度，将工作场所分为Ⅰ、Ⅱ、Ⅲ</w:t>
            </w:r>
            <w:r>
              <w:rPr>
                <w:rFonts w:hint="default" w:ascii="Times New Roman" w:hAnsi="Times New Roman" w:eastAsia="宋体" w:cs="Times New Roman"/>
                <w:color w:val="auto"/>
                <w:spacing w:val="-3"/>
                <w:sz w:val="24"/>
                <w:szCs w:val="24"/>
                <w:highlight w:val="none"/>
              </w:rPr>
              <w:t>等三类（见</w:t>
            </w:r>
            <w:r>
              <w:rPr>
                <w:rFonts w:hint="default" w:ascii="Times New Roman" w:hAnsi="Times New Roman" w:eastAsia="宋体" w:cs="Times New Roman"/>
                <w:color w:val="auto"/>
                <w:spacing w:val="-4"/>
                <w:sz w:val="24"/>
                <w:szCs w:val="24"/>
                <w:highlight w:val="none"/>
                <w:lang w:val="en-US" w:eastAsia="zh-CN"/>
              </w:rPr>
              <w:t>表7-5</w:t>
            </w:r>
            <w:r>
              <w:rPr>
                <w:rFonts w:hint="default" w:ascii="Times New Roman" w:hAnsi="Times New Roman" w:eastAsia="宋体" w:cs="Times New Roman"/>
                <w:color w:val="auto"/>
                <w:spacing w:val="-4"/>
                <w:sz w:val="24"/>
                <w:szCs w:val="24"/>
                <w:highlight w:val="none"/>
              </w:rPr>
              <w:t>）。</w:t>
            </w:r>
          </w:p>
          <w:p w14:paraId="1BE869D6">
            <w:pPr>
              <w:pStyle w:val="43"/>
              <w:keepNext w:val="0"/>
              <w:keepLines w:val="0"/>
              <w:suppressLineNumbers w:val="0"/>
              <w:spacing w:before="37" w:beforeLines="0" w:beforeAutospacing="0" w:after="0" w:afterLines="0" w:afterAutospacing="0" w:line="232" w:lineRule="auto"/>
              <w:ind w:left="116" w:right="0"/>
              <w:jc w:val="center"/>
              <w:rPr>
                <w:rFonts w:hint="default" w:ascii="Times New Roman" w:hAnsi="Times New Roman" w:eastAsia="宋体" w:cs="Times New Roman"/>
                <w:b/>
                <w:bCs/>
                <w:color w:val="auto"/>
                <w:spacing w:val="-4"/>
                <w:sz w:val="24"/>
                <w:szCs w:val="24"/>
                <w:highlight w:val="none"/>
                <w:lang w:val="en-US" w:eastAsia="zh-CN"/>
              </w:rPr>
            </w:pPr>
          </w:p>
          <w:p w14:paraId="75BF9A6E">
            <w:pPr>
              <w:pStyle w:val="43"/>
              <w:keepNext w:val="0"/>
              <w:keepLines w:val="0"/>
              <w:suppressLineNumbers w:val="0"/>
              <w:spacing w:before="37" w:beforeLines="0" w:beforeAutospacing="0" w:after="0" w:afterLines="0" w:afterAutospacing="0" w:line="232" w:lineRule="auto"/>
              <w:ind w:left="116" w:right="0"/>
              <w:jc w:val="center"/>
              <w:rPr>
                <w:rFonts w:hint="default" w:ascii="Times New Roman" w:hAnsi="Times New Roman" w:eastAsia="宋体" w:cs="Times New Roman"/>
                <w:b/>
                <w:bCs/>
                <w:color w:val="auto"/>
                <w:spacing w:val="-4"/>
                <w:sz w:val="24"/>
                <w:szCs w:val="24"/>
                <w:highlight w:val="none"/>
              </w:rPr>
            </w:pPr>
            <w:r>
              <w:rPr>
                <w:rFonts w:hint="default" w:ascii="Times New Roman" w:hAnsi="Times New Roman" w:eastAsia="宋体" w:cs="Times New Roman"/>
                <w:b/>
                <w:bCs/>
                <w:color w:val="auto"/>
                <w:spacing w:val="-4"/>
                <w:sz w:val="24"/>
                <w:szCs w:val="24"/>
                <w:highlight w:val="none"/>
                <w:lang w:val="en-US" w:eastAsia="zh-CN"/>
              </w:rPr>
              <w:t xml:space="preserve">表7-5  </w:t>
            </w:r>
            <w:r>
              <w:rPr>
                <w:rFonts w:hint="default" w:ascii="Times New Roman" w:hAnsi="Times New Roman" w:eastAsia="宋体" w:cs="Times New Roman"/>
                <w:b/>
                <w:bCs/>
                <w:color w:val="auto"/>
                <w:spacing w:val="-4"/>
                <w:sz w:val="24"/>
                <w:szCs w:val="24"/>
                <w:highlight w:val="none"/>
              </w:rPr>
              <w:t>核医学常用放射性核素的毒性权重因子</w:t>
            </w:r>
          </w:p>
          <w:tbl>
            <w:tblPr>
              <w:tblStyle w:val="30"/>
              <w:tblW w:w="9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920"/>
              <w:gridCol w:w="1389"/>
              <w:gridCol w:w="2770"/>
              <w:gridCol w:w="2457"/>
              <w:gridCol w:w="1683"/>
            </w:tblGrid>
            <w:tr w14:paraId="15C49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5" w:hRule="atLeast"/>
                <w:jc w:val="center"/>
              </w:trPr>
              <w:tc>
                <w:tcPr>
                  <w:tcW w:w="2309" w:type="dxa"/>
                  <w:gridSpan w:val="2"/>
                  <w:tcBorders>
                    <w:top w:val="single" w:color="auto" w:sz="12" w:space="0"/>
                    <w:bottom w:val="single" w:color="auto" w:sz="4" w:space="0"/>
                    <w:right w:val="single" w:color="auto" w:sz="4" w:space="0"/>
                  </w:tcBorders>
                  <w:vAlign w:val="top"/>
                </w:tcPr>
                <w:p w14:paraId="2822EB6C">
                  <w:pPr>
                    <w:pStyle w:val="43"/>
                    <w:keepNext w:val="0"/>
                    <w:keepLines w:val="0"/>
                    <w:suppressLineNumbers w:val="0"/>
                    <w:spacing w:before="20" w:beforeAutospacing="0" w:after="0" w:afterAutospacing="0" w:line="206" w:lineRule="auto"/>
                    <w:ind w:left="1013"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5"/>
                      <w:sz w:val="21"/>
                      <w:szCs w:val="21"/>
                      <w:highlight w:val="none"/>
                    </w:rPr>
                    <w:t>分类</w:t>
                  </w:r>
                </w:p>
              </w:tc>
              <w:tc>
                <w:tcPr>
                  <w:tcW w:w="6910" w:type="dxa"/>
                  <w:gridSpan w:val="3"/>
                  <w:tcBorders>
                    <w:top w:val="single" w:color="auto" w:sz="12" w:space="0"/>
                    <w:left w:val="single" w:color="auto" w:sz="4" w:space="0"/>
                    <w:bottom w:val="single" w:color="auto" w:sz="4" w:space="0"/>
                    <w:right w:val="single" w:color="auto" w:sz="12" w:space="0"/>
                  </w:tcBorders>
                  <w:vAlign w:val="top"/>
                </w:tcPr>
                <w:p w14:paraId="019190AB">
                  <w:pPr>
                    <w:pStyle w:val="43"/>
                    <w:keepNext w:val="0"/>
                    <w:keepLines w:val="0"/>
                    <w:suppressLineNumbers w:val="0"/>
                    <w:spacing w:before="20" w:beforeAutospacing="0" w:after="0" w:afterAutospacing="0" w:line="206" w:lineRule="auto"/>
                    <w:ind w:left="1278"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2"/>
                      <w:sz w:val="21"/>
                      <w:szCs w:val="21"/>
                      <w:highlight w:val="none"/>
                    </w:rPr>
                    <w:t>操作最大量放射性核素的加权活度（</w:t>
                  </w:r>
                  <w:r>
                    <w:rPr>
                      <w:rFonts w:hint="default" w:ascii="Times New Roman" w:hAnsi="Times New Roman" w:cs="Times New Roman"/>
                      <w:b/>
                      <w:bCs/>
                      <w:color w:val="auto"/>
                      <w:spacing w:val="-2"/>
                      <w:sz w:val="21"/>
                      <w:szCs w:val="21"/>
                      <w:highlight w:val="none"/>
                      <w:lang w:eastAsia="zh-CN"/>
                    </w:rPr>
                    <w:t>MBq</w:t>
                  </w:r>
                  <w:r>
                    <w:rPr>
                      <w:rFonts w:hint="default" w:ascii="Times New Roman" w:hAnsi="Times New Roman" w:eastAsia="宋体" w:cs="Times New Roman"/>
                      <w:b/>
                      <w:bCs/>
                      <w:color w:val="auto"/>
                      <w:spacing w:val="-2"/>
                      <w:sz w:val="21"/>
                      <w:szCs w:val="21"/>
                      <w:highlight w:val="none"/>
                    </w:rPr>
                    <w:t>）</w:t>
                  </w:r>
                </w:p>
              </w:tc>
            </w:tr>
            <w:tr w14:paraId="2C329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8" w:hRule="atLeast"/>
                <w:jc w:val="center"/>
              </w:trPr>
              <w:tc>
                <w:tcPr>
                  <w:tcW w:w="2309" w:type="dxa"/>
                  <w:gridSpan w:val="2"/>
                  <w:tcBorders>
                    <w:top w:val="single" w:color="auto" w:sz="4" w:space="0"/>
                    <w:left w:val="single" w:color="auto" w:sz="4" w:space="0"/>
                    <w:bottom w:val="single" w:color="auto" w:sz="4" w:space="0"/>
                    <w:right w:val="single" w:color="auto" w:sz="4" w:space="0"/>
                  </w:tcBorders>
                  <w:vAlign w:val="top"/>
                </w:tcPr>
                <w:p w14:paraId="29C90520">
                  <w:pPr>
                    <w:keepNext w:val="0"/>
                    <w:keepLines w:val="0"/>
                    <w:suppressLineNumbers w:val="0"/>
                    <w:spacing w:before="73" w:beforeAutospacing="0" w:after="0" w:afterAutospacing="0" w:line="186" w:lineRule="auto"/>
                    <w:ind w:left="1183"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Ⅰ</w:t>
                  </w:r>
                </w:p>
              </w:tc>
              <w:tc>
                <w:tcPr>
                  <w:tcW w:w="6910" w:type="dxa"/>
                  <w:gridSpan w:val="3"/>
                  <w:tcBorders>
                    <w:top w:val="single" w:color="auto" w:sz="4" w:space="0"/>
                    <w:left w:val="single" w:color="auto" w:sz="4" w:space="0"/>
                    <w:bottom w:val="single" w:color="auto" w:sz="4" w:space="0"/>
                    <w:right w:val="single" w:color="auto" w:sz="12" w:space="0"/>
                  </w:tcBorders>
                  <w:vAlign w:val="top"/>
                </w:tcPr>
                <w:p w14:paraId="5EDE2FC0">
                  <w:pPr>
                    <w:pStyle w:val="43"/>
                    <w:keepNext w:val="0"/>
                    <w:keepLines w:val="0"/>
                    <w:suppressLineNumbers w:val="0"/>
                    <w:spacing w:before="33" w:beforeAutospacing="0" w:after="0" w:afterAutospacing="0" w:line="206" w:lineRule="auto"/>
                    <w:ind w:left="2949"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3"/>
                      <w:sz w:val="21"/>
                      <w:szCs w:val="21"/>
                      <w:highlight w:val="none"/>
                    </w:rPr>
                    <w:t>&gt;50000</w:t>
                  </w:r>
                </w:p>
              </w:tc>
            </w:tr>
            <w:tr w14:paraId="3F8BE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0" w:hRule="atLeast"/>
                <w:jc w:val="center"/>
              </w:trPr>
              <w:tc>
                <w:tcPr>
                  <w:tcW w:w="2309" w:type="dxa"/>
                  <w:gridSpan w:val="2"/>
                  <w:tcBorders>
                    <w:top w:val="single" w:color="auto" w:sz="4" w:space="0"/>
                    <w:left w:val="single" w:color="auto" w:sz="4" w:space="0"/>
                    <w:bottom w:val="single" w:color="auto" w:sz="4" w:space="0"/>
                    <w:right w:val="single" w:color="auto" w:sz="4" w:space="0"/>
                  </w:tcBorders>
                  <w:vAlign w:val="top"/>
                </w:tcPr>
                <w:p w14:paraId="27155E9F">
                  <w:pPr>
                    <w:keepNext w:val="0"/>
                    <w:keepLines w:val="0"/>
                    <w:suppressLineNumbers w:val="0"/>
                    <w:spacing w:before="56" w:beforeAutospacing="0" w:after="0" w:afterAutospacing="0" w:line="179" w:lineRule="auto"/>
                    <w:ind w:left="1149"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Ⅱ</w:t>
                  </w:r>
                </w:p>
              </w:tc>
              <w:tc>
                <w:tcPr>
                  <w:tcW w:w="6910" w:type="dxa"/>
                  <w:gridSpan w:val="3"/>
                  <w:tcBorders>
                    <w:top w:val="single" w:color="auto" w:sz="4" w:space="0"/>
                    <w:left w:val="single" w:color="auto" w:sz="4" w:space="0"/>
                    <w:bottom w:val="single" w:color="auto" w:sz="4" w:space="0"/>
                    <w:right w:val="single" w:color="auto" w:sz="12" w:space="0"/>
                  </w:tcBorders>
                  <w:vAlign w:val="top"/>
                </w:tcPr>
                <w:p w14:paraId="1D186923">
                  <w:pPr>
                    <w:keepNext w:val="0"/>
                    <w:keepLines w:val="0"/>
                    <w:suppressLineNumbers w:val="0"/>
                    <w:spacing w:before="55" w:beforeAutospacing="0" w:after="0" w:afterAutospacing="0" w:line="180" w:lineRule="auto"/>
                    <w:ind w:left="2826"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50—50000</w:t>
                  </w:r>
                </w:p>
              </w:tc>
            </w:tr>
            <w:tr w14:paraId="7331E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8" w:hRule="atLeast"/>
                <w:jc w:val="center"/>
              </w:trPr>
              <w:tc>
                <w:tcPr>
                  <w:tcW w:w="2309" w:type="dxa"/>
                  <w:gridSpan w:val="2"/>
                  <w:tcBorders>
                    <w:top w:val="single" w:color="auto" w:sz="4" w:space="0"/>
                    <w:left w:val="single" w:color="auto" w:sz="4" w:space="0"/>
                    <w:bottom w:val="single" w:color="auto" w:sz="4" w:space="0"/>
                    <w:right w:val="single" w:color="auto" w:sz="4" w:space="0"/>
                  </w:tcBorders>
                  <w:vAlign w:val="top"/>
                </w:tcPr>
                <w:p w14:paraId="098BFE20">
                  <w:pPr>
                    <w:keepNext w:val="0"/>
                    <w:keepLines w:val="0"/>
                    <w:suppressLineNumbers w:val="0"/>
                    <w:spacing w:before="71" w:beforeAutospacing="0" w:after="0" w:afterAutospacing="0" w:line="186" w:lineRule="auto"/>
                    <w:ind w:left="1118"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Ⅲ</w:t>
                  </w:r>
                </w:p>
              </w:tc>
              <w:tc>
                <w:tcPr>
                  <w:tcW w:w="6910" w:type="dxa"/>
                  <w:gridSpan w:val="3"/>
                  <w:tcBorders>
                    <w:top w:val="single" w:color="auto" w:sz="4" w:space="0"/>
                    <w:left w:val="single" w:color="auto" w:sz="4" w:space="0"/>
                    <w:bottom w:val="single" w:color="auto" w:sz="4" w:space="0"/>
                    <w:right w:val="single" w:color="auto" w:sz="12" w:space="0"/>
                  </w:tcBorders>
                  <w:vAlign w:val="top"/>
                </w:tcPr>
                <w:p w14:paraId="7D21B6F1">
                  <w:pPr>
                    <w:pStyle w:val="43"/>
                    <w:keepNext w:val="0"/>
                    <w:keepLines w:val="0"/>
                    <w:suppressLineNumbers w:val="0"/>
                    <w:spacing w:before="32" w:beforeAutospacing="0" w:after="0" w:afterAutospacing="0" w:line="207" w:lineRule="auto"/>
                    <w:ind w:left="3104"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8"/>
                      <w:sz w:val="21"/>
                      <w:szCs w:val="21"/>
                      <w:highlight w:val="none"/>
                    </w:rPr>
                    <w:t>＜50</w:t>
                  </w:r>
                </w:p>
              </w:tc>
            </w:tr>
            <w:tr w14:paraId="03986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8" w:hRule="atLeast"/>
                <w:jc w:val="center"/>
              </w:trPr>
              <w:tc>
                <w:tcPr>
                  <w:tcW w:w="9219" w:type="dxa"/>
                  <w:gridSpan w:val="5"/>
                  <w:tcBorders>
                    <w:top w:val="single" w:color="auto" w:sz="4" w:space="0"/>
                    <w:left w:val="single" w:color="auto" w:sz="4" w:space="0"/>
                    <w:bottom w:val="single" w:color="auto" w:sz="12" w:space="0"/>
                    <w:right w:val="single" w:color="auto" w:sz="12" w:space="0"/>
                  </w:tcBorders>
                  <w:vAlign w:val="top"/>
                </w:tcPr>
                <w:p w14:paraId="6F712319">
                  <w:pPr>
                    <w:pStyle w:val="43"/>
                    <w:keepNext w:val="0"/>
                    <w:keepLines w:val="0"/>
                    <w:suppressLineNumbers w:val="0"/>
                    <w:spacing w:before="13" w:beforeAutospacing="0" w:after="0" w:afterAutospacing="0" w:line="220" w:lineRule="auto"/>
                    <w:ind w:left="222"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pacing w:val="-2"/>
                      <w:sz w:val="18"/>
                      <w:szCs w:val="18"/>
                      <w:highlight w:val="none"/>
                    </w:rPr>
                    <w:t>注：</w:t>
                  </w:r>
                  <w:r>
                    <w:rPr>
                      <w:rFonts w:hint="default" w:ascii="Times New Roman" w:hAnsi="Times New Roman" w:eastAsia="宋体" w:cs="Times New Roman"/>
                      <w:color w:val="auto"/>
                      <w:spacing w:val="-2"/>
                      <w:position w:val="7"/>
                      <w:sz w:val="12"/>
                      <w:szCs w:val="12"/>
                      <w:highlight w:val="none"/>
                    </w:rPr>
                    <w:t>1</w:t>
                  </w:r>
                  <w:r>
                    <w:rPr>
                      <w:rFonts w:hint="default" w:ascii="Times New Roman" w:hAnsi="Times New Roman" w:eastAsia="宋体" w:cs="Times New Roman"/>
                      <w:color w:val="auto"/>
                      <w:spacing w:val="-2"/>
                      <w:position w:val="7"/>
                      <w:sz w:val="9"/>
                      <w:szCs w:val="9"/>
                      <w:highlight w:val="none"/>
                    </w:rPr>
                    <w:t>）</w:t>
                  </w:r>
                  <w:r>
                    <w:rPr>
                      <w:rFonts w:hint="default" w:ascii="Times New Roman" w:hAnsi="Times New Roman" w:eastAsia="宋体" w:cs="Times New Roman"/>
                      <w:color w:val="auto"/>
                      <w:spacing w:val="-2"/>
                      <w:sz w:val="18"/>
                      <w:szCs w:val="18"/>
                      <w:highlight w:val="none"/>
                    </w:rPr>
                    <w:t>本表和</w:t>
                  </w:r>
                  <w:r>
                    <w:rPr>
                      <w:rFonts w:hint="default" w:ascii="Times New Roman" w:hAnsi="Times New Roman" w:eastAsia="宋体" w:cs="Times New Roman"/>
                      <w:color w:val="auto"/>
                      <w:spacing w:val="-38"/>
                      <w:sz w:val="18"/>
                      <w:szCs w:val="18"/>
                      <w:highlight w:val="none"/>
                    </w:rPr>
                    <w:t xml:space="preserve"> </w:t>
                  </w:r>
                  <w:r>
                    <w:rPr>
                      <w:rFonts w:hint="default" w:ascii="Times New Roman" w:hAnsi="Times New Roman" w:eastAsia="宋体" w:cs="Times New Roman"/>
                      <w:color w:val="auto"/>
                      <w:spacing w:val="-2"/>
                      <w:sz w:val="18"/>
                      <w:szCs w:val="18"/>
                      <w:highlight w:val="none"/>
                    </w:rPr>
                    <w:t>7.3-7、</w:t>
                  </w:r>
                  <w:r>
                    <w:rPr>
                      <w:rFonts w:hint="default" w:ascii="Times New Roman" w:hAnsi="Times New Roman" w:cs="Times New Roman"/>
                      <w:color w:val="auto"/>
                      <w:spacing w:val="-2"/>
                      <w:sz w:val="18"/>
                      <w:szCs w:val="18"/>
                      <w:highlight w:val="none"/>
                      <w:lang w:eastAsia="zh-CN"/>
                    </w:rPr>
                    <w:t>表</w:t>
                  </w:r>
                  <w:r>
                    <w:rPr>
                      <w:rFonts w:hint="default" w:ascii="Times New Roman" w:hAnsi="Times New Roman" w:eastAsia="宋体" w:cs="Times New Roman"/>
                      <w:color w:val="auto"/>
                      <w:spacing w:val="-2"/>
                      <w:sz w:val="18"/>
                      <w:szCs w:val="18"/>
                      <w:highlight w:val="none"/>
                    </w:rPr>
                    <w:t>7.3-8 均依据国际放射防护委员会（ICRP）第</w:t>
                  </w:r>
                  <w:r>
                    <w:rPr>
                      <w:rFonts w:hint="default" w:ascii="Times New Roman" w:hAnsi="Times New Roman" w:eastAsia="宋体" w:cs="Times New Roman"/>
                      <w:color w:val="auto"/>
                      <w:spacing w:val="-24"/>
                      <w:sz w:val="18"/>
                      <w:szCs w:val="18"/>
                      <w:highlight w:val="none"/>
                    </w:rPr>
                    <w:t xml:space="preserve"> </w:t>
                  </w:r>
                  <w:r>
                    <w:rPr>
                      <w:rFonts w:hint="default" w:ascii="Times New Roman" w:hAnsi="Times New Roman" w:eastAsia="宋体" w:cs="Times New Roman"/>
                      <w:color w:val="auto"/>
                      <w:spacing w:val="-2"/>
                      <w:sz w:val="18"/>
                      <w:szCs w:val="18"/>
                      <w:highlight w:val="none"/>
                    </w:rPr>
                    <w:t>57</w:t>
                  </w:r>
                  <w:r>
                    <w:rPr>
                      <w:rFonts w:hint="default" w:ascii="Times New Roman" w:hAnsi="Times New Roman" w:eastAsia="宋体" w:cs="Times New Roman"/>
                      <w:color w:val="auto"/>
                      <w:spacing w:val="13"/>
                      <w:w w:val="102"/>
                      <w:sz w:val="18"/>
                      <w:szCs w:val="18"/>
                      <w:highlight w:val="none"/>
                    </w:rPr>
                    <w:t xml:space="preserve"> </w:t>
                  </w:r>
                  <w:r>
                    <w:rPr>
                      <w:rFonts w:hint="default" w:ascii="Times New Roman" w:hAnsi="Times New Roman" w:eastAsia="宋体" w:cs="Times New Roman"/>
                      <w:color w:val="auto"/>
                      <w:spacing w:val="-2"/>
                      <w:sz w:val="18"/>
                      <w:szCs w:val="18"/>
                      <w:highlight w:val="none"/>
                    </w:rPr>
                    <w:t>号</w:t>
                  </w:r>
                  <w:r>
                    <w:rPr>
                      <w:rFonts w:hint="default" w:ascii="Times New Roman" w:hAnsi="Times New Roman" w:eastAsia="宋体" w:cs="Times New Roman"/>
                      <w:color w:val="auto"/>
                      <w:spacing w:val="-3"/>
                      <w:sz w:val="18"/>
                      <w:szCs w:val="18"/>
                      <w:highlight w:val="none"/>
                    </w:rPr>
                    <w:t>出版物；</w:t>
                  </w:r>
                </w:p>
                <w:p w14:paraId="51048353">
                  <w:pPr>
                    <w:pStyle w:val="43"/>
                    <w:keepNext w:val="0"/>
                    <w:keepLines w:val="0"/>
                    <w:suppressLineNumbers w:val="0"/>
                    <w:spacing w:before="0" w:beforeAutospacing="0" w:after="0" w:afterAutospacing="0" w:line="242" w:lineRule="exact"/>
                    <w:ind w:left="218"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position w:val="8"/>
                      <w:sz w:val="12"/>
                      <w:szCs w:val="12"/>
                      <w:highlight w:val="none"/>
                    </w:rPr>
                    <w:t>2</w:t>
                  </w:r>
                  <w:r>
                    <w:rPr>
                      <w:rFonts w:hint="default" w:ascii="Times New Roman" w:hAnsi="Times New Roman" w:eastAsia="宋体" w:cs="Times New Roman"/>
                      <w:color w:val="auto"/>
                      <w:position w:val="8"/>
                      <w:sz w:val="9"/>
                      <w:szCs w:val="9"/>
                      <w:highlight w:val="none"/>
                    </w:rPr>
                    <w:t>）</w:t>
                  </w:r>
                  <w:r>
                    <w:rPr>
                      <w:rFonts w:hint="default" w:ascii="Times New Roman" w:hAnsi="Times New Roman" w:eastAsia="宋体" w:cs="Times New Roman"/>
                      <w:color w:val="auto"/>
                      <w:position w:val="1"/>
                      <w:sz w:val="18"/>
                      <w:szCs w:val="18"/>
                      <w:highlight w:val="none"/>
                    </w:rPr>
                    <w:t>加权活度=（计划的日操作最大活度×核素的毒性权重因子）/操作性</w:t>
                  </w:r>
                  <w:r>
                    <w:rPr>
                      <w:rFonts w:hint="default" w:ascii="Times New Roman" w:hAnsi="Times New Roman" w:eastAsia="宋体" w:cs="Times New Roman"/>
                      <w:color w:val="auto"/>
                      <w:spacing w:val="-1"/>
                      <w:position w:val="1"/>
                      <w:sz w:val="18"/>
                      <w:szCs w:val="18"/>
                      <w:highlight w:val="none"/>
                    </w:rPr>
                    <w:t>质修因子</w:t>
                  </w:r>
                </w:p>
              </w:tc>
            </w:tr>
            <w:tr w14:paraId="36FC1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7" w:hRule="atLeast"/>
                <w:jc w:val="center"/>
              </w:trPr>
              <w:tc>
                <w:tcPr>
                  <w:tcW w:w="9219" w:type="dxa"/>
                  <w:gridSpan w:val="5"/>
                  <w:tcBorders>
                    <w:top w:val="single" w:color="auto" w:sz="12" w:space="0"/>
                    <w:bottom w:val="single" w:color="auto" w:sz="12" w:space="0"/>
                    <w:tl2br w:val="nil"/>
                    <w:tr2bl w:val="nil"/>
                  </w:tcBorders>
                  <w:vAlign w:val="top"/>
                </w:tcPr>
                <w:p w14:paraId="1992BF7A">
                  <w:pPr>
                    <w:pStyle w:val="43"/>
                    <w:keepNext w:val="0"/>
                    <w:keepLines w:val="0"/>
                    <w:suppressLineNumbers w:val="0"/>
                    <w:spacing w:before="213" w:beforeAutospacing="0" w:after="0" w:afterAutospacing="0" w:line="221" w:lineRule="auto"/>
                    <w:ind w:left="119" w:right="0" w:firstLine="476"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核医学常用放射性核素毒性权重因子和不同操作性质的修正因子分别见</w:t>
                  </w:r>
                  <w:r>
                    <w:rPr>
                      <w:rFonts w:hint="default" w:ascii="Times New Roman" w:hAnsi="Times New Roman" w:eastAsia="宋体" w:cs="Times New Roman"/>
                      <w:color w:val="auto"/>
                      <w:spacing w:val="-1"/>
                      <w:highlight w:val="none"/>
                      <w:lang w:val="en-US" w:eastAsia="zh-CN"/>
                    </w:rPr>
                    <w:t>表7-6</w:t>
                  </w:r>
                  <w:r>
                    <w:rPr>
                      <w:rFonts w:hint="default" w:ascii="Times New Roman" w:hAnsi="Times New Roman" w:eastAsia="宋体" w:cs="Times New Roman"/>
                      <w:color w:val="auto"/>
                      <w:spacing w:val="-2"/>
                      <w:highlight w:val="none"/>
                    </w:rPr>
                    <w:t>和表7</w:t>
                  </w:r>
                  <w:r>
                    <w:rPr>
                      <w:rFonts w:hint="default" w:ascii="Times New Roman" w:hAnsi="Times New Roman" w:eastAsia="宋体" w:cs="Times New Roman"/>
                      <w:color w:val="auto"/>
                      <w:spacing w:val="-2"/>
                      <w:highlight w:val="none"/>
                      <w:lang w:val="en-US" w:eastAsia="zh-CN"/>
                    </w:rPr>
                    <w:t>-7</w:t>
                  </w:r>
                  <w:r>
                    <w:rPr>
                      <w:rFonts w:hint="default" w:ascii="Times New Roman" w:hAnsi="Times New Roman" w:eastAsia="宋体" w:cs="Times New Roman"/>
                      <w:color w:val="auto"/>
                      <w:spacing w:val="-2"/>
                      <w:highlight w:val="none"/>
                    </w:rPr>
                    <w:t>。</w:t>
                  </w:r>
                </w:p>
                <w:p w14:paraId="58D3406E">
                  <w:pPr>
                    <w:pStyle w:val="43"/>
                    <w:keepNext w:val="0"/>
                    <w:keepLines w:val="0"/>
                    <w:suppressLineNumbers w:val="0"/>
                    <w:spacing w:before="53" w:beforeAutospacing="0" w:after="0" w:afterAutospacing="0" w:line="213" w:lineRule="auto"/>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表7</w:t>
                  </w:r>
                  <w:r>
                    <w:rPr>
                      <w:rFonts w:hint="default" w:ascii="Times New Roman" w:hAnsi="Times New Roman" w:eastAsia="宋体" w:cs="Times New Roman"/>
                      <w:b/>
                      <w:bCs/>
                      <w:color w:val="auto"/>
                      <w:spacing w:val="-2"/>
                      <w:highlight w:val="none"/>
                      <w:lang w:val="en-US" w:eastAsia="zh-CN"/>
                    </w:rPr>
                    <w:t xml:space="preserve">-6  </w:t>
                  </w:r>
                  <w:r>
                    <w:rPr>
                      <w:rFonts w:hint="default" w:ascii="Times New Roman" w:hAnsi="Times New Roman" w:eastAsia="宋体" w:cs="Times New Roman"/>
                      <w:b/>
                      <w:bCs/>
                      <w:color w:val="auto"/>
                      <w:spacing w:val="-2"/>
                      <w:highlight w:val="none"/>
                    </w:rPr>
                    <w:t>医学常用放射性核素的毒性权重因子</w:t>
                  </w:r>
                </w:p>
              </w:tc>
            </w:tr>
            <w:tr w14:paraId="315A6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2" w:hRule="atLeast"/>
                <w:jc w:val="center"/>
              </w:trPr>
              <w:tc>
                <w:tcPr>
                  <w:tcW w:w="920" w:type="dxa"/>
                  <w:tcBorders>
                    <w:top w:val="single" w:color="auto" w:sz="12" w:space="0"/>
                    <w:left w:val="single" w:color="auto" w:sz="12" w:space="0"/>
                    <w:bottom w:val="single" w:color="auto" w:sz="4" w:space="0"/>
                    <w:right w:val="single" w:color="auto" w:sz="4" w:space="0"/>
                  </w:tcBorders>
                  <w:vAlign w:val="top"/>
                </w:tcPr>
                <w:p w14:paraId="007321EC">
                  <w:pPr>
                    <w:pStyle w:val="43"/>
                    <w:keepNext w:val="0"/>
                    <w:keepLines w:val="0"/>
                    <w:suppressLineNumbers w:val="0"/>
                    <w:spacing w:before="158" w:beforeAutospacing="0" w:after="0" w:afterAutospacing="0" w:line="221" w:lineRule="auto"/>
                    <w:ind w:left="31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4"/>
                      <w:sz w:val="21"/>
                      <w:szCs w:val="21"/>
                      <w:highlight w:val="none"/>
                    </w:rPr>
                    <w:t>类别</w:t>
                  </w:r>
                </w:p>
              </w:tc>
              <w:tc>
                <w:tcPr>
                  <w:tcW w:w="6616" w:type="dxa"/>
                  <w:gridSpan w:val="3"/>
                  <w:tcBorders>
                    <w:top w:val="single" w:color="auto" w:sz="12" w:space="0"/>
                    <w:left w:val="single" w:color="auto" w:sz="4" w:space="0"/>
                    <w:bottom w:val="single" w:color="auto" w:sz="4" w:space="0"/>
                    <w:right w:val="single" w:color="auto" w:sz="4" w:space="0"/>
                  </w:tcBorders>
                  <w:vAlign w:val="top"/>
                </w:tcPr>
                <w:p w14:paraId="01EE42C8">
                  <w:pPr>
                    <w:pStyle w:val="43"/>
                    <w:keepNext w:val="0"/>
                    <w:keepLines w:val="0"/>
                    <w:suppressLineNumbers w:val="0"/>
                    <w:spacing w:before="158" w:beforeAutospacing="0" w:after="0" w:afterAutospacing="0" w:line="221" w:lineRule="auto"/>
                    <w:ind w:left="2806"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3"/>
                      <w:sz w:val="21"/>
                      <w:szCs w:val="21"/>
                      <w:highlight w:val="none"/>
                    </w:rPr>
                    <w:t>放射性核素</w:t>
                  </w:r>
                </w:p>
              </w:tc>
              <w:tc>
                <w:tcPr>
                  <w:tcW w:w="1683" w:type="dxa"/>
                  <w:tcBorders>
                    <w:top w:val="single" w:color="auto" w:sz="12" w:space="0"/>
                    <w:left w:val="single" w:color="auto" w:sz="4" w:space="0"/>
                    <w:bottom w:val="single" w:color="auto" w:sz="4" w:space="0"/>
                    <w:right w:val="single" w:color="auto" w:sz="12" w:space="0"/>
                  </w:tcBorders>
                  <w:vAlign w:val="top"/>
                </w:tcPr>
                <w:p w14:paraId="29C1AAF0">
                  <w:pPr>
                    <w:pStyle w:val="43"/>
                    <w:keepNext w:val="0"/>
                    <w:keepLines w:val="0"/>
                    <w:suppressLineNumbers w:val="0"/>
                    <w:spacing w:before="23" w:beforeAutospacing="0" w:after="0" w:afterAutospacing="0" w:line="223" w:lineRule="auto"/>
                    <w:ind w:left="474" w:right="241" w:hanging="33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4"/>
                      <w:sz w:val="21"/>
                      <w:szCs w:val="21"/>
                      <w:highlight w:val="none"/>
                    </w:rPr>
                    <w:t>核素的毒性</w:t>
                  </w:r>
                  <w:r>
                    <w:rPr>
                      <w:rFonts w:hint="default" w:ascii="Times New Roman" w:hAnsi="Times New Roman" w:eastAsia="宋体" w:cs="Times New Roman"/>
                      <w:b/>
                      <w:bCs/>
                      <w:color w:val="auto"/>
                      <w:spacing w:val="-8"/>
                      <w:sz w:val="21"/>
                      <w:szCs w:val="21"/>
                      <w:highlight w:val="none"/>
                    </w:rPr>
                    <w:t>因子</w:t>
                  </w:r>
                </w:p>
              </w:tc>
            </w:tr>
            <w:tr w14:paraId="1D04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atLeast"/>
                <w:jc w:val="center"/>
              </w:trPr>
              <w:tc>
                <w:tcPr>
                  <w:tcW w:w="920" w:type="dxa"/>
                  <w:tcBorders>
                    <w:top w:val="single" w:color="auto" w:sz="4" w:space="0"/>
                    <w:left w:val="single" w:color="auto" w:sz="12" w:space="0"/>
                    <w:bottom w:val="single" w:color="auto" w:sz="4" w:space="0"/>
                    <w:right w:val="single" w:color="auto" w:sz="4" w:space="0"/>
                  </w:tcBorders>
                  <w:vAlign w:val="top"/>
                </w:tcPr>
                <w:p w14:paraId="2BC505DC">
                  <w:pPr>
                    <w:keepNext w:val="0"/>
                    <w:keepLines w:val="0"/>
                    <w:suppressLineNumbers w:val="0"/>
                    <w:spacing w:before="71" w:beforeAutospacing="0" w:after="0" w:afterAutospacing="0" w:line="187" w:lineRule="auto"/>
                    <w:ind w:left="44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A</w:t>
                  </w:r>
                </w:p>
              </w:tc>
              <w:tc>
                <w:tcPr>
                  <w:tcW w:w="6616" w:type="dxa"/>
                  <w:gridSpan w:val="3"/>
                  <w:tcBorders>
                    <w:top w:val="single" w:color="auto" w:sz="4" w:space="0"/>
                    <w:left w:val="single" w:color="auto" w:sz="4" w:space="0"/>
                    <w:bottom w:val="single" w:color="auto" w:sz="4" w:space="0"/>
                    <w:right w:val="single" w:color="auto" w:sz="4" w:space="0"/>
                  </w:tcBorders>
                  <w:vAlign w:val="top"/>
                </w:tcPr>
                <w:p w14:paraId="326BA268">
                  <w:pPr>
                    <w:pStyle w:val="43"/>
                    <w:keepNext w:val="0"/>
                    <w:keepLines w:val="0"/>
                    <w:suppressLineNumbers w:val="0"/>
                    <w:spacing w:before="51" w:beforeAutospacing="0" w:after="0" w:afterAutospacing="0" w:line="189" w:lineRule="auto"/>
                    <w:ind w:left="1243"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position w:val="4"/>
                      <w:sz w:val="13"/>
                      <w:szCs w:val="13"/>
                      <w:highlight w:val="none"/>
                    </w:rPr>
                    <w:t>75</w:t>
                  </w:r>
                  <w:r>
                    <w:rPr>
                      <w:rFonts w:hint="default" w:ascii="Times New Roman" w:hAnsi="Times New Roman" w:eastAsia="宋体" w:cs="Times New Roman"/>
                      <w:color w:val="auto"/>
                      <w:spacing w:val="-1"/>
                      <w:position w:val="-2"/>
                      <w:sz w:val="21"/>
                      <w:szCs w:val="21"/>
                      <w:highlight w:val="none"/>
                    </w:rPr>
                    <w:t>Se、</w:t>
                  </w:r>
                  <w:r>
                    <w:rPr>
                      <w:rFonts w:hint="default" w:ascii="Times New Roman" w:hAnsi="Times New Roman" w:eastAsia="宋体" w:cs="Times New Roman"/>
                      <w:color w:val="auto"/>
                      <w:spacing w:val="-1"/>
                      <w:position w:val="4"/>
                      <w:sz w:val="13"/>
                      <w:szCs w:val="13"/>
                      <w:highlight w:val="none"/>
                      <w:vertAlign w:val="superscript"/>
                      <w:lang w:eastAsia="zh-CN"/>
                    </w:rPr>
                    <w:t>90</w:t>
                  </w:r>
                  <w:r>
                    <w:rPr>
                      <w:rFonts w:hint="default" w:ascii="Times New Roman" w:hAnsi="Times New Roman" w:eastAsia="宋体" w:cs="Times New Roman"/>
                      <w:color w:val="auto"/>
                      <w:spacing w:val="-1"/>
                      <w:position w:val="-2"/>
                      <w:sz w:val="21"/>
                      <w:szCs w:val="21"/>
                      <w:highlight w:val="none"/>
                    </w:rPr>
                    <w:t>Sr、</w:t>
                  </w:r>
                  <w:r>
                    <w:rPr>
                      <w:rFonts w:hint="default" w:ascii="Times New Roman" w:hAnsi="Times New Roman" w:eastAsia="宋体" w:cs="Times New Roman"/>
                      <w:color w:val="auto"/>
                      <w:spacing w:val="-1"/>
                      <w:position w:val="4"/>
                      <w:sz w:val="13"/>
                      <w:szCs w:val="13"/>
                      <w:highlight w:val="none"/>
                      <w:vertAlign w:val="superscript"/>
                    </w:rPr>
                    <w:t>125</w:t>
                  </w:r>
                  <w:r>
                    <w:rPr>
                      <w:rFonts w:hint="default" w:ascii="Times New Roman" w:hAnsi="Times New Roman" w:eastAsia="宋体" w:cs="Times New Roman"/>
                      <w:color w:val="auto"/>
                      <w:spacing w:val="-1"/>
                      <w:position w:val="-2"/>
                      <w:sz w:val="21"/>
                      <w:szCs w:val="21"/>
                      <w:highlight w:val="none"/>
                    </w:rPr>
                    <w:t>I、</w:t>
                  </w:r>
                  <w:r>
                    <w:rPr>
                      <w:rFonts w:hint="eastAsia" w:ascii="Times New Roman" w:hAnsi="Times New Roman" w:cs="Times New Roman"/>
                      <w:color w:val="auto"/>
                      <w:spacing w:val="-1"/>
                      <w:position w:val="4"/>
                      <w:sz w:val="13"/>
                      <w:szCs w:val="13"/>
                      <w:highlight w:val="none"/>
                      <w:vertAlign w:val="baseline"/>
                      <w:lang w:eastAsia="zh-CN"/>
                    </w:rPr>
                    <w:t>I-131</w:t>
                  </w:r>
                  <w:r>
                    <w:rPr>
                      <w:rFonts w:hint="default" w:ascii="Times New Roman" w:hAnsi="Times New Roman" w:eastAsia="宋体" w:cs="Times New Roman"/>
                      <w:color w:val="auto"/>
                      <w:spacing w:val="-1"/>
                      <w:position w:val="-2"/>
                      <w:sz w:val="21"/>
                      <w:szCs w:val="21"/>
                      <w:highlight w:val="none"/>
                    </w:rPr>
                    <w:t>、</w:t>
                  </w:r>
                  <w:r>
                    <w:rPr>
                      <w:rFonts w:hint="default" w:ascii="Times New Roman" w:hAnsi="Times New Roman" w:eastAsia="宋体" w:cs="Times New Roman"/>
                      <w:color w:val="auto"/>
                      <w:spacing w:val="-1"/>
                      <w:position w:val="4"/>
                      <w:sz w:val="13"/>
                      <w:szCs w:val="13"/>
                      <w:highlight w:val="none"/>
                    </w:rPr>
                    <w:t>32</w:t>
                  </w:r>
                  <w:r>
                    <w:rPr>
                      <w:rFonts w:hint="default" w:ascii="Times New Roman" w:hAnsi="Times New Roman" w:eastAsia="宋体" w:cs="Times New Roman"/>
                      <w:color w:val="auto"/>
                      <w:spacing w:val="-1"/>
                      <w:position w:val="-2"/>
                      <w:sz w:val="21"/>
                      <w:szCs w:val="21"/>
                      <w:highlight w:val="none"/>
                    </w:rPr>
                    <w:t>P、</w:t>
                  </w:r>
                  <w:r>
                    <w:rPr>
                      <w:rFonts w:hint="default" w:ascii="Times New Roman" w:hAnsi="Times New Roman" w:eastAsia="宋体" w:cs="Times New Roman"/>
                      <w:color w:val="auto"/>
                      <w:spacing w:val="-1"/>
                      <w:position w:val="4"/>
                      <w:sz w:val="13"/>
                      <w:szCs w:val="13"/>
                      <w:highlight w:val="none"/>
                    </w:rPr>
                    <w:t>90</w:t>
                  </w:r>
                  <w:r>
                    <w:rPr>
                      <w:rFonts w:hint="default" w:ascii="Times New Roman" w:hAnsi="Times New Roman" w:eastAsia="宋体" w:cs="Times New Roman"/>
                      <w:color w:val="auto"/>
                      <w:spacing w:val="-1"/>
                      <w:position w:val="-2"/>
                      <w:sz w:val="21"/>
                      <w:szCs w:val="21"/>
                      <w:highlight w:val="none"/>
                    </w:rPr>
                    <w:t>Y、</w:t>
                  </w:r>
                  <w:r>
                    <w:rPr>
                      <w:rFonts w:hint="default" w:ascii="Times New Roman" w:hAnsi="Times New Roman" w:eastAsia="宋体" w:cs="Times New Roman"/>
                      <w:color w:val="auto"/>
                      <w:spacing w:val="-1"/>
                      <w:position w:val="4"/>
                      <w:sz w:val="13"/>
                      <w:szCs w:val="13"/>
                      <w:highlight w:val="none"/>
                    </w:rPr>
                    <w:t>99</w:t>
                  </w:r>
                  <w:r>
                    <w:rPr>
                      <w:rFonts w:hint="default" w:ascii="Times New Roman" w:hAnsi="Times New Roman" w:eastAsia="宋体" w:cs="Times New Roman"/>
                      <w:color w:val="auto"/>
                      <w:spacing w:val="-1"/>
                      <w:position w:val="-2"/>
                      <w:sz w:val="21"/>
                      <w:szCs w:val="21"/>
                      <w:highlight w:val="none"/>
                    </w:rPr>
                    <w:t>Mo、</w:t>
                  </w:r>
                  <w:r>
                    <w:rPr>
                      <w:rFonts w:hint="default" w:ascii="Times New Roman" w:hAnsi="Times New Roman" w:eastAsia="宋体" w:cs="Times New Roman"/>
                      <w:color w:val="auto"/>
                      <w:spacing w:val="-1"/>
                      <w:position w:val="4"/>
                      <w:sz w:val="13"/>
                      <w:szCs w:val="13"/>
                      <w:highlight w:val="none"/>
                    </w:rPr>
                    <w:t>153</w:t>
                  </w:r>
                  <w:r>
                    <w:rPr>
                      <w:rFonts w:hint="default" w:ascii="Times New Roman" w:hAnsi="Times New Roman" w:eastAsia="宋体" w:cs="Times New Roman"/>
                      <w:color w:val="auto"/>
                      <w:spacing w:val="-1"/>
                      <w:position w:val="-2"/>
                      <w:sz w:val="21"/>
                      <w:szCs w:val="21"/>
                      <w:highlight w:val="none"/>
                    </w:rPr>
                    <w:t>Sm</w:t>
                  </w:r>
                </w:p>
              </w:tc>
              <w:tc>
                <w:tcPr>
                  <w:tcW w:w="1683" w:type="dxa"/>
                  <w:tcBorders>
                    <w:top w:val="single" w:color="auto" w:sz="4" w:space="0"/>
                    <w:left w:val="single" w:color="auto" w:sz="4" w:space="0"/>
                    <w:bottom w:val="single" w:color="auto" w:sz="4" w:space="0"/>
                    <w:right w:val="single" w:color="auto" w:sz="12" w:space="0"/>
                  </w:tcBorders>
                  <w:vAlign w:val="top"/>
                </w:tcPr>
                <w:p w14:paraId="5D15118B">
                  <w:pPr>
                    <w:keepNext w:val="0"/>
                    <w:keepLines w:val="0"/>
                    <w:suppressLineNumbers w:val="0"/>
                    <w:spacing w:before="71" w:beforeAutospacing="0" w:after="0" w:afterAutospacing="0" w:line="187" w:lineRule="auto"/>
                    <w:ind w:left="528"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6"/>
                      <w:sz w:val="21"/>
                      <w:szCs w:val="21"/>
                      <w:highlight w:val="none"/>
                    </w:rPr>
                    <w:t>100</w:t>
                  </w:r>
                </w:p>
              </w:tc>
            </w:tr>
            <w:tr w14:paraId="53921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8" w:hRule="atLeast"/>
                <w:jc w:val="center"/>
              </w:trPr>
              <w:tc>
                <w:tcPr>
                  <w:tcW w:w="920" w:type="dxa"/>
                  <w:tcBorders>
                    <w:top w:val="single" w:color="auto" w:sz="4" w:space="0"/>
                    <w:left w:val="single" w:color="auto" w:sz="12" w:space="0"/>
                    <w:bottom w:val="single" w:color="auto" w:sz="4" w:space="0"/>
                    <w:right w:val="single" w:color="auto" w:sz="4" w:space="0"/>
                  </w:tcBorders>
                  <w:vAlign w:val="top"/>
                </w:tcPr>
                <w:p w14:paraId="1902749C">
                  <w:pPr>
                    <w:keepNext w:val="0"/>
                    <w:keepLines w:val="0"/>
                    <w:suppressLineNumbers w:val="0"/>
                    <w:spacing w:before="74" w:beforeAutospacing="0" w:after="0" w:afterAutospacing="0" w:line="184" w:lineRule="auto"/>
                    <w:ind w:left="447"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B</w:t>
                  </w:r>
                </w:p>
              </w:tc>
              <w:tc>
                <w:tcPr>
                  <w:tcW w:w="6616" w:type="dxa"/>
                  <w:gridSpan w:val="3"/>
                  <w:tcBorders>
                    <w:top w:val="single" w:color="auto" w:sz="4" w:space="0"/>
                    <w:left w:val="single" w:color="auto" w:sz="4" w:space="0"/>
                    <w:bottom w:val="single" w:color="auto" w:sz="4" w:space="0"/>
                    <w:right w:val="single" w:color="auto" w:sz="4" w:space="0"/>
                  </w:tcBorders>
                  <w:vAlign w:val="top"/>
                </w:tcPr>
                <w:p w14:paraId="1F299755">
                  <w:pPr>
                    <w:pStyle w:val="43"/>
                    <w:keepNext w:val="0"/>
                    <w:keepLines w:val="0"/>
                    <w:suppressLineNumbers w:val="0"/>
                    <w:spacing w:before="50" w:beforeAutospacing="0" w:after="0" w:afterAutospacing="0" w:line="191" w:lineRule="auto"/>
                    <w:ind w:left="37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position w:val="4"/>
                      <w:sz w:val="13"/>
                      <w:szCs w:val="13"/>
                      <w:highlight w:val="none"/>
                    </w:rPr>
                    <w:t>11</w:t>
                  </w:r>
                  <w:r>
                    <w:rPr>
                      <w:rFonts w:hint="default" w:ascii="Times New Roman" w:hAnsi="Times New Roman" w:eastAsia="宋体" w:cs="Times New Roman"/>
                      <w:color w:val="auto"/>
                      <w:spacing w:val="-1"/>
                      <w:position w:val="-2"/>
                      <w:sz w:val="21"/>
                      <w:szCs w:val="21"/>
                      <w:highlight w:val="none"/>
                    </w:rPr>
                    <w:t>C、</w:t>
                  </w:r>
                  <w:r>
                    <w:rPr>
                      <w:rFonts w:hint="default" w:ascii="Times New Roman" w:hAnsi="Times New Roman" w:eastAsia="宋体" w:cs="Times New Roman"/>
                      <w:color w:val="auto"/>
                      <w:spacing w:val="-1"/>
                      <w:position w:val="4"/>
                      <w:sz w:val="13"/>
                      <w:szCs w:val="13"/>
                      <w:highlight w:val="none"/>
                    </w:rPr>
                    <w:t>13</w:t>
                  </w:r>
                  <w:r>
                    <w:rPr>
                      <w:rFonts w:hint="default" w:ascii="Times New Roman" w:hAnsi="Times New Roman" w:eastAsia="宋体" w:cs="Times New Roman"/>
                      <w:color w:val="auto"/>
                      <w:spacing w:val="-1"/>
                      <w:position w:val="-2"/>
                      <w:sz w:val="21"/>
                      <w:szCs w:val="21"/>
                      <w:highlight w:val="none"/>
                    </w:rPr>
                    <w:t>N、</w:t>
                  </w:r>
                  <w:r>
                    <w:rPr>
                      <w:rFonts w:hint="default" w:ascii="Times New Roman" w:hAnsi="Times New Roman" w:eastAsia="宋体" w:cs="Times New Roman"/>
                      <w:color w:val="auto"/>
                      <w:spacing w:val="-1"/>
                      <w:position w:val="4"/>
                      <w:sz w:val="13"/>
                      <w:szCs w:val="13"/>
                      <w:highlight w:val="none"/>
                    </w:rPr>
                    <w:t>15</w:t>
                  </w:r>
                  <w:r>
                    <w:rPr>
                      <w:rFonts w:hint="default" w:ascii="Times New Roman" w:hAnsi="Times New Roman" w:eastAsia="宋体" w:cs="Times New Roman"/>
                      <w:color w:val="auto"/>
                      <w:spacing w:val="-1"/>
                      <w:position w:val="-2"/>
                      <w:sz w:val="21"/>
                      <w:szCs w:val="21"/>
                      <w:highlight w:val="none"/>
                    </w:rPr>
                    <w:t>O、</w:t>
                  </w:r>
                  <w:r>
                    <w:rPr>
                      <w:rFonts w:hint="eastAsia" w:ascii="Times New Roman" w:hAnsi="Times New Roman" w:cs="Times New Roman"/>
                      <w:color w:val="auto"/>
                      <w:spacing w:val="-1"/>
                      <w:position w:val="4"/>
                      <w:sz w:val="13"/>
                      <w:szCs w:val="13"/>
                      <w:highlight w:val="none"/>
                      <w:vertAlign w:val="baseline"/>
                      <w:lang w:eastAsia="zh-CN"/>
                    </w:rPr>
                    <w:t>F-18</w:t>
                  </w:r>
                  <w:r>
                    <w:rPr>
                      <w:rFonts w:hint="default" w:ascii="Times New Roman" w:hAnsi="Times New Roman" w:eastAsia="宋体" w:cs="Times New Roman"/>
                      <w:color w:val="auto"/>
                      <w:spacing w:val="-1"/>
                      <w:position w:val="-2"/>
                      <w:sz w:val="21"/>
                      <w:szCs w:val="21"/>
                      <w:highlight w:val="none"/>
                    </w:rPr>
                    <w:t>、</w:t>
                  </w:r>
                  <w:r>
                    <w:rPr>
                      <w:rFonts w:hint="default" w:ascii="Times New Roman" w:hAnsi="Times New Roman" w:eastAsia="宋体" w:cs="Times New Roman"/>
                      <w:color w:val="auto"/>
                      <w:spacing w:val="-1"/>
                      <w:position w:val="4"/>
                      <w:sz w:val="13"/>
                      <w:szCs w:val="13"/>
                      <w:highlight w:val="none"/>
                    </w:rPr>
                    <w:t>51</w:t>
                  </w:r>
                  <w:r>
                    <w:rPr>
                      <w:rFonts w:hint="default" w:ascii="Times New Roman" w:hAnsi="Times New Roman" w:eastAsia="宋体" w:cs="Times New Roman"/>
                      <w:color w:val="auto"/>
                      <w:spacing w:val="-1"/>
                      <w:position w:val="-2"/>
                      <w:sz w:val="21"/>
                      <w:szCs w:val="21"/>
                      <w:highlight w:val="none"/>
                    </w:rPr>
                    <w:t>Cr、</w:t>
                  </w:r>
                  <w:r>
                    <w:rPr>
                      <w:rFonts w:hint="default" w:ascii="Times New Roman" w:hAnsi="Times New Roman" w:eastAsia="宋体" w:cs="Times New Roman"/>
                      <w:color w:val="auto"/>
                      <w:spacing w:val="-1"/>
                      <w:position w:val="4"/>
                      <w:sz w:val="13"/>
                      <w:szCs w:val="13"/>
                      <w:highlight w:val="none"/>
                    </w:rPr>
                    <w:t>67</w:t>
                  </w:r>
                  <w:r>
                    <w:rPr>
                      <w:rFonts w:hint="default" w:ascii="Times New Roman" w:hAnsi="Times New Roman" w:eastAsia="宋体" w:cs="Times New Roman"/>
                      <w:color w:val="auto"/>
                      <w:spacing w:val="-1"/>
                      <w:position w:val="-2"/>
                      <w:sz w:val="21"/>
                      <w:szCs w:val="21"/>
                      <w:highlight w:val="none"/>
                    </w:rPr>
                    <w:t>Ga、</w:t>
                  </w:r>
                  <w:r>
                    <w:rPr>
                      <w:rFonts w:hint="default" w:ascii="Times New Roman" w:hAnsi="Times New Roman" w:eastAsia="宋体" w:cs="Times New Roman"/>
                      <w:color w:val="auto"/>
                      <w:spacing w:val="-1"/>
                      <w:position w:val="4"/>
                      <w:sz w:val="13"/>
                      <w:szCs w:val="13"/>
                      <w:highlight w:val="none"/>
                      <w:vertAlign w:val="superscript"/>
                    </w:rPr>
                    <w:t>99m</w:t>
                  </w:r>
                  <w:r>
                    <w:rPr>
                      <w:rFonts w:hint="default" w:ascii="Times New Roman" w:hAnsi="Times New Roman" w:eastAsia="宋体" w:cs="Times New Roman"/>
                      <w:color w:val="auto"/>
                      <w:spacing w:val="-1"/>
                      <w:position w:val="-2"/>
                      <w:sz w:val="21"/>
                      <w:szCs w:val="21"/>
                      <w:highlight w:val="none"/>
                    </w:rPr>
                    <w:t>Tc、</w:t>
                  </w:r>
                  <w:r>
                    <w:rPr>
                      <w:rFonts w:hint="default" w:ascii="Times New Roman" w:hAnsi="Times New Roman" w:eastAsia="宋体" w:cs="Times New Roman"/>
                      <w:color w:val="auto"/>
                      <w:spacing w:val="-1"/>
                      <w:position w:val="4"/>
                      <w:sz w:val="13"/>
                      <w:szCs w:val="13"/>
                      <w:highlight w:val="none"/>
                    </w:rPr>
                    <w:t>111</w:t>
                  </w:r>
                  <w:r>
                    <w:rPr>
                      <w:rFonts w:hint="default" w:ascii="Times New Roman" w:hAnsi="Times New Roman" w:eastAsia="宋体" w:cs="Times New Roman"/>
                      <w:color w:val="auto"/>
                      <w:spacing w:val="-1"/>
                      <w:position w:val="-2"/>
                      <w:sz w:val="21"/>
                      <w:szCs w:val="21"/>
                      <w:highlight w:val="none"/>
                    </w:rPr>
                    <w:t>In、</w:t>
                  </w:r>
                  <w:r>
                    <w:rPr>
                      <w:rFonts w:hint="default" w:ascii="Times New Roman" w:hAnsi="Times New Roman" w:eastAsia="宋体" w:cs="Times New Roman"/>
                      <w:color w:val="auto"/>
                      <w:spacing w:val="-1"/>
                      <w:position w:val="4"/>
                      <w:sz w:val="13"/>
                      <w:szCs w:val="13"/>
                      <w:highlight w:val="none"/>
                    </w:rPr>
                    <w:t>12</w:t>
                  </w:r>
                  <w:r>
                    <w:rPr>
                      <w:rFonts w:hint="default" w:ascii="Times New Roman" w:hAnsi="Times New Roman" w:eastAsia="宋体" w:cs="Times New Roman"/>
                      <w:color w:val="auto"/>
                      <w:spacing w:val="-2"/>
                      <w:position w:val="4"/>
                      <w:sz w:val="13"/>
                      <w:szCs w:val="13"/>
                      <w:highlight w:val="none"/>
                    </w:rPr>
                    <w:t>3</w:t>
                  </w:r>
                  <w:r>
                    <w:rPr>
                      <w:rFonts w:hint="default" w:ascii="Times New Roman" w:hAnsi="Times New Roman" w:eastAsia="宋体" w:cs="Times New Roman"/>
                      <w:color w:val="auto"/>
                      <w:spacing w:val="-2"/>
                      <w:position w:val="-2"/>
                      <w:sz w:val="21"/>
                      <w:szCs w:val="21"/>
                      <w:highlight w:val="none"/>
                    </w:rPr>
                    <w:t>I、</w:t>
                  </w:r>
                  <w:r>
                    <w:rPr>
                      <w:rFonts w:hint="default" w:ascii="Times New Roman" w:hAnsi="Times New Roman" w:eastAsia="宋体" w:cs="Times New Roman"/>
                      <w:color w:val="auto"/>
                      <w:spacing w:val="-2"/>
                      <w:position w:val="4"/>
                      <w:sz w:val="13"/>
                      <w:szCs w:val="13"/>
                      <w:highlight w:val="none"/>
                    </w:rPr>
                    <w:t>201</w:t>
                  </w:r>
                  <w:r>
                    <w:rPr>
                      <w:rFonts w:hint="default" w:ascii="Times New Roman" w:hAnsi="Times New Roman" w:eastAsia="宋体" w:cs="Times New Roman"/>
                      <w:color w:val="auto"/>
                      <w:spacing w:val="-2"/>
                      <w:position w:val="-2"/>
                      <w:sz w:val="21"/>
                      <w:szCs w:val="21"/>
                      <w:highlight w:val="none"/>
                    </w:rPr>
                    <w:t>Tl、</w:t>
                  </w:r>
                  <w:r>
                    <w:rPr>
                      <w:rFonts w:hint="default" w:ascii="Times New Roman" w:hAnsi="Times New Roman" w:eastAsia="宋体" w:cs="Times New Roman"/>
                      <w:color w:val="auto"/>
                      <w:spacing w:val="-2"/>
                      <w:position w:val="4"/>
                      <w:sz w:val="13"/>
                      <w:szCs w:val="13"/>
                      <w:highlight w:val="none"/>
                    </w:rPr>
                    <w:t>111m</w:t>
                  </w:r>
                  <w:r>
                    <w:rPr>
                      <w:rFonts w:hint="default" w:ascii="Times New Roman" w:hAnsi="Times New Roman" w:eastAsia="宋体" w:cs="Times New Roman"/>
                      <w:color w:val="auto"/>
                      <w:spacing w:val="-2"/>
                      <w:position w:val="-2"/>
                      <w:sz w:val="21"/>
                      <w:szCs w:val="21"/>
                      <w:highlight w:val="none"/>
                    </w:rPr>
                    <w:t>In</w:t>
                  </w:r>
                </w:p>
              </w:tc>
              <w:tc>
                <w:tcPr>
                  <w:tcW w:w="1683" w:type="dxa"/>
                  <w:tcBorders>
                    <w:top w:val="single" w:color="auto" w:sz="4" w:space="0"/>
                    <w:left w:val="single" w:color="auto" w:sz="4" w:space="0"/>
                    <w:bottom w:val="single" w:color="auto" w:sz="4" w:space="0"/>
                    <w:right w:val="single" w:color="auto" w:sz="12" w:space="0"/>
                  </w:tcBorders>
                  <w:vAlign w:val="top"/>
                </w:tcPr>
                <w:p w14:paraId="6C8EDF77">
                  <w:pPr>
                    <w:keepNext w:val="0"/>
                    <w:keepLines w:val="0"/>
                    <w:suppressLineNumbers w:val="0"/>
                    <w:spacing w:before="71" w:beforeAutospacing="0" w:after="0" w:afterAutospacing="0" w:line="187" w:lineRule="auto"/>
                    <w:ind w:left="634"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r>
            <w:tr w14:paraId="76B67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20" w:type="dxa"/>
                  <w:tcBorders>
                    <w:top w:val="single" w:color="auto" w:sz="4" w:space="0"/>
                    <w:left w:val="single" w:color="auto" w:sz="12" w:space="0"/>
                    <w:bottom w:val="single" w:color="auto" w:sz="4" w:space="0"/>
                    <w:right w:val="single" w:color="auto" w:sz="4" w:space="0"/>
                  </w:tcBorders>
                  <w:vAlign w:val="top"/>
                </w:tcPr>
                <w:p w14:paraId="0F4A8A24">
                  <w:pPr>
                    <w:keepNext w:val="0"/>
                    <w:keepLines w:val="0"/>
                    <w:suppressLineNumbers w:val="0"/>
                    <w:spacing w:before="71" w:beforeAutospacing="0" w:after="0" w:afterAutospacing="0" w:line="187" w:lineRule="auto"/>
                    <w:ind w:left="45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w:t>
                  </w:r>
                </w:p>
              </w:tc>
              <w:tc>
                <w:tcPr>
                  <w:tcW w:w="6616" w:type="dxa"/>
                  <w:gridSpan w:val="3"/>
                  <w:tcBorders>
                    <w:top w:val="single" w:color="auto" w:sz="4" w:space="0"/>
                    <w:left w:val="single" w:color="auto" w:sz="4" w:space="0"/>
                    <w:bottom w:val="single" w:color="auto" w:sz="4" w:space="0"/>
                    <w:right w:val="single" w:color="auto" w:sz="4" w:space="0"/>
                  </w:tcBorders>
                  <w:vAlign w:val="top"/>
                </w:tcPr>
                <w:p w14:paraId="7CB440B9">
                  <w:pPr>
                    <w:pStyle w:val="43"/>
                    <w:keepNext w:val="0"/>
                    <w:keepLines w:val="0"/>
                    <w:suppressLineNumbers w:val="0"/>
                    <w:spacing w:before="51" w:beforeAutospacing="0" w:after="0" w:afterAutospacing="0" w:line="197" w:lineRule="auto"/>
                    <w:ind w:left="197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position w:val="4"/>
                      <w:sz w:val="13"/>
                      <w:szCs w:val="13"/>
                      <w:highlight w:val="none"/>
                    </w:rPr>
                    <w:t>3</w:t>
                  </w:r>
                  <w:r>
                    <w:rPr>
                      <w:rFonts w:hint="default" w:ascii="Times New Roman" w:hAnsi="Times New Roman" w:eastAsia="宋体" w:cs="Times New Roman"/>
                      <w:color w:val="auto"/>
                      <w:spacing w:val="-2"/>
                      <w:position w:val="-2"/>
                      <w:sz w:val="21"/>
                      <w:szCs w:val="21"/>
                      <w:highlight w:val="none"/>
                    </w:rPr>
                    <w:t>H、</w:t>
                  </w:r>
                  <w:r>
                    <w:rPr>
                      <w:rFonts w:hint="default" w:ascii="Times New Roman" w:hAnsi="Times New Roman" w:eastAsia="宋体" w:cs="Times New Roman"/>
                      <w:color w:val="auto"/>
                      <w:spacing w:val="-2"/>
                      <w:position w:val="4"/>
                      <w:sz w:val="13"/>
                      <w:szCs w:val="13"/>
                      <w:highlight w:val="none"/>
                    </w:rPr>
                    <w:t>14</w:t>
                  </w:r>
                  <w:r>
                    <w:rPr>
                      <w:rFonts w:hint="default" w:ascii="Times New Roman" w:hAnsi="Times New Roman" w:eastAsia="宋体" w:cs="Times New Roman"/>
                      <w:color w:val="auto"/>
                      <w:spacing w:val="-2"/>
                      <w:position w:val="-2"/>
                      <w:sz w:val="21"/>
                      <w:szCs w:val="21"/>
                      <w:highlight w:val="none"/>
                    </w:rPr>
                    <w:t>C、</w:t>
                  </w:r>
                  <w:r>
                    <w:rPr>
                      <w:rFonts w:hint="default" w:ascii="Times New Roman" w:hAnsi="Times New Roman" w:eastAsia="宋体" w:cs="Times New Roman"/>
                      <w:color w:val="auto"/>
                      <w:spacing w:val="-2"/>
                      <w:position w:val="4"/>
                      <w:sz w:val="13"/>
                      <w:szCs w:val="13"/>
                      <w:highlight w:val="none"/>
                    </w:rPr>
                    <w:t>81m</w:t>
                  </w:r>
                  <w:r>
                    <w:rPr>
                      <w:rFonts w:hint="default" w:ascii="Times New Roman" w:hAnsi="Times New Roman" w:eastAsia="宋体" w:cs="Times New Roman"/>
                      <w:color w:val="auto"/>
                      <w:spacing w:val="-2"/>
                      <w:position w:val="-2"/>
                      <w:sz w:val="21"/>
                      <w:szCs w:val="21"/>
                      <w:highlight w:val="none"/>
                    </w:rPr>
                    <w:t>Kr、</w:t>
                  </w:r>
                  <w:r>
                    <w:rPr>
                      <w:rFonts w:hint="default" w:ascii="Times New Roman" w:hAnsi="Times New Roman" w:eastAsia="宋体" w:cs="Times New Roman"/>
                      <w:color w:val="auto"/>
                      <w:spacing w:val="-2"/>
                      <w:position w:val="4"/>
                      <w:sz w:val="13"/>
                      <w:szCs w:val="13"/>
                      <w:highlight w:val="none"/>
                    </w:rPr>
                    <w:t>127</w:t>
                  </w:r>
                  <w:r>
                    <w:rPr>
                      <w:rFonts w:hint="default" w:ascii="Times New Roman" w:hAnsi="Times New Roman" w:eastAsia="宋体" w:cs="Times New Roman"/>
                      <w:color w:val="auto"/>
                      <w:spacing w:val="-2"/>
                      <w:position w:val="-2"/>
                      <w:sz w:val="21"/>
                      <w:szCs w:val="21"/>
                      <w:highlight w:val="none"/>
                    </w:rPr>
                    <w:t>Xe、</w:t>
                  </w:r>
                  <w:r>
                    <w:rPr>
                      <w:rFonts w:hint="default" w:ascii="Times New Roman" w:hAnsi="Times New Roman" w:eastAsia="宋体" w:cs="Times New Roman"/>
                      <w:color w:val="auto"/>
                      <w:spacing w:val="-2"/>
                      <w:position w:val="4"/>
                      <w:sz w:val="13"/>
                      <w:szCs w:val="13"/>
                      <w:highlight w:val="none"/>
                    </w:rPr>
                    <w:t>133</w:t>
                  </w:r>
                  <w:r>
                    <w:rPr>
                      <w:rFonts w:hint="default" w:ascii="Times New Roman" w:hAnsi="Times New Roman" w:eastAsia="宋体" w:cs="Times New Roman"/>
                      <w:color w:val="auto"/>
                      <w:spacing w:val="-2"/>
                      <w:position w:val="-2"/>
                      <w:sz w:val="21"/>
                      <w:szCs w:val="21"/>
                      <w:highlight w:val="none"/>
                    </w:rPr>
                    <w:t>Xe</w:t>
                  </w:r>
                </w:p>
              </w:tc>
              <w:tc>
                <w:tcPr>
                  <w:tcW w:w="1683" w:type="dxa"/>
                  <w:tcBorders>
                    <w:top w:val="single" w:color="auto" w:sz="4" w:space="0"/>
                    <w:left w:val="single" w:color="auto" w:sz="4" w:space="0"/>
                    <w:bottom w:val="single" w:color="auto" w:sz="4" w:space="0"/>
                    <w:right w:val="single" w:color="auto" w:sz="12" w:space="0"/>
                  </w:tcBorders>
                  <w:vAlign w:val="top"/>
                </w:tcPr>
                <w:p w14:paraId="2AF1BAB8">
                  <w:pPr>
                    <w:keepNext w:val="0"/>
                    <w:keepLines w:val="0"/>
                    <w:suppressLineNumbers w:val="0"/>
                    <w:spacing w:before="71" w:beforeAutospacing="0" w:after="0" w:afterAutospacing="0" w:line="187" w:lineRule="auto"/>
                    <w:ind w:left="48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0.01</w:t>
                  </w:r>
                </w:p>
              </w:tc>
            </w:tr>
            <w:tr w14:paraId="25B94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2" w:hRule="atLeast"/>
                <w:jc w:val="center"/>
              </w:trPr>
              <w:tc>
                <w:tcPr>
                  <w:tcW w:w="9219" w:type="dxa"/>
                  <w:gridSpan w:val="5"/>
                  <w:tcBorders>
                    <w:top w:val="single" w:color="auto" w:sz="4" w:space="0"/>
                    <w:left w:val="single" w:color="auto" w:sz="12" w:space="0"/>
                    <w:bottom w:val="single" w:color="auto" w:sz="4" w:space="0"/>
                    <w:right w:val="single" w:color="auto" w:sz="12" w:space="0"/>
                  </w:tcBorders>
                  <w:vAlign w:val="top"/>
                </w:tcPr>
                <w:p w14:paraId="5B3D2827">
                  <w:pPr>
                    <w:pStyle w:val="43"/>
                    <w:keepNext w:val="0"/>
                    <w:keepLines w:val="0"/>
                    <w:suppressLineNumbers w:val="0"/>
                    <w:spacing w:before="29" w:beforeAutospacing="0" w:after="0" w:afterAutospacing="0" w:line="212" w:lineRule="auto"/>
                    <w:ind w:left="0" w:right="0"/>
                    <w:jc w:val="center"/>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表7</w:t>
                  </w:r>
                  <w:r>
                    <w:rPr>
                      <w:rFonts w:hint="default" w:ascii="Times New Roman" w:hAnsi="Times New Roman" w:eastAsia="宋体" w:cs="Times New Roman"/>
                      <w:b/>
                      <w:bCs/>
                      <w:color w:val="auto"/>
                      <w:spacing w:val="-2"/>
                      <w:highlight w:val="none"/>
                      <w:lang w:val="en-US" w:eastAsia="zh-CN"/>
                    </w:rPr>
                    <w:t xml:space="preserve">-7  </w:t>
                  </w:r>
                  <w:r>
                    <w:rPr>
                      <w:rFonts w:hint="default" w:ascii="Times New Roman" w:hAnsi="Times New Roman" w:eastAsia="宋体" w:cs="Times New Roman"/>
                      <w:b/>
                      <w:bCs/>
                      <w:color w:val="auto"/>
                      <w:spacing w:val="-2"/>
                      <w:highlight w:val="none"/>
                    </w:rPr>
                    <w:t>不同操作性质的修正因子</w:t>
                  </w:r>
                </w:p>
              </w:tc>
            </w:tr>
            <w:tr w14:paraId="3A3FA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7" w:hRule="atLeast"/>
                <w:jc w:val="center"/>
              </w:trPr>
              <w:tc>
                <w:tcPr>
                  <w:tcW w:w="5079" w:type="dxa"/>
                  <w:gridSpan w:val="3"/>
                  <w:tcBorders>
                    <w:top w:val="single" w:color="auto" w:sz="4" w:space="0"/>
                    <w:left w:val="single" w:color="auto" w:sz="12" w:space="0"/>
                    <w:bottom w:val="single" w:color="auto" w:sz="4" w:space="0"/>
                    <w:right w:val="single" w:color="auto" w:sz="4" w:space="0"/>
                  </w:tcBorders>
                  <w:vAlign w:val="top"/>
                </w:tcPr>
                <w:p w14:paraId="2D7775C0">
                  <w:pPr>
                    <w:pStyle w:val="43"/>
                    <w:keepNext w:val="0"/>
                    <w:keepLines w:val="0"/>
                    <w:suppressLineNumbers w:val="0"/>
                    <w:spacing w:before="22" w:beforeAutospacing="0" w:after="0" w:afterAutospacing="0" w:line="206" w:lineRule="auto"/>
                    <w:ind w:left="1876"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3"/>
                      <w:sz w:val="21"/>
                      <w:szCs w:val="21"/>
                      <w:highlight w:val="none"/>
                    </w:rPr>
                    <w:t>操作方式和地区</w:t>
                  </w:r>
                </w:p>
              </w:tc>
              <w:tc>
                <w:tcPr>
                  <w:tcW w:w="4140" w:type="dxa"/>
                  <w:gridSpan w:val="2"/>
                  <w:tcBorders>
                    <w:top w:val="single" w:color="auto" w:sz="4" w:space="0"/>
                    <w:left w:val="single" w:color="auto" w:sz="4" w:space="0"/>
                    <w:bottom w:val="single" w:color="auto" w:sz="4" w:space="0"/>
                    <w:right w:val="single" w:color="auto" w:sz="12" w:space="0"/>
                  </w:tcBorders>
                  <w:vAlign w:val="top"/>
                </w:tcPr>
                <w:p w14:paraId="45D299B1">
                  <w:pPr>
                    <w:pStyle w:val="43"/>
                    <w:keepNext w:val="0"/>
                    <w:keepLines w:val="0"/>
                    <w:suppressLineNumbers w:val="0"/>
                    <w:spacing w:before="22" w:beforeAutospacing="0" w:after="0" w:afterAutospacing="0" w:line="206" w:lineRule="auto"/>
                    <w:ind w:left="106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2"/>
                      <w:sz w:val="21"/>
                      <w:szCs w:val="21"/>
                      <w:highlight w:val="none"/>
                    </w:rPr>
                    <w:t>操作性质修正因子</w:t>
                  </w:r>
                </w:p>
              </w:tc>
            </w:tr>
            <w:tr w14:paraId="3419F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7" w:hRule="atLeast"/>
                <w:jc w:val="center"/>
              </w:trPr>
              <w:tc>
                <w:tcPr>
                  <w:tcW w:w="5079" w:type="dxa"/>
                  <w:gridSpan w:val="3"/>
                  <w:tcBorders>
                    <w:top w:val="single" w:color="auto" w:sz="4" w:space="0"/>
                    <w:left w:val="single" w:color="auto" w:sz="12" w:space="0"/>
                    <w:bottom w:val="single" w:color="auto" w:sz="4" w:space="0"/>
                    <w:right w:val="single" w:color="auto" w:sz="4" w:space="0"/>
                  </w:tcBorders>
                  <w:vAlign w:val="top"/>
                </w:tcPr>
                <w:p w14:paraId="7CCA6453">
                  <w:pPr>
                    <w:pStyle w:val="43"/>
                    <w:keepNext w:val="0"/>
                    <w:keepLines w:val="0"/>
                    <w:suppressLineNumbers w:val="0"/>
                    <w:spacing w:before="33" w:beforeAutospacing="0" w:after="0" w:afterAutospacing="0" w:line="204" w:lineRule="auto"/>
                    <w:ind w:left="2406"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贮存</w:t>
                  </w:r>
                </w:p>
              </w:tc>
              <w:tc>
                <w:tcPr>
                  <w:tcW w:w="4140" w:type="dxa"/>
                  <w:gridSpan w:val="2"/>
                  <w:tcBorders>
                    <w:top w:val="single" w:color="auto" w:sz="4" w:space="0"/>
                    <w:left w:val="single" w:color="auto" w:sz="4" w:space="0"/>
                    <w:bottom w:val="single" w:color="auto" w:sz="4" w:space="0"/>
                    <w:right w:val="single" w:color="auto" w:sz="12" w:space="0"/>
                  </w:tcBorders>
                  <w:vAlign w:val="top"/>
                </w:tcPr>
                <w:p w14:paraId="69E995EB">
                  <w:pPr>
                    <w:keepNext w:val="0"/>
                    <w:keepLines w:val="0"/>
                    <w:suppressLineNumbers w:val="0"/>
                    <w:spacing w:before="72" w:beforeAutospacing="0" w:after="0" w:afterAutospacing="0" w:line="187" w:lineRule="auto"/>
                    <w:ind w:left="176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6"/>
                      <w:sz w:val="21"/>
                      <w:szCs w:val="21"/>
                      <w:highlight w:val="none"/>
                    </w:rPr>
                    <w:t>100</w:t>
                  </w:r>
                </w:p>
              </w:tc>
            </w:tr>
            <w:tr w14:paraId="2C99A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6" w:hRule="atLeast"/>
                <w:jc w:val="center"/>
              </w:trPr>
              <w:tc>
                <w:tcPr>
                  <w:tcW w:w="5079" w:type="dxa"/>
                  <w:gridSpan w:val="3"/>
                  <w:tcBorders>
                    <w:top w:val="single" w:color="auto" w:sz="4" w:space="0"/>
                    <w:left w:val="single" w:color="auto" w:sz="12" w:space="0"/>
                    <w:bottom w:val="single" w:color="auto" w:sz="4" w:space="0"/>
                    <w:right w:val="single" w:color="auto" w:sz="4" w:space="0"/>
                  </w:tcBorders>
                  <w:vAlign w:val="top"/>
                </w:tcPr>
                <w:p w14:paraId="5F9E9BC7">
                  <w:pPr>
                    <w:pStyle w:val="43"/>
                    <w:keepNext w:val="0"/>
                    <w:keepLines w:val="0"/>
                    <w:suppressLineNumbers w:val="0"/>
                    <w:spacing w:before="34" w:beforeAutospacing="0" w:after="0" w:afterAutospacing="0" w:line="221" w:lineRule="auto"/>
                    <w:ind w:left="219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废物处理</w:t>
                  </w:r>
                </w:p>
                <w:p w14:paraId="43F1AE58">
                  <w:pPr>
                    <w:pStyle w:val="43"/>
                    <w:keepNext w:val="0"/>
                    <w:keepLines w:val="0"/>
                    <w:suppressLineNumbers w:val="0"/>
                    <w:spacing w:before="21" w:beforeAutospacing="0" w:after="0" w:afterAutospacing="0" w:line="221" w:lineRule="auto"/>
                    <w:ind w:left="179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闪烁法计数和显像</w:t>
                  </w:r>
                </w:p>
                <w:p w14:paraId="4E9C0FF1">
                  <w:pPr>
                    <w:pStyle w:val="43"/>
                    <w:keepNext w:val="0"/>
                    <w:keepLines w:val="0"/>
                    <w:suppressLineNumbers w:val="0"/>
                    <w:spacing w:before="19" w:beforeAutospacing="0" w:after="0" w:afterAutospacing="0" w:line="206" w:lineRule="auto"/>
                    <w:ind w:left="1672"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候诊区及诊断病床区</w:t>
                  </w:r>
                </w:p>
              </w:tc>
              <w:tc>
                <w:tcPr>
                  <w:tcW w:w="4140" w:type="dxa"/>
                  <w:gridSpan w:val="2"/>
                  <w:tcBorders>
                    <w:top w:val="single" w:color="auto" w:sz="4" w:space="0"/>
                    <w:left w:val="single" w:color="auto" w:sz="4" w:space="0"/>
                    <w:bottom w:val="single" w:color="auto" w:sz="4" w:space="0"/>
                    <w:right w:val="single" w:color="auto" w:sz="12" w:space="0"/>
                  </w:tcBorders>
                  <w:vAlign w:val="top"/>
                </w:tcPr>
                <w:p w14:paraId="258694FE">
                  <w:pPr>
                    <w:keepNext w:val="0"/>
                    <w:keepLines w:val="0"/>
                    <w:suppressLineNumbers w:val="0"/>
                    <w:spacing w:before="0" w:beforeAutospacing="0" w:after="0" w:afterAutospacing="0" w:line="284" w:lineRule="auto"/>
                    <w:ind w:left="0" w:right="0"/>
                    <w:rPr>
                      <w:rFonts w:hint="default" w:ascii="Times New Roman" w:hAnsi="Times New Roman" w:eastAsia="宋体" w:cs="Times New Roman"/>
                      <w:color w:val="auto"/>
                      <w:sz w:val="21"/>
                      <w:highlight w:val="none"/>
                    </w:rPr>
                  </w:pPr>
                </w:p>
                <w:p w14:paraId="36A70436">
                  <w:pPr>
                    <w:keepNext w:val="0"/>
                    <w:keepLines w:val="0"/>
                    <w:suppressLineNumbers w:val="0"/>
                    <w:spacing w:before="60" w:beforeAutospacing="0" w:after="0" w:afterAutospacing="0" w:line="187" w:lineRule="auto"/>
                    <w:ind w:left="181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6"/>
                      <w:sz w:val="21"/>
                      <w:szCs w:val="21"/>
                      <w:highlight w:val="none"/>
                    </w:rPr>
                    <w:t>10</w:t>
                  </w:r>
                </w:p>
              </w:tc>
            </w:tr>
            <w:tr w14:paraId="1EB78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6" w:hRule="atLeast"/>
                <w:jc w:val="center"/>
              </w:trPr>
              <w:tc>
                <w:tcPr>
                  <w:tcW w:w="5079" w:type="dxa"/>
                  <w:gridSpan w:val="3"/>
                  <w:tcBorders>
                    <w:top w:val="single" w:color="auto" w:sz="4" w:space="0"/>
                    <w:left w:val="single" w:color="auto" w:sz="12" w:space="0"/>
                    <w:bottom w:val="single" w:color="auto" w:sz="4" w:space="0"/>
                    <w:right w:val="single" w:color="auto" w:sz="4" w:space="0"/>
                  </w:tcBorders>
                  <w:vAlign w:val="top"/>
                </w:tcPr>
                <w:p w14:paraId="3EB8634C">
                  <w:pPr>
                    <w:pStyle w:val="43"/>
                    <w:keepNext w:val="0"/>
                    <w:keepLines w:val="0"/>
                    <w:suppressLineNumbers w:val="0"/>
                    <w:spacing w:before="34" w:beforeAutospacing="0" w:after="0" w:afterAutospacing="0" w:line="221" w:lineRule="auto"/>
                    <w:ind w:left="167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配药、分装及施给药</w:t>
                  </w:r>
                </w:p>
                <w:p w14:paraId="67D17008">
                  <w:pPr>
                    <w:pStyle w:val="43"/>
                    <w:keepNext w:val="0"/>
                    <w:keepLines w:val="0"/>
                    <w:suppressLineNumbers w:val="0"/>
                    <w:spacing w:before="21" w:beforeAutospacing="0" w:after="0" w:afterAutospacing="0" w:line="220" w:lineRule="auto"/>
                    <w:ind w:left="167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简单放射性药物制备</w:t>
                  </w:r>
                </w:p>
                <w:p w14:paraId="18962F37">
                  <w:pPr>
                    <w:pStyle w:val="43"/>
                    <w:keepNext w:val="0"/>
                    <w:keepLines w:val="0"/>
                    <w:suppressLineNumbers w:val="0"/>
                    <w:spacing w:before="20" w:beforeAutospacing="0" w:after="0" w:afterAutospacing="0" w:line="206" w:lineRule="auto"/>
                    <w:ind w:left="2096"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治疗病床区</w:t>
                  </w:r>
                </w:p>
              </w:tc>
              <w:tc>
                <w:tcPr>
                  <w:tcW w:w="4140" w:type="dxa"/>
                  <w:gridSpan w:val="2"/>
                  <w:tcBorders>
                    <w:top w:val="single" w:color="auto" w:sz="4" w:space="0"/>
                    <w:left w:val="single" w:color="auto" w:sz="4" w:space="0"/>
                    <w:bottom w:val="single" w:color="auto" w:sz="4" w:space="0"/>
                    <w:right w:val="single" w:color="auto" w:sz="12" w:space="0"/>
                  </w:tcBorders>
                  <w:vAlign w:val="top"/>
                </w:tcPr>
                <w:p w14:paraId="41116C1C">
                  <w:pPr>
                    <w:keepNext w:val="0"/>
                    <w:keepLines w:val="0"/>
                    <w:suppressLineNumbers w:val="0"/>
                    <w:spacing w:before="0" w:beforeAutospacing="0" w:after="0" w:afterAutospacing="0" w:line="284" w:lineRule="auto"/>
                    <w:ind w:left="0" w:right="0"/>
                    <w:rPr>
                      <w:rFonts w:hint="default" w:ascii="Times New Roman" w:hAnsi="Times New Roman" w:eastAsia="宋体" w:cs="Times New Roman"/>
                      <w:color w:val="auto"/>
                      <w:sz w:val="21"/>
                      <w:highlight w:val="none"/>
                    </w:rPr>
                  </w:pPr>
                </w:p>
                <w:p w14:paraId="6B49A0D9">
                  <w:pPr>
                    <w:keepNext w:val="0"/>
                    <w:keepLines w:val="0"/>
                    <w:suppressLineNumbers w:val="0"/>
                    <w:spacing w:before="60" w:beforeAutospacing="0" w:after="0" w:afterAutospacing="0" w:line="187" w:lineRule="auto"/>
                    <w:ind w:left="1868"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r>
            <w:tr w14:paraId="17EDB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6" w:hRule="atLeast"/>
                <w:jc w:val="center"/>
              </w:trPr>
              <w:tc>
                <w:tcPr>
                  <w:tcW w:w="5079" w:type="dxa"/>
                  <w:gridSpan w:val="3"/>
                  <w:tcBorders>
                    <w:top w:val="single" w:color="auto" w:sz="4" w:space="0"/>
                    <w:left w:val="single" w:color="auto" w:sz="12" w:space="0"/>
                    <w:bottom w:val="single" w:color="auto" w:sz="12" w:space="0"/>
                    <w:right w:val="single" w:color="auto" w:sz="4" w:space="0"/>
                  </w:tcBorders>
                  <w:vAlign w:val="top"/>
                </w:tcPr>
                <w:p w14:paraId="3EEB0018">
                  <w:pPr>
                    <w:pStyle w:val="43"/>
                    <w:keepNext w:val="0"/>
                    <w:keepLines w:val="0"/>
                    <w:suppressLineNumbers w:val="0"/>
                    <w:spacing w:before="34" w:beforeAutospacing="0" w:after="0" w:afterAutospacing="0" w:line="214" w:lineRule="auto"/>
                    <w:ind w:left="1676"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复杂放射性药物制备</w:t>
                  </w:r>
                </w:p>
              </w:tc>
              <w:tc>
                <w:tcPr>
                  <w:tcW w:w="4140" w:type="dxa"/>
                  <w:gridSpan w:val="2"/>
                  <w:tcBorders>
                    <w:top w:val="single" w:color="auto" w:sz="4" w:space="0"/>
                    <w:left w:val="single" w:color="auto" w:sz="4" w:space="0"/>
                    <w:bottom w:val="single" w:color="auto" w:sz="12" w:space="0"/>
                    <w:right w:val="single" w:color="auto" w:sz="12" w:space="0"/>
                  </w:tcBorders>
                  <w:vAlign w:val="top"/>
                </w:tcPr>
                <w:p w14:paraId="72D87484">
                  <w:pPr>
                    <w:keepNext w:val="0"/>
                    <w:keepLines w:val="0"/>
                    <w:suppressLineNumbers w:val="0"/>
                    <w:spacing w:before="72" w:beforeAutospacing="0" w:after="0" w:afterAutospacing="0" w:line="187" w:lineRule="auto"/>
                    <w:ind w:left="1774"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0.1</w:t>
                  </w:r>
                </w:p>
              </w:tc>
            </w:tr>
          </w:tbl>
          <w:p w14:paraId="1C5C4D91">
            <w:pPr>
              <w:pStyle w:val="43"/>
              <w:keepNext w:val="0"/>
              <w:keepLines w:val="0"/>
              <w:suppressLineNumbers w:val="0"/>
              <w:spacing w:before="213" w:beforeAutospacing="0" w:after="0" w:afterAutospacing="0" w:line="360" w:lineRule="auto"/>
              <w:ind w:left="119" w:right="0" w:firstLine="476" w:firstLineChars="200"/>
              <w:jc w:val="both"/>
              <w:rPr>
                <w:rFonts w:hint="default" w:ascii="Times New Roman" w:hAnsi="Times New Roman" w:eastAsia="宋体" w:cs="Times New Roman"/>
                <w:color w:val="auto"/>
                <w:spacing w:val="-1"/>
                <w:highlight w:val="none"/>
              </w:rPr>
            </w:pPr>
            <w:r>
              <w:rPr>
                <w:rFonts w:hint="default" w:ascii="Times New Roman" w:hAnsi="Times New Roman" w:eastAsia="宋体" w:cs="Times New Roman"/>
                <w:color w:val="auto"/>
                <w:spacing w:val="-1"/>
                <w:highlight w:val="none"/>
              </w:rPr>
              <w:t>工作场所室内表面及装备结构的基本放射防护要求见表7-</w:t>
            </w:r>
            <w:r>
              <w:rPr>
                <w:rFonts w:hint="default" w:ascii="Times New Roman" w:hAnsi="Times New Roman" w:eastAsia="宋体" w:cs="Times New Roman"/>
                <w:color w:val="auto"/>
                <w:spacing w:val="-1"/>
                <w:highlight w:val="none"/>
                <w:lang w:val="en-US" w:eastAsia="zh-CN"/>
              </w:rPr>
              <w:t>8</w:t>
            </w:r>
            <w:r>
              <w:rPr>
                <w:rFonts w:hint="default" w:ascii="Times New Roman" w:hAnsi="Times New Roman" w:eastAsia="宋体" w:cs="Times New Roman"/>
                <w:color w:val="auto"/>
                <w:spacing w:val="-1"/>
                <w:highlight w:val="none"/>
              </w:rPr>
              <w:t>。</w:t>
            </w:r>
          </w:p>
          <w:p w14:paraId="4DCA0BF9">
            <w:pPr>
              <w:pStyle w:val="43"/>
              <w:keepNext w:val="0"/>
              <w:keepLines w:val="0"/>
              <w:suppressLineNumbers w:val="0"/>
              <w:spacing w:before="53" w:beforeAutospacing="0" w:after="0" w:afterAutospacing="0" w:line="360" w:lineRule="auto"/>
              <w:ind w:left="0" w:right="0"/>
              <w:jc w:val="center"/>
              <w:rPr>
                <w:rFonts w:hint="default" w:ascii="Times New Roman" w:hAnsi="Times New Roman" w:eastAsia="宋体" w:cs="Times New Roman"/>
                <w:b/>
                <w:bCs/>
                <w:color w:val="auto"/>
                <w:spacing w:val="-2"/>
                <w:highlight w:val="none"/>
              </w:rPr>
            </w:pPr>
            <w:r>
              <w:rPr>
                <w:rFonts w:hint="default" w:ascii="Times New Roman" w:hAnsi="Times New Roman" w:eastAsia="宋体" w:cs="Times New Roman"/>
                <w:b/>
                <w:bCs/>
                <w:color w:val="auto"/>
                <w:spacing w:val="-2"/>
                <w:highlight w:val="none"/>
              </w:rPr>
              <w:t>表7-</w:t>
            </w:r>
            <w:r>
              <w:rPr>
                <w:rFonts w:hint="default" w:ascii="Times New Roman" w:hAnsi="Times New Roman" w:eastAsia="宋体" w:cs="Times New Roman"/>
                <w:b/>
                <w:bCs/>
                <w:color w:val="auto"/>
                <w:spacing w:val="-2"/>
                <w:highlight w:val="none"/>
                <w:lang w:val="en-US" w:eastAsia="zh-CN"/>
              </w:rPr>
              <w:t xml:space="preserve">8  </w:t>
            </w:r>
            <w:r>
              <w:rPr>
                <w:rFonts w:hint="default" w:ascii="Times New Roman" w:hAnsi="Times New Roman" w:eastAsia="宋体" w:cs="Times New Roman"/>
                <w:b/>
                <w:bCs/>
                <w:color w:val="auto"/>
                <w:spacing w:val="-2"/>
                <w:highlight w:val="none"/>
              </w:rPr>
              <w:t>不同核医学工作场所用房室内表面及装备结构的基本放射防护要求</w:t>
            </w:r>
          </w:p>
          <w:tbl>
            <w:tblPr>
              <w:tblStyle w:val="30"/>
              <w:tblW w:w="9250" w:type="dxa"/>
              <w:tblInd w:w="-1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967"/>
              <w:gridCol w:w="2453"/>
              <w:gridCol w:w="2612"/>
              <w:gridCol w:w="2218"/>
            </w:tblGrid>
            <w:tr w14:paraId="3DACB1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967" w:type="dxa"/>
                  <w:vMerge w:val="restart"/>
                  <w:tcBorders>
                    <w:tl2br w:val="nil"/>
                    <w:tr2bl w:val="nil"/>
                  </w:tcBorders>
                  <w:vAlign w:val="top"/>
                </w:tcPr>
                <w:p w14:paraId="1CE46B35">
                  <w:pPr>
                    <w:pStyle w:val="43"/>
                    <w:keepNext w:val="0"/>
                    <w:keepLines w:val="0"/>
                    <w:suppressLineNumbers w:val="0"/>
                    <w:spacing w:before="150" w:beforeAutospacing="0" w:after="0" w:afterAutospacing="0" w:line="221" w:lineRule="auto"/>
                    <w:ind w:left="83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4"/>
                      <w:sz w:val="21"/>
                      <w:szCs w:val="21"/>
                      <w:highlight w:val="none"/>
                    </w:rPr>
                    <w:t>种类</w:t>
                  </w:r>
                </w:p>
              </w:tc>
              <w:tc>
                <w:tcPr>
                  <w:tcW w:w="7283" w:type="dxa"/>
                  <w:gridSpan w:val="3"/>
                  <w:tcBorders>
                    <w:tl2br w:val="nil"/>
                    <w:tr2bl w:val="nil"/>
                  </w:tcBorders>
                  <w:vAlign w:val="top"/>
                </w:tcPr>
                <w:p w14:paraId="6C1775A3">
                  <w:pPr>
                    <w:pStyle w:val="43"/>
                    <w:keepNext w:val="0"/>
                    <w:keepLines w:val="0"/>
                    <w:suppressLineNumbers w:val="0"/>
                    <w:spacing w:before="23" w:beforeAutospacing="0" w:after="0" w:afterAutospacing="0" w:line="206" w:lineRule="auto"/>
                    <w:ind w:left="3268"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5"/>
                      <w:sz w:val="21"/>
                      <w:szCs w:val="21"/>
                      <w:highlight w:val="none"/>
                    </w:rPr>
                    <w:t>分类</w:t>
                  </w:r>
                </w:p>
              </w:tc>
            </w:tr>
            <w:tr w14:paraId="648034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4" w:hRule="atLeast"/>
              </w:trPr>
              <w:tc>
                <w:tcPr>
                  <w:tcW w:w="1967" w:type="dxa"/>
                  <w:vMerge w:val="continue"/>
                  <w:tcBorders>
                    <w:tl2br w:val="nil"/>
                    <w:tr2bl w:val="nil"/>
                  </w:tcBorders>
                  <w:vAlign w:val="top"/>
                </w:tcPr>
                <w:p w14:paraId="2EF4781A">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highlight w:val="none"/>
                    </w:rPr>
                  </w:pPr>
                </w:p>
              </w:tc>
              <w:tc>
                <w:tcPr>
                  <w:tcW w:w="2453" w:type="dxa"/>
                  <w:tcBorders>
                    <w:tl2br w:val="nil"/>
                    <w:tr2bl w:val="nil"/>
                  </w:tcBorders>
                  <w:vAlign w:val="top"/>
                </w:tcPr>
                <w:p w14:paraId="72A46A2A">
                  <w:pPr>
                    <w:keepNext w:val="0"/>
                    <w:keepLines w:val="0"/>
                    <w:suppressLineNumbers w:val="0"/>
                    <w:spacing w:before="56" w:beforeAutospacing="0" w:after="0" w:afterAutospacing="0" w:line="176" w:lineRule="auto"/>
                    <w:ind w:left="1188"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Ⅰ</w:t>
                  </w:r>
                </w:p>
              </w:tc>
              <w:tc>
                <w:tcPr>
                  <w:tcW w:w="2612" w:type="dxa"/>
                  <w:tcBorders>
                    <w:tl2br w:val="nil"/>
                    <w:tr2bl w:val="nil"/>
                  </w:tcBorders>
                  <w:vAlign w:val="top"/>
                </w:tcPr>
                <w:p w14:paraId="410116D6">
                  <w:pPr>
                    <w:keepNext w:val="0"/>
                    <w:keepLines w:val="0"/>
                    <w:suppressLineNumbers w:val="0"/>
                    <w:spacing w:before="56" w:beforeAutospacing="0" w:after="0" w:afterAutospacing="0" w:line="176" w:lineRule="auto"/>
                    <w:ind w:left="1233"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Ⅱ</w:t>
                  </w:r>
                </w:p>
              </w:tc>
              <w:tc>
                <w:tcPr>
                  <w:tcW w:w="2218" w:type="dxa"/>
                  <w:tcBorders>
                    <w:tl2br w:val="nil"/>
                    <w:tr2bl w:val="nil"/>
                  </w:tcBorders>
                  <w:vAlign w:val="top"/>
                </w:tcPr>
                <w:p w14:paraId="03E7035F">
                  <w:pPr>
                    <w:keepNext w:val="0"/>
                    <w:keepLines w:val="0"/>
                    <w:suppressLineNumbers w:val="0"/>
                    <w:spacing w:before="56" w:beforeAutospacing="0" w:after="0" w:afterAutospacing="0" w:line="176" w:lineRule="auto"/>
                    <w:ind w:left="82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Ⅲ</w:t>
                  </w:r>
                </w:p>
              </w:tc>
            </w:tr>
            <w:tr w14:paraId="2F319B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967" w:type="dxa"/>
                  <w:tcBorders>
                    <w:tl2br w:val="nil"/>
                    <w:tr2bl w:val="nil"/>
                  </w:tcBorders>
                  <w:vAlign w:val="top"/>
                </w:tcPr>
                <w:p w14:paraId="5F429172">
                  <w:pPr>
                    <w:pStyle w:val="43"/>
                    <w:keepNext w:val="0"/>
                    <w:keepLines w:val="0"/>
                    <w:suppressLineNumbers w:val="0"/>
                    <w:spacing w:before="36" w:beforeAutospacing="0" w:after="0" w:afterAutospacing="0" w:line="221" w:lineRule="auto"/>
                    <w:ind w:left="627"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结构屏蔽</w:t>
                  </w:r>
                </w:p>
              </w:tc>
              <w:tc>
                <w:tcPr>
                  <w:tcW w:w="2453" w:type="dxa"/>
                  <w:tcBorders>
                    <w:tl2br w:val="nil"/>
                    <w:tr2bl w:val="nil"/>
                  </w:tcBorders>
                  <w:vAlign w:val="top"/>
                </w:tcPr>
                <w:p w14:paraId="0677F361">
                  <w:pPr>
                    <w:pStyle w:val="43"/>
                    <w:keepNext w:val="0"/>
                    <w:keepLines w:val="0"/>
                    <w:suppressLineNumbers w:val="0"/>
                    <w:spacing w:before="37" w:beforeAutospacing="0" w:after="0" w:afterAutospacing="0" w:line="221" w:lineRule="auto"/>
                    <w:ind w:left="103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需要</w:t>
                  </w:r>
                </w:p>
              </w:tc>
              <w:tc>
                <w:tcPr>
                  <w:tcW w:w="2612" w:type="dxa"/>
                  <w:tcBorders>
                    <w:tl2br w:val="nil"/>
                    <w:tr2bl w:val="nil"/>
                  </w:tcBorders>
                  <w:vAlign w:val="top"/>
                </w:tcPr>
                <w:p w14:paraId="25D4006C">
                  <w:pPr>
                    <w:pStyle w:val="43"/>
                    <w:keepNext w:val="0"/>
                    <w:keepLines w:val="0"/>
                    <w:suppressLineNumbers w:val="0"/>
                    <w:spacing w:before="37" w:beforeAutospacing="0" w:after="0" w:afterAutospacing="0" w:line="221" w:lineRule="auto"/>
                    <w:ind w:left="1119"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需要</w:t>
                  </w:r>
                </w:p>
              </w:tc>
              <w:tc>
                <w:tcPr>
                  <w:tcW w:w="2218" w:type="dxa"/>
                  <w:tcBorders>
                    <w:tl2br w:val="nil"/>
                    <w:tr2bl w:val="nil"/>
                  </w:tcBorders>
                  <w:vAlign w:val="top"/>
                </w:tcPr>
                <w:p w14:paraId="5AF363FA">
                  <w:pPr>
                    <w:pStyle w:val="43"/>
                    <w:keepNext w:val="0"/>
                    <w:keepLines w:val="0"/>
                    <w:suppressLineNumbers w:val="0"/>
                    <w:spacing w:before="37" w:beforeAutospacing="0" w:after="0" w:afterAutospacing="0" w:line="221" w:lineRule="auto"/>
                    <w:ind w:left="63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不需要</w:t>
                  </w:r>
                </w:p>
              </w:tc>
            </w:tr>
            <w:tr w14:paraId="75381B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1967" w:type="dxa"/>
                  <w:tcBorders>
                    <w:tl2br w:val="nil"/>
                    <w:tr2bl w:val="nil"/>
                  </w:tcBorders>
                  <w:vAlign w:val="top"/>
                </w:tcPr>
                <w:p w14:paraId="2F4B5CA6">
                  <w:pPr>
                    <w:pStyle w:val="43"/>
                    <w:keepNext w:val="0"/>
                    <w:keepLines w:val="0"/>
                    <w:suppressLineNumbers w:val="0"/>
                    <w:spacing w:before="65" w:beforeAutospacing="0" w:after="0" w:afterAutospacing="0" w:line="208" w:lineRule="auto"/>
                    <w:ind w:left="833"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地面</w:t>
                  </w:r>
                </w:p>
              </w:tc>
              <w:tc>
                <w:tcPr>
                  <w:tcW w:w="2453" w:type="dxa"/>
                  <w:tcBorders>
                    <w:tl2br w:val="nil"/>
                    <w:tr2bl w:val="nil"/>
                  </w:tcBorders>
                  <w:vAlign w:val="top"/>
                </w:tcPr>
                <w:p w14:paraId="76CA334F">
                  <w:pPr>
                    <w:pStyle w:val="43"/>
                    <w:keepNext w:val="0"/>
                    <w:keepLines w:val="0"/>
                    <w:suppressLineNumbers w:val="0"/>
                    <w:spacing w:before="65" w:beforeAutospacing="0" w:after="0" w:afterAutospacing="0" w:line="208" w:lineRule="auto"/>
                    <w:ind w:left="397"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与墙壁接缝无缝隙</w:t>
                  </w:r>
                </w:p>
              </w:tc>
              <w:tc>
                <w:tcPr>
                  <w:tcW w:w="2612" w:type="dxa"/>
                  <w:tcBorders>
                    <w:tl2br w:val="nil"/>
                    <w:tr2bl w:val="nil"/>
                  </w:tcBorders>
                  <w:vAlign w:val="top"/>
                </w:tcPr>
                <w:p w14:paraId="49DC9A0A">
                  <w:pPr>
                    <w:pStyle w:val="43"/>
                    <w:keepNext w:val="0"/>
                    <w:keepLines w:val="0"/>
                    <w:suppressLineNumbers w:val="0"/>
                    <w:spacing w:before="65" w:beforeAutospacing="0" w:after="0" w:afterAutospacing="0" w:line="208" w:lineRule="auto"/>
                    <w:ind w:left="476"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与墙壁接缝无缝隙</w:t>
                  </w:r>
                </w:p>
              </w:tc>
              <w:tc>
                <w:tcPr>
                  <w:tcW w:w="2218" w:type="dxa"/>
                  <w:tcBorders>
                    <w:tl2br w:val="nil"/>
                    <w:tr2bl w:val="nil"/>
                  </w:tcBorders>
                  <w:vAlign w:val="top"/>
                </w:tcPr>
                <w:p w14:paraId="60646749">
                  <w:pPr>
                    <w:pStyle w:val="43"/>
                    <w:keepNext w:val="0"/>
                    <w:keepLines w:val="0"/>
                    <w:suppressLineNumbers w:val="0"/>
                    <w:spacing w:before="65" w:beforeAutospacing="0" w:after="0" w:afterAutospacing="0" w:line="208" w:lineRule="auto"/>
                    <w:ind w:left="64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易清洗</w:t>
                  </w:r>
                </w:p>
              </w:tc>
            </w:tr>
            <w:tr w14:paraId="00FB25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967" w:type="dxa"/>
                  <w:tcBorders>
                    <w:tl2br w:val="nil"/>
                    <w:tr2bl w:val="nil"/>
                  </w:tcBorders>
                  <w:vAlign w:val="top"/>
                </w:tcPr>
                <w:p w14:paraId="1C8A7ACE">
                  <w:pPr>
                    <w:pStyle w:val="43"/>
                    <w:keepNext w:val="0"/>
                    <w:keepLines w:val="0"/>
                    <w:suppressLineNumbers w:val="0"/>
                    <w:spacing w:before="29" w:beforeAutospacing="0" w:after="0" w:afterAutospacing="0" w:line="210" w:lineRule="auto"/>
                    <w:ind w:left="832"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表面</w:t>
                  </w:r>
                </w:p>
              </w:tc>
              <w:tc>
                <w:tcPr>
                  <w:tcW w:w="2453" w:type="dxa"/>
                  <w:tcBorders>
                    <w:tl2br w:val="nil"/>
                    <w:tr2bl w:val="nil"/>
                  </w:tcBorders>
                  <w:vAlign w:val="top"/>
                </w:tcPr>
                <w:p w14:paraId="72100F11">
                  <w:pPr>
                    <w:pStyle w:val="43"/>
                    <w:keepNext w:val="0"/>
                    <w:keepLines w:val="0"/>
                    <w:suppressLineNumbers w:val="0"/>
                    <w:spacing w:before="29" w:beforeAutospacing="0" w:after="0" w:afterAutospacing="0" w:line="210" w:lineRule="auto"/>
                    <w:ind w:left="932"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易清洗</w:t>
                  </w:r>
                </w:p>
              </w:tc>
              <w:tc>
                <w:tcPr>
                  <w:tcW w:w="2612" w:type="dxa"/>
                  <w:tcBorders>
                    <w:tl2br w:val="nil"/>
                    <w:tr2bl w:val="nil"/>
                  </w:tcBorders>
                  <w:vAlign w:val="top"/>
                </w:tcPr>
                <w:p w14:paraId="72591443">
                  <w:pPr>
                    <w:pStyle w:val="43"/>
                    <w:keepNext w:val="0"/>
                    <w:keepLines w:val="0"/>
                    <w:suppressLineNumbers w:val="0"/>
                    <w:spacing w:before="29" w:beforeAutospacing="0" w:after="0" w:afterAutospacing="0" w:line="210" w:lineRule="auto"/>
                    <w:ind w:left="101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易清洗</w:t>
                  </w:r>
                </w:p>
              </w:tc>
              <w:tc>
                <w:tcPr>
                  <w:tcW w:w="2218" w:type="dxa"/>
                  <w:tcBorders>
                    <w:tl2br w:val="nil"/>
                    <w:tr2bl w:val="nil"/>
                  </w:tcBorders>
                  <w:vAlign w:val="top"/>
                </w:tcPr>
                <w:p w14:paraId="0728ED4F">
                  <w:pPr>
                    <w:pStyle w:val="43"/>
                    <w:keepNext w:val="0"/>
                    <w:keepLines w:val="0"/>
                    <w:suppressLineNumbers w:val="0"/>
                    <w:spacing w:before="29" w:beforeAutospacing="0" w:after="0" w:afterAutospacing="0" w:line="210" w:lineRule="auto"/>
                    <w:ind w:left="64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易清洗</w:t>
                  </w:r>
                </w:p>
              </w:tc>
            </w:tr>
            <w:tr w14:paraId="5B5FEE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967" w:type="dxa"/>
                  <w:tcBorders>
                    <w:tl2br w:val="nil"/>
                    <w:tr2bl w:val="nil"/>
                  </w:tcBorders>
                  <w:vAlign w:val="top"/>
                </w:tcPr>
                <w:p w14:paraId="7DF0DE70">
                  <w:pPr>
                    <w:pStyle w:val="43"/>
                    <w:keepNext w:val="0"/>
                    <w:keepLines w:val="0"/>
                    <w:suppressLineNumbers w:val="0"/>
                    <w:spacing w:before="29" w:beforeAutospacing="0" w:after="0" w:afterAutospacing="0" w:line="208" w:lineRule="auto"/>
                    <w:ind w:left="73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分装柜</w:t>
                  </w:r>
                </w:p>
              </w:tc>
              <w:tc>
                <w:tcPr>
                  <w:tcW w:w="2453" w:type="dxa"/>
                  <w:tcBorders>
                    <w:tl2br w:val="nil"/>
                    <w:tr2bl w:val="nil"/>
                  </w:tcBorders>
                  <w:vAlign w:val="top"/>
                </w:tcPr>
                <w:p w14:paraId="5176811C">
                  <w:pPr>
                    <w:pStyle w:val="43"/>
                    <w:keepNext w:val="0"/>
                    <w:keepLines w:val="0"/>
                    <w:suppressLineNumbers w:val="0"/>
                    <w:spacing w:before="29" w:beforeAutospacing="0" w:after="0" w:afterAutospacing="0" w:line="208" w:lineRule="auto"/>
                    <w:ind w:left="103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需要</w:t>
                  </w:r>
                </w:p>
              </w:tc>
              <w:tc>
                <w:tcPr>
                  <w:tcW w:w="2612" w:type="dxa"/>
                  <w:tcBorders>
                    <w:tl2br w:val="nil"/>
                    <w:tr2bl w:val="nil"/>
                  </w:tcBorders>
                  <w:vAlign w:val="top"/>
                </w:tcPr>
                <w:p w14:paraId="06F8AB2B">
                  <w:pPr>
                    <w:pStyle w:val="43"/>
                    <w:keepNext w:val="0"/>
                    <w:keepLines w:val="0"/>
                    <w:suppressLineNumbers w:val="0"/>
                    <w:spacing w:before="29" w:beforeAutospacing="0" w:after="0" w:afterAutospacing="0" w:line="208" w:lineRule="auto"/>
                    <w:ind w:left="1114"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5"/>
                      <w:sz w:val="21"/>
                      <w:szCs w:val="21"/>
                      <w:highlight w:val="none"/>
                    </w:rPr>
                    <w:t>需要</w:t>
                  </w:r>
                </w:p>
              </w:tc>
              <w:tc>
                <w:tcPr>
                  <w:tcW w:w="2218" w:type="dxa"/>
                  <w:tcBorders>
                    <w:tl2br w:val="nil"/>
                    <w:tr2bl w:val="nil"/>
                  </w:tcBorders>
                  <w:vAlign w:val="top"/>
                </w:tcPr>
                <w:p w14:paraId="5399A44B">
                  <w:pPr>
                    <w:pStyle w:val="43"/>
                    <w:keepNext w:val="0"/>
                    <w:keepLines w:val="0"/>
                    <w:suppressLineNumbers w:val="0"/>
                    <w:spacing w:before="29" w:beforeAutospacing="0" w:after="0" w:afterAutospacing="0" w:line="208" w:lineRule="auto"/>
                    <w:ind w:left="63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不必须</w:t>
                  </w:r>
                </w:p>
              </w:tc>
            </w:tr>
            <w:tr w14:paraId="643B1A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967" w:type="dxa"/>
                  <w:tcBorders>
                    <w:tl2br w:val="nil"/>
                    <w:tr2bl w:val="nil"/>
                  </w:tcBorders>
                  <w:vAlign w:val="top"/>
                </w:tcPr>
                <w:p w14:paraId="24CF74A7">
                  <w:pPr>
                    <w:pStyle w:val="43"/>
                    <w:keepNext w:val="0"/>
                    <w:keepLines w:val="0"/>
                    <w:suppressLineNumbers w:val="0"/>
                    <w:spacing w:before="31" w:beforeAutospacing="0" w:after="0" w:afterAutospacing="0" w:line="208" w:lineRule="auto"/>
                    <w:ind w:left="833"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通风</w:t>
                  </w:r>
                </w:p>
              </w:tc>
              <w:tc>
                <w:tcPr>
                  <w:tcW w:w="2453" w:type="dxa"/>
                  <w:tcBorders>
                    <w:tl2br w:val="nil"/>
                    <w:tr2bl w:val="nil"/>
                  </w:tcBorders>
                  <w:vAlign w:val="top"/>
                </w:tcPr>
                <w:p w14:paraId="5467CB00">
                  <w:pPr>
                    <w:pStyle w:val="43"/>
                    <w:keepNext w:val="0"/>
                    <w:keepLines w:val="0"/>
                    <w:suppressLineNumbers w:val="0"/>
                    <w:spacing w:before="31" w:beforeAutospacing="0" w:after="0" w:afterAutospacing="0" w:line="208" w:lineRule="auto"/>
                    <w:ind w:left="498"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特殊的强制通风</w:t>
                  </w:r>
                </w:p>
              </w:tc>
              <w:tc>
                <w:tcPr>
                  <w:tcW w:w="2612" w:type="dxa"/>
                  <w:tcBorders>
                    <w:tl2br w:val="nil"/>
                    <w:tr2bl w:val="nil"/>
                  </w:tcBorders>
                  <w:vAlign w:val="top"/>
                </w:tcPr>
                <w:p w14:paraId="0A9D3B4A">
                  <w:pPr>
                    <w:pStyle w:val="43"/>
                    <w:keepNext w:val="0"/>
                    <w:keepLines w:val="0"/>
                    <w:suppressLineNumbers w:val="0"/>
                    <w:spacing w:before="31" w:beforeAutospacing="0" w:after="0" w:afterAutospacing="0" w:line="208" w:lineRule="auto"/>
                    <w:ind w:left="92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0"/>
                      <w:sz w:val="21"/>
                      <w:szCs w:val="21"/>
                      <w:highlight w:val="none"/>
                    </w:rPr>
                    <w:t>良好通风</w:t>
                  </w:r>
                </w:p>
              </w:tc>
              <w:tc>
                <w:tcPr>
                  <w:tcW w:w="2218" w:type="dxa"/>
                  <w:tcBorders>
                    <w:tl2br w:val="nil"/>
                    <w:tr2bl w:val="nil"/>
                  </w:tcBorders>
                  <w:vAlign w:val="top"/>
                </w:tcPr>
                <w:p w14:paraId="124599DD">
                  <w:pPr>
                    <w:pStyle w:val="43"/>
                    <w:keepNext w:val="0"/>
                    <w:keepLines w:val="0"/>
                    <w:suppressLineNumbers w:val="0"/>
                    <w:spacing w:before="31" w:beforeAutospacing="0" w:after="0" w:afterAutospacing="0" w:line="208" w:lineRule="auto"/>
                    <w:ind w:left="317"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一般自然通风</w:t>
                  </w:r>
                </w:p>
              </w:tc>
            </w:tr>
            <w:tr w14:paraId="1FDB3E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967" w:type="dxa"/>
                  <w:tcBorders>
                    <w:tl2br w:val="nil"/>
                    <w:tr2bl w:val="nil"/>
                  </w:tcBorders>
                  <w:vAlign w:val="top"/>
                </w:tcPr>
                <w:p w14:paraId="1BC39B70">
                  <w:pPr>
                    <w:pStyle w:val="43"/>
                    <w:keepNext w:val="0"/>
                    <w:keepLines w:val="0"/>
                    <w:suppressLineNumbers w:val="0"/>
                    <w:spacing w:before="29" w:beforeAutospacing="0" w:after="0" w:afterAutospacing="0" w:line="210" w:lineRule="auto"/>
                    <w:ind w:left="838"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管道</w:t>
                  </w:r>
                </w:p>
              </w:tc>
              <w:tc>
                <w:tcPr>
                  <w:tcW w:w="2453" w:type="dxa"/>
                  <w:tcBorders>
                    <w:tl2br w:val="nil"/>
                    <w:tr2bl w:val="nil"/>
                  </w:tcBorders>
                  <w:vAlign w:val="top"/>
                </w:tcPr>
                <w:p w14:paraId="38951310">
                  <w:pPr>
                    <w:pStyle w:val="43"/>
                    <w:keepNext w:val="0"/>
                    <w:keepLines w:val="0"/>
                    <w:suppressLineNumbers w:val="0"/>
                    <w:spacing w:before="29" w:beforeAutospacing="0" w:after="0" w:afterAutospacing="0" w:line="210" w:lineRule="auto"/>
                    <w:ind w:left="652" w:right="0"/>
                    <w:rPr>
                      <w:rFonts w:hint="default" w:ascii="Times New Roman" w:hAnsi="Times New Roman" w:eastAsia="宋体" w:cs="Times New Roman"/>
                      <w:color w:val="auto"/>
                      <w:sz w:val="13"/>
                      <w:szCs w:val="13"/>
                      <w:highlight w:val="none"/>
                    </w:rPr>
                  </w:pPr>
                  <w:r>
                    <w:rPr>
                      <w:rFonts w:hint="default" w:ascii="Times New Roman" w:hAnsi="Times New Roman" w:eastAsia="宋体" w:cs="Times New Roman"/>
                      <w:color w:val="auto"/>
                      <w:spacing w:val="-2"/>
                      <w:sz w:val="21"/>
                      <w:szCs w:val="21"/>
                      <w:highlight w:val="none"/>
                    </w:rPr>
                    <w:t>特殊的管道</w:t>
                  </w:r>
                  <w:r>
                    <w:rPr>
                      <w:rFonts w:hint="default" w:ascii="Times New Roman" w:hAnsi="Times New Roman" w:eastAsia="宋体" w:cs="Times New Roman"/>
                      <w:color w:val="auto"/>
                      <w:spacing w:val="-44"/>
                      <w:sz w:val="21"/>
                      <w:szCs w:val="21"/>
                      <w:highlight w:val="none"/>
                    </w:rPr>
                    <w:t xml:space="preserve"> </w:t>
                  </w:r>
                  <w:r>
                    <w:rPr>
                      <w:rFonts w:hint="default" w:ascii="Times New Roman" w:hAnsi="Times New Roman" w:eastAsia="宋体" w:cs="Times New Roman"/>
                      <w:color w:val="auto"/>
                      <w:spacing w:val="-2"/>
                      <w:position w:val="6"/>
                      <w:sz w:val="13"/>
                      <w:szCs w:val="13"/>
                      <w:highlight w:val="none"/>
                    </w:rPr>
                    <w:t>a</w:t>
                  </w:r>
                </w:p>
              </w:tc>
              <w:tc>
                <w:tcPr>
                  <w:tcW w:w="2612" w:type="dxa"/>
                  <w:tcBorders>
                    <w:tl2br w:val="nil"/>
                    <w:tr2bl w:val="nil"/>
                  </w:tcBorders>
                  <w:vAlign w:val="top"/>
                </w:tcPr>
                <w:p w14:paraId="0E251B97">
                  <w:pPr>
                    <w:pStyle w:val="43"/>
                    <w:keepNext w:val="0"/>
                    <w:keepLines w:val="0"/>
                    <w:suppressLineNumbers w:val="0"/>
                    <w:spacing w:before="29" w:beforeAutospacing="0" w:after="0" w:afterAutospacing="0" w:line="210" w:lineRule="auto"/>
                    <w:ind w:left="89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普通管道</w:t>
                  </w:r>
                </w:p>
              </w:tc>
              <w:tc>
                <w:tcPr>
                  <w:tcW w:w="2218" w:type="dxa"/>
                  <w:tcBorders>
                    <w:tl2br w:val="nil"/>
                    <w:tr2bl w:val="nil"/>
                  </w:tcBorders>
                  <w:vAlign w:val="top"/>
                </w:tcPr>
                <w:p w14:paraId="7A6F7FBF">
                  <w:pPr>
                    <w:pStyle w:val="43"/>
                    <w:keepNext w:val="0"/>
                    <w:keepLines w:val="0"/>
                    <w:suppressLineNumbers w:val="0"/>
                    <w:spacing w:before="29" w:beforeAutospacing="0" w:after="0" w:afterAutospacing="0" w:line="210" w:lineRule="auto"/>
                    <w:ind w:left="523"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普通管道</w:t>
                  </w:r>
                </w:p>
              </w:tc>
            </w:tr>
            <w:tr w14:paraId="266E14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967" w:type="dxa"/>
                  <w:tcBorders>
                    <w:tl2br w:val="nil"/>
                    <w:tr2bl w:val="nil"/>
                  </w:tcBorders>
                  <w:vAlign w:val="top"/>
                </w:tcPr>
                <w:p w14:paraId="3C47E272">
                  <w:pPr>
                    <w:pStyle w:val="43"/>
                    <w:keepNext w:val="0"/>
                    <w:keepLines w:val="0"/>
                    <w:suppressLineNumbers w:val="0"/>
                    <w:spacing w:before="29" w:beforeAutospacing="0" w:after="0" w:afterAutospacing="0" w:line="208" w:lineRule="auto"/>
                    <w:ind w:left="516"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盥洗与去污</w:t>
                  </w:r>
                </w:p>
              </w:tc>
              <w:tc>
                <w:tcPr>
                  <w:tcW w:w="2453" w:type="dxa"/>
                  <w:tcBorders>
                    <w:tl2br w:val="nil"/>
                    <w:tr2bl w:val="nil"/>
                  </w:tcBorders>
                  <w:vAlign w:val="top"/>
                </w:tcPr>
                <w:p w14:paraId="68E223A5">
                  <w:pPr>
                    <w:pStyle w:val="43"/>
                    <w:keepNext w:val="0"/>
                    <w:keepLines w:val="0"/>
                    <w:suppressLineNumbers w:val="0"/>
                    <w:spacing w:before="29" w:beforeAutospacing="0" w:after="0" w:afterAutospacing="0" w:line="208" w:lineRule="auto"/>
                    <w:ind w:left="312"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洗手盆</w:t>
                  </w:r>
                  <w:r>
                    <w:rPr>
                      <w:rFonts w:hint="default" w:ascii="Times New Roman" w:hAnsi="Times New Roman" w:eastAsia="宋体" w:cs="Times New Roman"/>
                      <w:color w:val="auto"/>
                      <w:spacing w:val="-45"/>
                      <w:sz w:val="21"/>
                      <w:szCs w:val="21"/>
                      <w:highlight w:val="none"/>
                    </w:rPr>
                    <w:t xml:space="preserve"> </w:t>
                  </w:r>
                  <w:r>
                    <w:rPr>
                      <w:rFonts w:hint="default" w:ascii="Times New Roman" w:hAnsi="Times New Roman" w:eastAsia="宋体" w:cs="Times New Roman"/>
                      <w:color w:val="auto"/>
                      <w:spacing w:val="-2"/>
                      <w:position w:val="6"/>
                      <w:sz w:val="13"/>
                      <w:szCs w:val="13"/>
                      <w:highlight w:val="none"/>
                    </w:rPr>
                    <w:t>b</w:t>
                  </w:r>
                  <w:r>
                    <w:rPr>
                      <w:rFonts w:hint="default" w:ascii="Times New Roman" w:hAnsi="Times New Roman" w:eastAsia="宋体" w:cs="Times New Roman"/>
                      <w:color w:val="auto"/>
                      <w:spacing w:val="13"/>
                      <w:position w:val="6"/>
                      <w:sz w:val="13"/>
                      <w:szCs w:val="13"/>
                      <w:highlight w:val="none"/>
                    </w:rPr>
                    <w:t xml:space="preserve"> </w:t>
                  </w:r>
                  <w:r>
                    <w:rPr>
                      <w:rFonts w:hint="default" w:ascii="Times New Roman" w:hAnsi="Times New Roman" w:eastAsia="宋体" w:cs="Times New Roman"/>
                      <w:color w:val="auto"/>
                      <w:spacing w:val="-2"/>
                      <w:sz w:val="21"/>
                      <w:szCs w:val="21"/>
                      <w:highlight w:val="none"/>
                    </w:rPr>
                    <w:t>和去污设备</w:t>
                  </w:r>
                </w:p>
              </w:tc>
              <w:tc>
                <w:tcPr>
                  <w:tcW w:w="2612" w:type="dxa"/>
                  <w:tcBorders>
                    <w:tl2br w:val="nil"/>
                    <w:tr2bl w:val="nil"/>
                  </w:tcBorders>
                  <w:vAlign w:val="top"/>
                </w:tcPr>
                <w:p w14:paraId="18E46B98">
                  <w:pPr>
                    <w:pStyle w:val="43"/>
                    <w:keepNext w:val="0"/>
                    <w:keepLines w:val="0"/>
                    <w:suppressLineNumbers w:val="0"/>
                    <w:spacing w:before="29" w:beforeAutospacing="0" w:after="0" w:afterAutospacing="0" w:line="208" w:lineRule="auto"/>
                    <w:ind w:left="437"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洗手盆</w:t>
                  </w:r>
                  <w:r>
                    <w:rPr>
                      <w:rFonts w:hint="default" w:ascii="Times New Roman" w:hAnsi="Times New Roman" w:eastAsia="宋体" w:cs="Times New Roman"/>
                      <w:color w:val="auto"/>
                      <w:spacing w:val="-1"/>
                      <w:position w:val="6"/>
                      <w:sz w:val="13"/>
                      <w:szCs w:val="13"/>
                      <w:highlight w:val="none"/>
                    </w:rPr>
                    <w:t>b</w:t>
                  </w:r>
                  <w:r>
                    <w:rPr>
                      <w:rFonts w:hint="default" w:ascii="Times New Roman" w:hAnsi="Times New Roman" w:eastAsia="宋体" w:cs="Times New Roman"/>
                      <w:color w:val="auto"/>
                      <w:spacing w:val="-1"/>
                      <w:sz w:val="21"/>
                      <w:szCs w:val="21"/>
                      <w:highlight w:val="none"/>
                    </w:rPr>
                    <w:t>和去污设备</w:t>
                  </w:r>
                </w:p>
              </w:tc>
              <w:tc>
                <w:tcPr>
                  <w:tcW w:w="2218" w:type="dxa"/>
                  <w:tcBorders>
                    <w:tl2br w:val="nil"/>
                    <w:tr2bl w:val="nil"/>
                  </w:tcBorders>
                  <w:vAlign w:val="top"/>
                </w:tcPr>
                <w:p w14:paraId="1654C28F">
                  <w:pPr>
                    <w:pStyle w:val="43"/>
                    <w:keepNext w:val="0"/>
                    <w:keepLines w:val="0"/>
                    <w:suppressLineNumbers w:val="0"/>
                    <w:spacing w:before="29" w:beforeAutospacing="0" w:after="0" w:afterAutospacing="0" w:line="208" w:lineRule="auto"/>
                    <w:ind w:left="567" w:right="0"/>
                    <w:rPr>
                      <w:rFonts w:hint="default" w:ascii="Times New Roman" w:hAnsi="Times New Roman" w:eastAsia="宋体" w:cs="Times New Roman"/>
                      <w:color w:val="auto"/>
                      <w:sz w:val="13"/>
                      <w:szCs w:val="13"/>
                      <w:highlight w:val="none"/>
                    </w:rPr>
                  </w:pPr>
                  <w:r>
                    <w:rPr>
                      <w:rFonts w:hint="default" w:ascii="Times New Roman" w:hAnsi="Times New Roman" w:eastAsia="宋体" w:cs="Times New Roman"/>
                      <w:color w:val="auto"/>
                      <w:spacing w:val="-1"/>
                      <w:sz w:val="21"/>
                      <w:szCs w:val="21"/>
                      <w:highlight w:val="none"/>
                    </w:rPr>
                    <w:t>洗手盆</w:t>
                  </w:r>
                  <w:r>
                    <w:rPr>
                      <w:rFonts w:hint="default" w:ascii="Times New Roman" w:hAnsi="Times New Roman" w:eastAsia="宋体" w:cs="Times New Roman"/>
                      <w:color w:val="auto"/>
                      <w:spacing w:val="-51"/>
                      <w:sz w:val="21"/>
                      <w:szCs w:val="21"/>
                      <w:highlight w:val="none"/>
                    </w:rPr>
                    <w:t xml:space="preserve"> </w:t>
                  </w:r>
                  <w:r>
                    <w:rPr>
                      <w:rFonts w:hint="default" w:ascii="Times New Roman" w:hAnsi="Times New Roman" w:eastAsia="宋体" w:cs="Times New Roman"/>
                      <w:color w:val="auto"/>
                      <w:spacing w:val="-1"/>
                      <w:position w:val="6"/>
                      <w:sz w:val="13"/>
                      <w:szCs w:val="13"/>
                      <w:highlight w:val="none"/>
                    </w:rPr>
                    <w:t>b</w:t>
                  </w:r>
                </w:p>
              </w:tc>
            </w:tr>
            <w:tr w14:paraId="0CDE30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9250" w:type="dxa"/>
                  <w:gridSpan w:val="4"/>
                  <w:tcBorders>
                    <w:tl2br w:val="nil"/>
                    <w:tr2bl w:val="nil"/>
                  </w:tcBorders>
                  <w:vAlign w:val="top"/>
                </w:tcPr>
                <w:p w14:paraId="3F6D362E">
                  <w:pPr>
                    <w:pStyle w:val="43"/>
                    <w:keepNext w:val="0"/>
                    <w:keepLines w:val="0"/>
                    <w:suppressLineNumbers w:val="0"/>
                    <w:spacing w:before="147" w:beforeAutospacing="0" w:after="0" w:afterAutospacing="0" w:line="220" w:lineRule="auto"/>
                    <w:ind w:left="228"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pacing w:val="-2"/>
                      <w:sz w:val="18"/>
                      <w:szCs w:val="18"/>
                      <w:highlight w:val="none"/>
                    </w:rPr>
                    <w:t>*注</w:t>
                  </w:r>
                  <w:r>
                    <w:rPr>
                      <w:rFonts w:hint="eastAsia" w:ascii="Times New Roman" w:hAnsi="Times New Roman" w:cs="Times New Roman"/>
                      <w:color w:val="auto"/>
                      <w:spacing w:val="-2"/>
                      <w:sz w:val="18"/>
                      <w:szCs w:val="18"/>
                      <w:highlight w:val="none"/>
                      <w:lang w:eastAsia="zh-CN"/>
                    </w:rPr>
                    <w:t>：</w:t>
                  </w:r>
                  <w:r>
                    <w:rPr>
                      <w:rFonts w:hint="default" w:ascii="Times New Roman" w:hAnsi="Times New Roman" w:eastAsia="宋体" w:cs="Times New Roman"/>
                      <w:color w:val="auto"/>
                      <w:spacing w:val="-2"/>
                      <w:sz w:val="12"/>
                      <w:szCs w:val="12"/>
                      <w:highlight w:val="none"/>
                    </w:rPr>
                    <w:t>a</w:t>
                  </w:r>
                  <w:r>
                    <w:rPr>
                      <w:rFonts w:hint="default" w:ascii="Times New Roman" w:hAnsi="Times New Roman" w:eastAsia="宋体" w:cs="Times New Roman"/>
                      <w:color w:val="auto"/>
                      <w:spacing w:val="14"/>
                      <w:w w:val="102"/>
                      <w:sz w:val="12"/>
                      <w:szCs w:val="12"/>
                      <w:highlight w:val="none"/>
                    </w:rPr>
                    <w:t xml:space="preserve"> </w:t>
                  </w:r>
                  <w:r>
                    <w:rPr>
                      <w:rFonts w:hint="default" w:ascii="Times New Roman" w:hAnsi="Times New Roman" w:eastAsia="宋体" w:cs="Times New Roman"/>
                      <w:color w:val="auto"/>
                      <w:spacing w:val="-2"/>
                      <w:sz w:val="18"/>
                      <w:szCs w:val="18"/>
                      <w:highlight w:val="none"/>
                    </w:rPr>
                    <w:t>下水道宜短，大水流管道应有标记以便维修检测。</w:t>
                  </w:r>
                </w:p>
                <w:p w14:paraId="6B5413FF">
                  <w:pPr>
                    <w:pStyle w:val="43"/>
                    <w:keepNext w:val="0"/>
                    <w:keepLines w:val="0"/>
                    <w:suppressLineNumbers w:val="0"/>
                    <w:spacing w:before="18" w:beforeAutospacing="0" w:after="0" w:afterAutospacing="0" w:line="219" w:lineRule="auto"/>
                    <w:ind w:left="575" w:right="0"/>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pacing w:val="-2"/>
                      <w:position w:val="5"/>
                      <w:sz w:val="12"/>
                      <w:szCs w:val="12"/>
                      <w:highlight w:val="none"/>
                    </w:rPr>
                    <w:t>b</w:t>
                  </w:r>
                  <w:r>
                    <w:rPr>
                      <w:rFonts w:hint="default" w:ascii="Times New Roman" w:hAnsi="Times New Roman" w:eastAsia="宋体" w:cs="Times New Roman"/>
                      <w:color w:val="auto"/>
                      <w:spacing w:val="23"/>
                      <w:w w:val="102"/>
                      <w:position w:val="5"/>
                      <w:sz w:val="12"/>
                      <w:szCs w:val="12"/>
                      <w:highlight w:val="none"/>
                    </w:rPr>
                    <w:t xml:space="preserve"> </w:t>
                  </w:r>
                  <w:r>
                    <w:rPr>
                      <w:rFonts w:hint="default" w:ascii="Times New Roman" w:hAnsi="Times New Roman" w:eastAsia="宋体" w:cs="Times New Roman"/>
                      <w:color w:val="auto"/>
                      <w:spacing w:val="-2"/>
                      <w:sz w:val="18"/>
                      <w:szCs w:val="18"/>
                      <w:highlight w:val="none"/>
                    </w:rPr>
                    <w:t>洗手盆应为感应式或脚踏式等手部非接触开关控制。</w:t>
                  </w:r>
                </w:p>
              </w:tc>
            </w:tr>
          </w:tbl>
          <w:p w14:paraId="256399D2">
            <w:pPr>
              <w:pStyle w:val="43"/>
              <w:keepNext w:val="0"/>
              <w:keepLines w:val="0"/>
              <w:suppressLineNumbers w:val="0"/>
              <w:spacing w:before="184" w:beforeLines="0" w:beforeAutospacing="0" w:after="0" w:afterLines="0" w:afterAutospacing="0" w:line="220" w:lineRule="auto"/>
              <w:ind w:left="115"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color w:val="auto"/>
                <w:spacing w:val="-2"/>
                <w:sz w:val="24"/>
                <w:szCs w:val="24"/>
                <w:highlight w:val="none"/>
              </w:rPr>
              <w:t>7.3.4 表面放射性污染的控制水平</w:t>
            </w:r>
          </w:p>
          <w:p w14:paraId="317B6411">
            <w:pPr>
              <w:pStyle w:val="43"/>
              <w:keepNext w:val="0"/>
              <w:keepLines w:val="0"/>
              <w:suppressLineNumbers w:val="0"/>
              <w:spacing w:before="215" w:beforeAutospacing="0" w:after="0" w:afterAutospacing="0" w:line="360" w:lineRule="auto"/>
              <w:ind w:left="134" w:right="210" w:firstLine="463"/>
              <w:jc w:val="both"/>
              <w:rPr>
                <w:rFonts w:hint="default" w:ascii="Times New Roman" w:hAnsi="Times New Roman" w:eastAsia="宋体" w:cs="Times New Roman"/>
                <w:b/>
                <w:bCs w:val="0"/>
                <w:color w:val="auto"/>
                <w:spacing w:val="-1"/>
                <w:highlight w:val="none"/>
              </w:rPr>
            </w:pPr>
            <w:r>
              <w:rPr>
                <w:rFonts w:hint="default" w:ascii="Times New Roman" w:hAnsi="Times New Roman" w:eastAsia="宋体" w:cs="Times New Roman"/>
                <w:b/>
                <w:bCs w:val="0"/>
                <w:color w:val="auto"/>
                <w:spacing w:val="-4"/>
                <w:sz w:val="24"/>
                <w:szCs w:val="24"/>
                <w:highlight w:val="none"/>
              </w:rPr>
              <w:t>根据《核医学放射防护要求》（GBZ120-2020</w:t>
            </w:r>
            <w:r>
              <w:rPr>
                <w:rFonts w:hint="default" w:ascii="Times New Roman" w:hAnsi="Times New Roman" w:eastAsia="宋体" w:cs="Times New Roman"/>
                <w:b/>
                <w:bCs w:val="0"/>
                <w:color w:val="auto"/>
                <w:spacing w:val="1"/>
                <w:sz w:val="24"/>
                <w:szCs w:val="24"/>
                <w:highlight w:val="none"/>
              </w:rPr>
              <w:t>）</w:t>
            </w:r>
            <w:r>
              <w:rPr>
                <w:rFonts w:hint="default" w:ascii="Times New Roman" w:hAnsi="Times New Roman" w:eastAsia="宋体" w:cs="Times New Roman"/>
                <w:b/>
                <w:bCs w:val="0"/>
                <w:color w:val="auto"/>
                <w:spacing w:val="-1"/>
                <w:highlight w:val="none"/>
              </w:rPr>
              <w:t>中</w:t>
            </w:r>
            <w:r>
              <w:rPr>
                <w:rFonts w:hint="default" w:ascii="Times New Roman" w:hAnsi="Times New Roman" w:cs="Times New Roman"/>
                <w:b/>
                <w:bCs w:val="0"/>
                <w:color w:val="auto"/>
                <w:spacing w:val="-1"/>
                <w:highlight w:val="none"/>
                <w:lang w:eastAsia="zh-CN"/>
              </w:rPr>
              <w:t>表</w:t>
            </w:r>
            <w:r>
              <w:rPr>
                <w:rFonts w:hint="default" w:ascii="Times New Roman" w:hAnsi="Times New Roman" w:eastAsia="宋体" w:cs="Times New Roman"/>
                <w:b/>
                <w:bCs w:val="0"/>
                <w:color w:val="auto"/>
                <w:spacing w:val="-1"/>
                <w:highlight w:val="none"/>
              </w:rPr>
              <w:t>2 的规定，对于工作场所的放射性表面污染，应满足</w:t>
            </w:r>
            <w:r>
              <w:rPr>
                <w:rFonts w:hint="default" w:ascii="Times New Roman" w:hAnsi="Times New Roman" w:eastAsia="宋体" w:cs="Times New Roman"/>
                <w:b/>
                <w:bCs w:val="0"/>
                <w:color w:val="auto"/>
                <w:spacing w:val="-2"/>
                <w:highlight w:val="none"/>
              </w:rPr>
              <w:t>表7-</w:t>
            </w:r>
            <w:r>
              <w:rPr>
                <w:rFonts w:hint="default" w:ascii="Times New Roman" w:hAnsi="Times New Roman" w:eastAsia="宋体" w:cs="Times New Roman"/>
                <w:b/>
                <w:bCs w:val="0"/>
                <w:color w:val="auto"/>
                <w:spacing w:val="-2"/>
                <w:highlight w:val="none"/>
                <w:lang w:val="en-US" w:eastAsia="zh-CN"/>
              </w:rPr>
              <w:t>9</w:t>
            </w:r>
            <w:r>
              <w:rPr>
                <w:rFonts w:hint="default" w:ascii="Times New Roman" w:hAnsi="Times New Roman" w:eastAsia="宋体" w:cs="Times New Roman"/>
                <w:b/>
                <w:bCs w:val="0"/>
                <w:color w:val="auto"/>
                <w:spacing w:val="-1"/>
                <w:highlight w:val="none"/>
              </w:rPr>
              <w:t>的控制水平。</w:t>
            </w:r>
          </w:p>
          <w:p w14:paraId="404E2C36">
            <w:pPr>
              <w:pStyle w:val="43"/>
              <w:keepNext w:val="0"/>
              <w:keepLines w:val="0"/>
              <w:suppressLineNumbers w:val="0"/>
              <w:spacing w:before="215" w:beforeLines="0" w:beforeAutospacing="0" w:after="0" w:afterLines="0" w:afterAutospacing="0" w:line="360" w:lineRule="auto"/>
              <w:ind w:left="0" w:right="0" w:firstLine="474" w:firstLineChars="200"/>
              <w:jc w:val="center"/>
              <w:rPr>
                <w:rFonts w:hint="default" w:ascii="Times New Roman" w:hAnsi="Times New Roman" w:eastAsia="宋体" w:cs="Times New Roman"/>
                <w:color w:val="auto"/>
                <w:spacing w:val="-4"/>
                <w:sz w:val="21"/>
                <w:szCs w:val="21"/>
                <w:highlight w:val="none"/>
              </w:rPr>
            </w:pPr>
            <w:r>
              <w:rPr>
                <w:rFonts w:hint="default" w:ascii="Times New Roman" w:hAnsi="Times New Roman" w:eastAsia="宋体" w:cs="Times New Roman"/>
                <w:b/>
                <w:bCs/>
                <w:color w:val="auto"/>
                <w:spacing w:val="-2"/>
                <w:highlight w:val="none"/>
              </w:rPr>
              <w:t>表7-</w:t>
            </w:r>
            <w:r>
              <w:rPr>
                <w:rFonts w:hint="default" w:ascii="Times New Roman" w:hAnsi="Times New Roman" w:eastAsia="宋体" w:cs="Times New Roman"/>
                <w:b/>
                <w:bCs/>
                <w:color w:val="auto"/>
                <w:spacing w:val="-2"/>
                <w:highlight w:val="none"/>
                <w:lang w:val="en-US" w:eastAsia="zh-CN"/>
              </w:rPr>
              <w:t>9</w:t>
            </w:r>
            <w:r>
              <w:rPr>
                <w:rFonts w:hint="default" w:ascii="Times New Roman" w:hAnsi="Times New Roman" w:eastAsia="宋体" w:cs="Times New Roman"/>
                <w:b/>
                <w:color w:val="auto"/>
                <w:spacing w:val="-2"/>
                <w:sz w:val="21"/>
                <w:szCs w:val="21"/>
                <w:highlight w:val="none"/>
              </w:rPr>
              <w:t xml:space="preserve"> </w:t>
            </w:r>
            <w:r>
              <w:rPr>
                <w:rFonts w:hint="default" w:ascii="Times New Roman" w:hAnsi="Times New Roman" w:eastAsia="宋体" w:cs="Times New Roman"/>
                <w:b/>
                <w:bCs/>
                <w:color w:val="auto"/>
                <w:spacing w:val="-2"/>
                <w:highlight w:val="none"/>
              </w:rPr>
              <w:t>核医学工作场所的放射性表面污染控制水平（Bq/cm</w:t>
            </w:r>
            <w:r>
              <w:rPr>
                <w:rFonts w:hint="default" w:ascii="Times New Roman" w:hAnsi="Times New Roman" w:eastAsia="宋体" w:cs="Times New Roman"/>
                <w:b/>
                <w:bCs/>
                <w:color w:val="auto"/>
                <w:spacing w:val="-2"/>
                <w:highlight w:val="none"/>
                <w:vertAlign w:val="superscript"/>
              </w:rPr>
              <w:t>2</w:t>
            </w:r>
            <w:r>
              <w:rPr>
                <w:rFonts w:hint="default" w:ascii="Times New Roman" w:hAnsi="Times New Roman" w:eastAsia="宋体" w:cs="Times New Roman"/>
                <w:b/>
                <w:bCs/>
                <w:color w:val="auto"/>
                <w:spacing w:val="-2"/>
                <w:highlight w:val="none"/>
              </w:rPr>
              <w:t>）</w:t>
            </w:r>
          </w:p>
          <w:tbl>
            <w:tblPr>
              <w:tblStyle w:val="30"/>
              <w:tblW w:w="9021" w:type="dxa"/>
              <w:tblInd w:w="-1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3805"/>
              <w:gridCol w:w="2536"/>
              <w:gridCol w:w="2680"/>
            </w:tblGrid>
            <w:tr w14:paraId="68D932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7" w:hRule="atLeast"/>
              </w:trPr>
              <w:tc>
                <w:tcPr>
                  <w:tcW w:w="6341" w:type="dxa"/>
                  <w:gridSpan w:val="2"/>
                  <w:tcBorders>
                    <w:tl2br w:val="nil"/>
                    <w:tr2bl w:val="nil"/>
                  </w:tcBorders>
                  <w:vAlign w:val="top"/>
                </w:tcPr>
                <w:p w14:paraId="34C5D45C">
                  <w:pPr>
                    <w:pStyle w:val="43"/>
                    <w:keepNext w:val="0"/>
                    <w:keepLines w:val="0"/>
                    <w:suppressLineNumbers w:val="0"/>
                    <w:spacing w:before="22" w:beforeAutospacing="0" w:after="0" w:afterAutospacing="0" w:line="206" w:lineRule="auto"/>
                    <w:ind w:left="2807"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3"/>
                      <w:sz w:val="21"/>
                      <w:szCs w:val="21"/>
                      <w:highlight w:val="none"/>
                    </w:rPr>
                    <w:t>表面类型</w:t>
                  </w:r>
                </w:p>
              </w:tc>
              <w:tc>
                <w:tcPr>
                  <w:tcW w:w="2680" w:type="dxa"/>
                  <w:tcBorders>
                    <w:tl2br w:val="nil"/>
                    <w:tr2bl w:val="nil"/>
                  </w:tcBorders>
                  <w:vAlign w:val="top"/>
                </w:tcPr>
                <w:p w14:paraId="14882A29">
                  <w:pPr>
                    <w:pStyle w:val="43"/>
                    <w:keepNext w:val="0"/>
                    <w:keepLines w:val="0"/>
                    <w:suppressLineNumbers w:val="0"/>
                    <w:spacing w:before="22" w:beforeAutospacing="0" w:after="0" w:afterAutospacing="0" w:line="206" w:lineRule="auto"/>
                    <w:ind w:left="684"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3"/>
                      <w:sz w:val="21"/>
                      <w:szCs w:val="21"/>
                      <w:highlight w:val="none"/>
                    </w:rPr>
                    <w:t>β 放射性物质</w:t>
                  </w:r>
                </w:p>
              </w:tc>
            </w:tr>
            <w:tr w14:paraId="6AAE84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3805" w:type="dxa"/>
                  <w:vMerge w:val="restart"/>
                  <w:tcBorders>
                    <w:tl2br w:val="nil"/>
                    <w:tr2bl w:val="nil"/>
                  </w:tcBorders>
                  <w:vAlign w:val="top"/>
                </w:tcPr>
                <w:p w14:paraId="71790D3C">
                  <w:pPr>
                    <w:pStyle w:val="43"/>
                    <w:keepNext w:val="0"/>
                    <w:keepLines w:val="0"/>
                    <w:suppressLineNumbers w:val="0"/>
                    <w:spacing w:before="173" w:beforeAutospacing="0" w:after="0" w:afterAutospacing="0" w:line="221" w:lineRule="auto"/>
                    <w:ind w:left="824"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8"/>
                      <w:sz w:val="21"/>
                      <w:szCs w:val="21"/>
                      <w:highlight w:val="none"/>
                    </w:rPr>
                    <w:t>工作台、设备、墙壁、地面</w:t>
                  </w:r>
                </w:p>
              </w:tc>
              <w:tc>
                <w:tcPr>
                  <w:tcW w:w="2536" w:type="dxa"/>
                  <w:tcBorders>
                    <w:tl2br w:val="nil"/>
                    <w:tr2bl w:val="nil"/>
                  </w:tcBorders>
                  <w:vAlign w:val="top"/>
                </w:tcPr>
                <w:p w14:paraId="093CFA04">
                  <w:pPr>
                    <w:pStyle w:val="43"/>
                    <w:keepNext w:val="0"/>
                    <w:keepLines w:val="0"/>
                    <w:suppressLineNumbers w:val="0"/>
                    <w:spacing w:before="7" w:beforeAutospacing="0" w:after="0" w:afterAutospacing="0" w:line="229" w:lineRule="auto"/>
                    <w:ind w:left="841" w:right="0"/>
                    <w:rPr>
                      <w:rFonts w:hint="default" w:ascii="Times New Roman" w:hAnsi="Times New Roman" w:eastAsia="宋体" w:cs="Times New Roman"/>
                      <w:color w:val="auto"/>
                      <w:sz w:val="11"/>
                      <w:szCs w:val="11"/>
                      <w:highlight w:val="none"/>
                    </w:rPr>
                  </w:pPr>
                  <w:r>
                    <w:rPr>
                      <w:rFonts w:hint="default" w:ascii="Times New Roman" w:hAnsi="Times New Roman" w:eastAsia="宋体" w:cs="Times New Roman"/>
                      <w:color w:val="auto"/>
                      <w:spacing w:val="-4"/>
                      <w:position w:val="-1"/>
                      <w:sz w:val="21"/>
                      <w:szCs w:val="21"/>
                      <w:highlight w:val="none"/>
                    </w:rPr>
                    <w:t>控制区</w:t>
                  </w:r>
                  <w:r>
                    <w:rPr>
                      <w:rFonts w:hint="default" w:ascii="Times New Roman" w:hAnsi="Times New Roman" w:eastAsia="宋体" w:cs="Times New Roman"/>
                      <w:color w:val="auto"/>
                      <w:spacing w:val="-35"/>
                      <w:position w:val="-1"/>
                      <w:sz w:val="21"/>
                      <w:szCs w:val="21"/>
                      <w:highlight w:val="none"/>
                    </w:rPr>
                    <w:t xml:space="preserve"> </w:t>
                  </w:r>
                  <w:r>
                    <w:rPr>
                      <w:rFonts w:hint="default" w:ascii="Times New Roman" w:hAnsi="Times New Roman" w:eastAsia="宋体" w:cs="Times New Roman"/>
                      <w:color w:val="auto"/>
                      <w:spacing w:val="-4"/>
                      <w:position w:val="8"/>
                      <w:sz w:val="13"/>
                      <w:szCs w:val="13"/>
                      <w:highlight w:val="none"/>
                    </w:rPr>
                    <w:t>1</w:t>
                  </w:r>
                  <w:r>
                    <w:rPr>
                      <w:rFonts w:hint="default" w:ascii="Times New Roman" w:hAnsi="Times New Roman" w:eastAsia="宋体" w:cs="Times New Roman"/>
                      <w:color w:val="auto"/>
                      <w:spacing w:val="-4"/>
                      <w:position w:val="8"/>
                      <w:sz w:val="11"/>
                      <w:szCs w:val="11"/>
                      <w:highlight w:val="none"/>
                    </w:rPr>
                    <w:t>）</w:t>
                  </w:r>
                </w:p>
              </w:tc>
              <w:tc>
                <w:tcPr>
                  <w:tcW w:w="2680" w:type="dxa"/>
                  <w:tcBorders>
                    <w:tl2br w:val="nil"/>
                    <w:tr2bl w:val="nil"/>
                  </w:tcBorders>
                  <w:vAlign w:val="top"/>
                </w:tcPr>
                <w:p w14:paraId="3BD4E468">
                  <w:pPr>
                    <w:keepNext w:val="0"/>
                    <w:keepLines w:val="0"/>
                    <w:suppressLineNumbers w:val="0"/>
                    <w:spacing w:before="48" w:beforeAutospacing="0" w:after="0" w:afterAutospacing="0" w:line="208" w:lineRule="auto"/>
                    <w:ind w:left="1032" w:right="0"/>
                    <w:rPr>
                      <w:rFonts w:hint="default" w:ascii="Times New Roman" w:hAnsi="Times New Roman" w:eastAsia="宋体" w:cs="Times New Roman"/>
                      <w:color w:val="auto"/>
                      <w:sz w:val="13"/>
                      <w:szCs w:val="13"/>
                      <w:highlight w:val="none"/>
                    </w:rPr>
                  </w:pPr>
                  <w:r>
                    <w:rPr>
                      <w:rFonts w:hint="default" w:ascii="Times New Roman" w:hAnsi="Times New Roman" w:eastAsia="宋体" w:cs="Times New Roman"/>
                      <w:color w:val="auto"/>
                      <w:spacing w:val="3"/>
                      <w:sz w:val="21"/>
                      <w:szCs w:val="21"/>
                      <w:highlight w:val="none"/>
                    </w:rPr>
                    <w:t>4×10</w:t>
                  </w:r>
                  <w:r>
                    <w:rPr>
                      <w:rFonts w:hint="default" w:ascii="Times New Roman" w:hAnsi="Times New Roman" w:eastAsia="宋体" w:cs="Times New Roman"/>
                      <w:color w:val="auto"/>
                      <w:spacing w:val="3"/>
                      <w:position w:val="6"/>
                      <w:sz w:val="13"/>
                      <w:szCs w:val="13"/>
                      <w:highlight w:val="none"/>
                    </w:rPr>
                    <w:t>1</w:t>
                  </w:r>
                </w:p>
              </w:tc>
            </w:tr>
            <w:tr w14:paraId="34D7E6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3805" w:type="dxa"/>
                  <w:vMerge w:val="continue"/>
                  <w:tcBorders>
                    <w:tl2br w:val="nil"/>
                    <w:tr2bl w:val="nil"/>
                  </w:tcBorders>
                  <w:vAlign w:val="top"/>
                </w:tcPr>
                <w:p w14:paraId="6E72D9B5">
                  <w:pPr>
                    <w:keepNext w:val="0"/>
                    <w:keepLines w:val="0"/>
                    <w:suppressLineNumbers w:val="0"/>
                    <w:spacing w:before="0" w:beforeAutospacing="0" w:after="0" w:afterAutospacing="0"/>
                    <w:ind w:left="0" w:right="0"/>
                    <w:rPr>
                      <w:rFonts w:hint="default" w:ascii="Times New Roman" w:hAnsi="Times New Roman" w:eastAsia="宋体" w:cs="Times New Roman"/>
                      <w:color w:val="auto"/>
                      <w:sz w:val="21"/>
                      <w:highlight w:val="none"/>
                    </w:rPr>
                  </w:pPr>
                </w:p>
              </w:tc>
              <w:tc>
                <w:tcPr>
                  <w:tcW w:w="2536" w:type="dxa"/>
                  <w:tcBorders>
                    <w:tl2br w:val="nil"/>
                    <w:tr2bl w:val="nil"/>
                  </w:tcBorders>
                  <w:vAlign w:val="top"/>
                </w:tcPr>
                <w:p w14:paraId="56D8E453">
                  <w:pPr>
                    <w:pStyle w:val="43"/>
                    <w:keepNext w:val="0"/>
                    <w:keepLines w:val="0"/>
                    <w:suppressLineNumbers w:val="0"/>
                    <w:spacing w:before="31" w:beforeAutospacing="0" w:after="0" w:afterAutospacing="0" w:line="208" w:lineRule="auto"/>
                    <w:ind w:left="958"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监督区</w:t>
                  </w:r>
                </w:p>
              </w:tc>
              <w:tc>
                <w:tcPr>
                  <w:tcW w:w="2680" w:type="dxa"/>
                  <w:tcBorders>
                    <w:tl2br w:val="nil"/>
                    <w:tr2bl w:val="nil"/>
                  </w:tcBorders>
                  <w:vAlign w:val="top"/>
                </w:tcPr>
                <w:p w14:paraId="7CF4D8EB">
                  <w:pPr>
                    <w:keepNext w:val="0"/>
                    <w:keepLines w:val="0"/>
                    <w:suppressLineNumbers w:val="0"/>
                    <w:spacing w:before="70" w:beforeAutospacing="0" w:after="0" w:afterAutospacing="0" w:line="187" w:lineRule="auto"/>
                    <w:ind w:left="123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r>
            <w:tr w14:paraId="3D981F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3805" w:type="dxa"/>
                  <w:tcBorders>
                    <w:tl2br w:val="nil"/>
                    <w:tr2bl w:val="nil"/>
                  </w:tcBorders>
                  <w:vAlign w:val="top"/>
                </w:tcPr>
                <w:p w14:paraId="18FA1260">
                  <w:pPr>
                    <w:pStyle w:val="43"/>
                    <w:keepNext w:val="0"/>
                    <w:keepLines w:val="0"/>
                    <w:suppressLineNumbers w:val="0"/>
                    <w:spacing w:before="31" w:beforeAutospacing="0" w:after="0" w:afterAutospacing="0" w:line="206" w:lineRule="auto"/>
                    <w:ind w:left="915"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工作服、手套、工作鞋</w:t>
                  </w:r>
                </w:p>
              </w:tc>
              <w:tc>
                <w:tcPr>
                  <w:tcW w:w="2536" w:type="dxa"/>
                  <w:tcBorders>
                    <w:tl2br w:val="nil"/>
                    <w:tr2bl w:val="nil"/>
                  </w:tcBorders>
                  <w:vAlign w:val="top"/>
                </w:tcPr>
                <w:p w14:paraId="0F2BA0E9">
                  <w:pPr>
                    <w:pStyle w:val="43"/>
                    <w:keepNext w:val="0"/>
                    <w:keepLines w:val="0"/>
                    <w:suppressLineNumbers w:val="0"/>
                    <w:spacing w:before="31" w:beforeAutospacing="0" w:after="0" w:afterAutospacing="0" w:line="206" w:lineRule="auto"/>
                    <w:ind w:left="536"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控制区、监督区</w:t>
                  </w:r>
                </w:p>
              </w:tc>
              <w:tc>
                <w:tcPr>
                  <w:tcW w:w="2680" w:type="dxa"/>
                  <w:tcBorders>
                    <w:tl2br w:val="nil"/>
                    <w:tr2bl w:val="nil"/>
                  </w:tcBorders>
                  <w:vAlign w:val="top"/>
                </w:tcPr>
                <w:p w14:paraId="439672F5">
                  <w:pPr>
                    <w:keepNext w:val="0"/>
                    <w:keepLines w:val="0"/>
                    <w:suppressLineNumbers w:val="0"/>
                    <w:spacing w:before="70" w:beforeAutospacing="0" w:after="0" w:afterAutospacing="0" w:line="187" w:lineRule="auto"/>
                    <w:ind w:left="1231"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r>
            <w:tr w14:paraId="3EA3B4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6341" w:type="dxa"/>
                  <w:gridSpan w:val="2"/>
                  <w:tcBorders>
                    <w:tl2br w:val="nil"/>
                    <w:tr2bl w:val="nil"/>
                  </w:tcBorders>
                  <w:vAlign w:val="top"/>
                </w:tcPr>
                <w:p w14:paraId="74F35BC7">
                  <w:pPr>
                    <w:pStyle w:val="43"/>
                    <w:keepNext w:val="0"/>
                    <w:keepLines w:val="0"/>
                    <w:suppressLineNumbers w:val="0"/>
                    <w:spacing w:before="31" w:beforeAutospacing="0" w:after="0" w:afterAutospacing="0" w:line="208" w:lineRule="auto"/>
                    <w:ind w:left="2074"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手、皮肤、内衣、工作袜</w:t>
                  </w:r>
                </w:p>
              </w:tc>
              <w:tc>
                <w:tcPr>
                  <w:tcW w:w="2680" w:type="dxa"/>
                  <w:tcBorders>
                    <w:tl2br w:val="nil"/>
                    <w:tr2bl w:val="nil"/>
                  </w:tcBorders>
                  <w:vAlign w:val="top"/>
                </w:tcPr>
                <w:p w14:paraId="18810A23">
                  <w:pPr>
                    <w:keepNext w:val="0"/>
                    <w:keepLines w:val="0"/>
                    <w:suppressLineNumbers w:val="0"/>
                    <w:spacing w:before="49" w:beforeAutospacing="0" w:after="0" w:afterAutospacing="0" w:line="208" w:lineRule="auto"/>
                    <w:ind w:left="1010" w:right="0"/>
                    <w:rPr>
                      <w:rFonts w:hint="default" w:ascii="Times New Roman" w:hAnsi="Times New Roman" w:eastAsia="宋体" w:cs="Times New Roman"/>
                      <w:color w:val="auto"/>
                      <w:sz w:val="13"/>
                      <w:szCs w:val="13"/>
                      <w:highlight w:val="none"/>
                    </w:rPr>
                  </w:pPr>
                  <w:r>
                    <w:rPr>
                      <w:rFonts w:hint="default" w:ascii="Times New Roman" w:hAnsi="Times New Roman" w:eastAsia="宋体" w:cs="Times New Roman"/>
                      <w:color w:val="auto"/>
                      <w:spacing w:val="1"/>
                      <w:sz w:val="21"/>
                      <w:szCs w:val="21"/>
                      <w:highlight w:val="none"/>
                    </w:rPr>
                    <w:t>4×10</w:t>
                  </w:r>
                  <w:r>
                    <w:rPr>
                      <w:rFonts w:hint="default" w:ascii="Times New Roman" w:hAnsi="Times New Roman" w:eastAsia="宋体" w:cs="Times New Roman"/>
                      <w:color w:val="auto"/>
                      <w:spacing w:val="1"/>
                      <w:position w:val="6"/>
                      <w:sz w:val="13"/>
                      <w:szCs w:val="13"/>
                      <w:highlight w:val="none"/>
                    </w:rPr>
                    <w:t>-1</w:t>
                  </w:r>
                </w:p>
              </w:tc>
            </w:tr>
            <w:tr w14:paraId="009FEA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9021" w:type="dxa"/>
                  <w:gridSpan w:val="3"/>
                  <w:tcBorders>
                    <w:tl2br w:val="nil"/>
                    <w:tr2bl w:val="nil"/>
                  </w:tcBorders>
                  <w:vAlign w:val="top"/>
                </w:tcPr>
                <w:p w14:paraId="3D4C411B">
                  <w:pPr>
                    <w:pStyle w:val="43"/>
                    <w:keepNext w:val="0"/>
                    <w:keepLines w:val="0"/>
                    <w:suppressLineNumbers w:val="0"/>
                    <w:spacing w:before="32" w:beforeAutospacing="0" w:after="0" w:afterAutospacing="0" w:line="216" w:lineRule="auto"/>
                    <w:ind w:left="240"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1）该区内的高污染子区除外</w:t>
                  </w:r>
                </w:p>
              </w:tc>
            </w:tr>
          </w:tbl>
          <w:p w14:paraId="7CBA1BB6">
            <w:pPr>
              <w:pStyle w:val="43"/>
              <w:keepNext w:val="0"/>
              <w:keepLines w:val="0"/>
              <w:suppressLineNumbers w:val="0"/>
              <w:spacing w:before="185" w:beforeAutospacing="0" w:after="0" w:afterAutospacing="0" w:line="219" w:lineRule="auto"/>
              <w:ind w:left="115" w:right="0"/>
              <w:jc w:val="both"/>
              <w:rPr>
                <w:rFonts w:hint="default" w:ascii="Times New Roman" w:hAnsi="Times New Roman" w:eastAsia="宋体" w:cs="Times New Roman"/>
                <w:b/>
                <w:bCs/>
                <w:color w:val="auto"/>
                <w:spacing w:val="-2"/>
                <w:highlight w:val="none"/>
              </w:rPr>
            </w:pPr>
          </w:p>
          <w:p w14:paraId="18A07EA7">
            <w:pPr>
              <w:pStyle w:val="43"/>
              <w:keepNext w:val="0"/>
              <w:keepLines w:val="0"/>
              <w:suppressLineNumbers w:val="0"/>
              <w:spacing w:before="185" w:beforeAutospacing="0" w:after="0" w:afterAutospacing="0" w:line="219" w:lineRule="auto"/>
              <w:ind w:left="115"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7.3.5 辐射剂量率控制水平</w:t>
            </w:r>
          </w:p>
          <w:p w14:paraId="252585A7">
            <w:pPr>
              <w:pStyle w:val="43"/>
              <w:keepNext w:val="0"/>
              <w:keepLines w:val="0"/>
              <w:suppressLineNumbers w:val="0"/>
              <w:spacing w:before="214" w:beforeAutospacing="0" w:after="0" w:afterAutospacing="0" w:line="219" w:lineRule="auto"/>
              <w:ind w:left="115"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"7.3.5.1"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b/>
                <w:bCs/>
                <w:color w:val="auto"/>
                <w:spacing w:val="-2"/>
                <w:highlight w:val="none"/>
              </w:rPr>
              <w:t>7.3.5.1</w:t>
            </w:r>
            <w:r>
              <w:rPr>
                <w:rFonts w:hint="default" w:ascii="Times New Roman" w:hAnsi="Times New Roman" w:eastAsia="宋体" w:cs="Times New Roman"/>
                <w:b/>
                <w:bCs/>
                <w:color w:val="auto"/>
                <w:spacing w:val="-2"/>
                <w:highlight w:val="none"/>
              </w:rPr>
              <w:fldChar w:fldCharType="end"/>
            </w:r>
            <w:r>
              <w:rPr>
                <w:rFonts w:hint="default" w:ascii="Times New Roman" w:hAnsi="Times New Roman" w:eastAsia="宋体" w:cs="Times New Roman"/>
                <w:b/>
                <w:bCs/>
                <w:color w:val="auto"/>
                <w:spacing w:val="-2"/>
                <w:highlight w:val="none"/>
              </w:rPr>
              <w:t xml:space="preserve"> 核医学科辐射剂量率控制水平</w:t>
            </w:r>
          </w:p>
          <w:p w14:paraId="28C1CC60">
            <w:pPr>
              <w:pStyle w:val="43"/>
              <w:keepNext w:val="0"/>
              <w:keepLines w:val="0"/>
              <w:suppressLineNumbers w:val="0"/>
              <w:spacing w:before="216" w:beforeAutospacing="0" w:after="0" w:afterAutospacing="0" w:line="22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根据《核医学辐射防护与安全要求》（HJ1188-2021</w:t>
            </w:r>
            <w:r>
              <w:rPr>
                <w:rFonts w:hint="default" w:ascii="Times New Roman" w:hAnsi="Times New Roman" w:eastAsia="宋体" w:cs="Times New Roman"/>
                <w:b/>
                <w:bCs/>
                <w:color w:val="auto"/>
                <w:spacing w:val="1"/>
                <w:highlight w:val="none"/>
              </w:rPr>
              <w:t>）</w:t>
            </w:r>
            <w:r>
              <w:rPr>
                <w:rFonts w:hint="default" w:ascii="Times New Roman" w:hAnsi="Times New Roman" w:eastAsia="宋体" w:cs="Times New Roman"/>
                <w:color w:val="auto"/>
                <w:spacing w:val="1"/>
                <w:highlight w:val="none"/>
              </w:rPr>
              <w:t>：</w:t>
            </w:r>
          </w:p>
          <w:p w14:paraId="35C1DAC1">
            <w:pPr>
              <w:pStyle w:val="43"/>
              <w:keepNext w:val="0"/>
              <w:keepLines w:val="0"/>
              <w:suppressLineNumbers w:val="0"/>
              <w:spacing w:before="215" w:beforeAutospacing="0" w:after="0" w:afterAutospacing="0" w:line="327" w:lineRule="auto"/>
              <w:ind w:left="134" w:right="210" w:firstLine="463"/>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6.1.5</w:t>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距核医学工作场所各控制区内房间防护门、观察窗和墙壁外</w:t>
            </w:r>
            <w:r>
              <w:rPr>
                <w:rFonts w:hint="default" w:ascii="Times New Roman" w:hAnsi="Times New Roman" w:eastAsia="宋体" w:cs="Times New Roman"/>
                <w:color w:val="auto"/>
                <w:spacing w:val="-2"/>
                <w:highlight w:val="none"/>
              </w:rPr>
              <w:t>表面30cm处</w:t>
            </w:r>
            <w:r>
              <w:rPr>
                <w:rFonts w:hint="default" w:ascii="Times New Roman" w:hAnsi="Times New Roman" w:eastAsia="宋体" w:cs="Times New Roman"/>
                <w:color w:val="auto"/>
                <w:highlight w:val="none"/>
              </w:rPr>
              <w:t>的周围剂量当量率应小于2.5μSv/h，如屏蔽墙外的房间为人员偶尔居留的设备</w:t>
            </w:r>
            <w:r>
              <w:rPr>
                <w:rFonts w:hint="default" w:ascii="Times New Roman" w:hAnsi="Times New Roman" w:eastAsia="宋体" w:cs="Times New Roman"/>
                <w:color w:val="auto"/>
                <w:spacing w:val="-1"/>
                <w:highlight w:val="none"/>
              </w:rPr>
              <w:t>间等</w:t>
            </w:r>
            <w:r>
              <w:rPr>
                <w:rFonts w:hint="default" w:ascii="Times New Roman" w:hAnsi="Times New Roman" w:eastAsia="宋体" w:cs="Times New Roman"/>
                <w:color w:val="auto"/>
                <w:spacing w:val="-3"/>
                <w:highlight w:val="none"/>
              </w:rPr>
              <w:t>区域，其周围剂量当量率应小于10μSv/h。</w:t>
            </w:r>
          </w:p>
          <w:p w14:paraId="34DE23E9">
            <w:pPr>
              <w:pStyle w:val="43"/>
              <w:keepNext w:val="0"/>
              <w:keepLines w:val="0"/>
              <w:suppressLineNumbers w:val="0"/>
              <w:spacing w:before="224" w:beforeAutospacing="0" w:after="0" w:afterAutospacing="0" w:line="327" w:lineRule="auto"/>
              <w:ind w:left="118" w:right="225" w:firstLine="48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6.1.6</w:t>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放射性药物合成和分装的箱体、通风橱、注射窗等设备应设有屏蔽结构，</w:t>
            </w:r>
            <w:r>
              <w:rPr>
                <w:rFonts w:hint="default" w:ascii="Times New Roman" w:hAnsi="Times New Roman" w:eastAsia="宋体" w:cs="Times New Roman"/>
                <w:color w:val="auto"/>
                <w:spacing w:val="-3"/>
                <w:highlight w:val="none"/>
              </w:rPr>
              <w:t>以保证设备外表面30cm处人员操作位的周围剂量当量率小于</w:t>
            </w:r>
            <w:r>
              <w:rPr>
                <w:rFonts w:hint="default" w:ascii="Times New Roman" w:hAnsi="Times New Roman" w:eastAsia="宋体" w:cs="Times New Roman"/>
                <w:color w:val="auto"/>
                <w:spacing w:val="-4"/>
                <w:highlight w:val="none"/>
              </w:rPr>
              <w:t>2.5μSv/h，放射性药物</w:t>
            </w:r>
            <w:r>
              <w:rPr>
                <w:rFonts w:hint="default" w:ascii="Times New Roman" w:hAnsi="Times New Roman" w:eastAsia="宋体" w:cs="Times New Roman"/>
                <w:color w:val="auto"/>
                <w:spacing w:val="-1"/>
                <w:highlight w:val="none"/>
              </w:rPr>
              <w:t>合成和分装箱体非正对人员操作位表面的周围剂量当量率小于25μSv/h。</w:t>
            </w:r>
          </w:p>
          <w:p w14:paraId="01396EF2">
            <w:pPr>
              <w:pStyle w:val="43"/>
              <w:keepNext w:val="0"/>
              <w:keepLines w:val="0"/>
              <w:suppressLineNumbers w:val="0"/>
              <w:spacing w:before="225" w:beforeAutospacing="0" w:after="0" w:afterAutospacing="0" w:line="301" w:lineRule="auto"/>
              <w:ind w:left="119" w:right="213" w:firstLine="479"/>
              <w:jc w:val="both"/>
              <w:rPr>
                <w:rFonts w:hint="default" w:ascii="Times New Roman" w:hAnsi="Times New Roman" w:eastAsia="宋体" w:cs="Times New Roman"/>
                <w:color w:val="auto"/>
                <w:spacing w:val="-1"/>
                <w:highlight w:val="none"/>
              </w:rPr>
            </w:pPr>
            <w:r>
              <w:rPr>
                <w:rFonts w:hint="default" w:ascii="Times New Roman" w:hAnsi="Times New Roman" w:eastAsia="宋体" w:cs="Times New Roman"/>
                <w:color w:val="auto"/>
                <w:spacing w:val="-1"/>
                <w:highlight w:val="none"/>
              </w:rPr>
              <w:t>6.1.7</w:t>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固体放射性废物收集桶、曝露于地面致使人员可以</w:t>
            </w:r>
            <w:r>
              <w:rPr>
                <w:rFonts w:hint="default" w:ascii="Times New Roman" w:hAnsi="Times New Roman" w:eastAsia="宋体" w:cs="Times New Roman"/>
                <w:color w:val="auto"/>
                <w:spacing w:val="-2"/>
                <w:highlight w:val="none"/>
              </w:rPr>
              <w:t>接近的放射性废液收集</w:t>
            </w:r>
            <w:r>
              <w:rPr>
                <w:rFonts w:hint="default" w:ascii="Times New Roman" w:hAnsi="Times New Roman" w:eastAsia="宋体" w:cs="Times New Roman"/>
                <w:color w:val="auto"/>
                <w:highlight w:val="none"/>
              </w:rPr>
              <w:t>罐体和管道应增加相应屏蔽措施，以保证其外表面30cm</w:t>
            </w:r>
            <w:r>
              <w:rPr>
                <w:rFonts w:hint="default" w:ascii="Times New Roman" w:hAnsi="Times New Roman" w:eastAsia="宋体" w:cs="Times New Roman"/>
                <w:color w:val="auto"/>
                <w:spacing w:val="-1"/>
                <w:highlight w:val="none"/>
              </w:rPr>
              <w:t>处的周围剂量当量率小于2.5μSv/h。</w:t>
            </w:r>
          </w:p>
          <w:p w14:paraId="3874EE43">
            <w:pPr>
              <w:pStyle w:val="43"/>
              <w:keepNext w:val="0"/>
              <w:keepLines w:val="0"/>
              <w:suppressLineNumbers w:val="0"/>
              <w:spacing w:before="213" w:beforeAutospacing="0" w:after="0" w:afterAutospacing="0" w:line="36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1"/>
                <w:highlight w:val="none"/>
              </w:rPr>
              <w:t>根据《核医学放射防护要求》（GBZ120</w:t>
            </w:r>
            <w:r>
              <w:rPr>
                <w:rFonts w:hint="default" w:ascii="Times New Roman" w:hAnsi="Times New Roman" w:eastAsia="宋体" w:cs="Times New Roman"/>
                <w:b/>
                <w:bCs/>
                <w:color w:val="auto"/>
                <w:spacing w:val="-2"/>
                <w:highlight w:val="none"/>
              </w:rPr>
              <w:t>-2020</w:t>
            </w:r>
            <w:r>
              <w:rPr>
                <w:rFonts w:hint="default" w:ascii="Times New Roman" w:hAnsi="Times New Roman" w:eastAsia="宋体" w:cs="Times New Roman"/>
                <w:b/>
                <w:bCs/>
                <w:color w:val="auto"/>
                <w:spacing w:val="-17"/>
                <w:highlight w:val="none"/>
              </w:rPr>
              <w:t>）：</w:t>
            </w:r>
          </w:p>
          <w:p w14:paraId="469F182F">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highlight w:val="none"/>
              </w:rPr>
              <w:t>5.3.1</w:t>
            </w:r>
            <w:r>
              <w:rPr>
                <w:rFonts w:hint="default" w:ascii="Times New Roman" w:hAnsi="Times New Roman" w:eastAsia="宋体" w:cs="Times New Roman"/>
                <w:color w:val="auto"/>
                <w:highlight w:val="none"/>
                <w:lang w:val="en-US" w:eastAsia="zh-CN"/>
              </w:rPr>
              <w:t xml:space="preserve"> 核医学工作场所控制区的用房，应根据使用的核素种类、能量和最大使用量，给予足够的屏蔽防护。在核医学控制区外人员可达处，距屏蔽体外表面 0.3 m 处的周围剂量当量 率控制目标值应不大于 2.5µSv/h，控制区内屏蔽体外表面 0.3m 处的周围剂量当量率控制 目标值应不大于 25µSv/h，宜不大于 2.5µSv/h；核医学工作场所的分装柜或生物安全柜，应采取一定的屏蔽防护，以保证柜体外表面 5 cm 处的周围剂量当量率控制目标值应不大于 25 µSv/h；同时在该场所及周围的公众和放射工作人员应满足个人剂量限值要求。 </w:t>
            </w:r>
          </w:p>
          <w:p w14:paraId="0C1D0B7A">
            <w:pPr>
              <w:pStyle w:val="43"/>
              <w:keepNext w:val="0"/>
              <w:keepLines w:val="0"/>
              <w:suppressLineNumbers w:val="0"/>
              <w:spacing w:before="37" w:beforeAutospacing="0" w:after="0" w:afterAutospacing="0" w:line="219" w:lineRule="auto"/>
              <w:ind w:left="0"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7.3.6 设置布局规定</w:t>
            </w:r>
          </w:p>
          <w:p w14:paraId="57879B55">
            <w:pPr>
              <w:pStyle w:val="43"/>
              <w:keepNext w:val="0"/>
              <w:keepLines w:val="0"/>
              <w:suppressLineNumbers w:val="0"/>
              <w:spacing w:before="214" w:beforeAutospacing="0" w:after="0" w:afterAutospacing="0" w:line="219" w:lineRule="auto"/>
              <w:ind w:left="0"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"7.3.6.1"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b/>
                <w:bCs/>
                <w:color w:val="auto"/>
                <w:spacing w:val="-2"/>
                <w:highlight w:val="none"/>
              </w:rPr>
              <w:t>7.3.6.1</w:t>
            </w:r>
            <w:r>
              <w:rPr>
                <w:rFonts w:hint="default" w:ascii="Times New Roman" w:hAnsi="Times New Roman" w:eastAsia="宋体" w:cs="Times New Roman"/>
                <w:b/>
                <w:bCs/>
                <w:color w:val="auto"/>
                <w:spacing w:val="-2"/>
                <w:highlight w:val="none"/>
              </w:rPr>
              <w:fldChar w:fldCharType="end"/>
            </w:r>
            <w:r>
              <w:rPr>
                <w:rFonts w:hint="default" w:ascii="Times New Roman" w:hAnsi="Times New Roman" w:eastAsia="宋体" w:cs="Times New Roman"/>
                <w:b/>
                <w:bCs/>
                <w:color w:val="auto"/>
                <w:spacing w:val="-2"/>
                <w:highlight w:val="none"/>
              </w:rPr>
              <w:t xml:space="preserve"> 核医学科设置布局规定</w:t>
            </w:r>
          </w:p>
          <w:p w14:paraId="68E9E086">
            <w:pPr>
              <w:pStyle w:val="43"/>
              <w:keepNext w:val="0"/>
              <w:keepLines w:val="0"/>
              <w:suppressLineNumbers w:val="0"/>
              <w:spacing w:before="214" w:beforeAutospacing="0" w:after="0" w:afterAutospacing="0" w:line="36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根据《核医学辐射防护与安全要求》（HJ1188-2021</w:t>
            </w:r>
            <w:r>
              <w:rPr>
                <w:rFonts w:hint="default" w:ascii="Times New Roman" w:hAnsi="Times New Roman" w:eastAsia="宋体" w:cs="Times New Roman"/>
                <w:b/>
                <w:bCs/>
                <w:color w:val="auto"/>
                <w:spacing w:val="1"/>
                <w:highlight w:val="none"/>
              </w:rPr>
              <w:t>）</w:t>
            </w:r>
            <w:r>
              <w:rPr>
                <w:rFonts w:hint="default" w:ascii="Times New Roman" w:hAnsi="Times New Roman" w:eastAsia="宋体" w:cs="Times New Roman"/>
                <w:color w:val="auto"/>
                <w:spacing w:val="1"/>
                <w:highlight w:val="none"/>
              </w:rPr>
              <w:t>：</w:t>
            </w:r>
          </w:p>
          <w:p w14:paraId="563B5F76">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5.1 选址</w:t>
            </w:r>
          </w:p>
          <w:p w14:paraId="72C470A3">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5.1.1 核医学工作场所宜建在医疗机构内单独的建筑物内，或集中于无人长期居 留的建筑物的一端或底层，设置相应的物理隔离和单独的人员、物流通道。</w:t>
            </w:r>
          </w:p>
          <w:p w14:paraId="2A197383">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5.1.2 核医学工作场所不宜毗邻产科、儿科、食堂等部门及人员密集区，并应与非放射性工作场所有明确的分界隔离。</w:t>
            </w:r>
          </w:p>
          <w:p w14:paraId="7E66DAEB">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5.1.3 核医学工作场所排风口的位置尽可能远离周边高层建筑。</w:t>
            </w:r>
          </w:p>
          <w:p w14:paraId="62DB3F54">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5.2 布局</w:t>
            </w:r>
          </w:p>
          <w:p w14:paraId="3D8B4B31">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5.2.1 核医学工作场所应合理布局，住院治疗场所和门诊诊断场所应相对分开布置；同一工作场所内应根据诊疗流程合理设计各功能区域的布局，控制区应相对集中，高活室集中在一端，防止交叉污染。尽量减小放射性药物、放射性废物的存放范围，限制给药后患者的活动空间。</w:t>
            </w:r>
          </w:p>
          <w:p w14:paraId="7339D91D">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5.2.2 核医学工作场所应设立相对独立的工作人员、患者、放射性药物和放射性废物路径。工作人员通道和患者通道分开，减少给药后患者对其他人员的照射。注射放射性药物后患者与注射放射性药物前患者不交叉，人员与放射性药物通道不交叉，放射性药物和放射性废物运送通道应尽可能短捷。</w:t>
            </w:r>
          </w:p>
          <w:p w14:paraId="5B501C0E">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5.2.3 核医学工作场所宜采取合适的措施，控制无关人员随意进入控制区和给药后患者的随意流动，避免工作人员和公众受到不必要的照射。控制区的出入口应设立卫生缓冲区，为工作人员和患者提供必要的可更换衣物、防护用品、冲洗设施和表面污染监测设备。控制区内应设有给药后患者的专用卫生间。</w:t>
            </w:r>
          </w:p>
          <w:p w14:paraId="05185F3E">
            <w:pPr>
              <w:pStyle w:val="43"/>
              <w:keepNext w:val="0"/>
              <w:keepLines w:val="0"/>
              <w:suppressLineNumbers w:val="0"/>
              <w:spacing w:before="35" w:beforeAutospacing="0" w:after="0" w:afterAutospacing="0" w:line="36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1"/>
                <w:highlight w:val="none"/>
              </w:rPr>
              <w:t>根据《核医学放射防护要求》（GBZ120</w:t>
            </w:r>
            <w:r>
              <w:rPr>
                <w:rFonts w:hint="default" w:ascii="Times New Roman" w:hAnsi="Times New Roman" w:eastAsia="宋体" w:cs="Times New Roman"/>
                <w:b/>
                <w:bCs/>
                <w:color w:val="auto"/>
                <w:spacing w:val="-2"/>
                <w:highlight w:val="none"/>
              </w:rPr>
              <w:t>-2020</w:t>
            </w:r>
            <w:r>
              <w:rPr>
                <w:rFonts w:hint="default" w:ascii="Times New Roman" w:hAnsi="Times New Roman" w:eastAsia="宋体" w:cs="Times New Roman"/>
                <w:b/>
                <w:bCs/>
                <w:color w:val="auto"/>
                <w:spacing w:val="-17"/>
                <w:highlight w:val="none"/>
              </w:rPr>
              <w:t>）：</w:t>
            </w:r>
          </w:p>
          <w:p w14:paraId="75046F6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5.1.1 在医疗机构内部区域选择核医学场址，应充分考虑周围场所的安全，不应邻接产科、儿科、食堂等部门，这些部门选址时也应避开核医学场所。尽可能做到相对独立布置或集中设置，宜有单独出、入口，出口不宜设置在门诊大厅、收费处等人群稠密区域。</w:t>
            </w:r>
          </w:p>
          <w:p w14:paraId="6F376F6E">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5.1.2 核医学工作场所平面布局设计应遵循如下原则：</w:t>
            </w:r>
          </w:p>
          <w:p w14:paraId="2523D374">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a）使工作场所的外照射水平和污染发生的概率达到尽可能小；</w:t>
            </w:r>
          </w:p>
          <w:p w14:paraId="30033C91">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b）保持影像设备工作场所内较低辐射水平以避免对影像质量的干扰；</w:t>
            </w:r>
          </w:p>
          <w:p w14:paraId="23850252">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c）在核医学诊疗工作区域，控制区的入口和出口应设置门锁权限控制和单向门 等安全措施，限制患者或受检者的随意流动，保证工作场所内的工作人员和公众免 受不必要的照射；</w:t>
            </w:r>
          </w:p>
          <w:p w14:paraId="59CDD631">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d）在分装和给药室的出口处应设计卫生通过间，进行污染检测。</w:t>
            </w:r>
          </w:p>
          <w:p w14:paraId="71C394B6">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5.1.3 核医学工作场所从功能设置可分为诊断工作场所和治疗工作场所。其功能 设置要求如下：</w:t>
            </w:r>
          </w:p>
          <w:p w14:paraId="3E69737C">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对于单一的诊断工作场所应设置给药前患者或受检者候诊区、放射性药物贮存室、分装给药室（可含质控室）、给药后患者或受检者候诊室（根据放射性核素防护特性分别设置）、质控（样品测量）室、控制室、机房、给药后患者或受检者卫生间和放射性废物储藏室等功能用房；</w:t>
            </w:r>
          </w:p>
          <w:p w14:paraId="4EE62F0E">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c）诊断工作场所和治疗工作场所都需要设置清洁用品储存场所、员工休息室、护士站、更衣室、卫生间、去污淋浴间、抢救室或抢救功能区等辅助用房</w:t>
            </w:r>
            <w:r>
              <w:rPr>
                <w:rFonts w:hint="default" w:ascii="Times New Roman" w:hAnsi="Times New Roman" w:eastAsia="宋体" w:cs="Times New Roman"/>
                <w:color w:val="auto"/>
                <w:highlight w:val="none"/>
                <w:lang w:eastAsia="zh-CN"/>
              </w:rPr>
              <w:t>。</w:t>
            </w:r>
          </w:p>
          <w:p w14:paraId="32594B3C">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5.1.4 核医学放射工作场所应划分为控制区和监督区。控制区一般包括使用非密封源核素的房间（放射性药物贮存室、分装及（或）药物准备室、给药室等）、扫描室、给药后候诊室、样品测量室、放射性废物储藏室、病房（使用非密封源治疗患者）、卫生通过间、保洁用品储存场所等。监督区一般包括控制室、员工休息室、更衣室、医务人员卫生间等。应根据GB18871的有关规定，结合核医学科的具体情况，对控制区和监督区采取相应管理措施。</w:t>
            </w:r>
          </w:p>
          <w:p w14:paraId="7C743E83">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5.1.5 核医学工作场所的布局应有助于开展工作，避免无关人员通过。治疗区域和诊断区域应相对分开布置。根据使用放射性药物的种类、形态、特性和活度，确定核医学治疗区（病房）的位置及其放射防护要求，给药室应靠近病房，尽量减少放射性药物和给药后患者或受检者通过非放射性区域。</w:t>
            </w:r>
          </w:p>
          <w:p w14:paraId="76B072B3">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5.1.6 通过设计合适的时间空间交通模式来控制辐射源（放射性药物、放射性废物、给药后患者或受检者）的活动，给药后患者或受检者与注射放射性药物前患者或受检者不交叉，给药后患者或受检者与工作人员不交叉，人员与放射性药物通道不交叉。合理设置放射性物质运输通道，便于放射性药物、放射性废物的运送和处理；便于放射性污染的清理、清洗等工作的开展。</w:t>
            </w:r>
          </w:p>
          <w:p w14:paraId="660782BE">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5.1.7</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应通过工作场所平面布局的设计和屏蔽手段，避免附近的辐射源（核医学周边场所内的辐射装置、给药后患者或受检者）对诊断区设备成像、功能检测的影响。</w:t>
            </w:r>
          </w:p>
          <w:p w14:paraId="2EE196F6">
            <w:pPr>
              <w:pStyle w:val="43"/>
              <w:keepNext w:val="0"/>
              <w:keepLines w:val="0"/>
              <w:suppressLineNumbers w:val="0"/>
              <w:spacing w:before="209" w:beforeAutospacing="0" w:after="0" w:afterAutospacing="0" w:line="36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根据《操作非密封源的辐射防护规定》（GB11930-2010</w:t>
            </w:r>
            <w:r>
              <w:rPr>
                <w:rFonts w:hint="default" w:ascii="Times New Roman" w:hAnsi="Times New Roman" w:eastAsia="宋体" w:cs="Times New Roman"/>
                <w:b/>
                <w:bCs/>
                <w:color w:val="auto"/>
                <w:spacing w:val="-13"/>
                <w:highlight w:val="none"/>
              </w:rPr>
              <w:t>）：</w:t>
            </w:r>
          </w:p>
          <w:p w14:paraId="536DAA5F">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5.1.1</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款：为开展辐射防护管理工作并对职业照射进行控制，非密封源工作场所应实行严格的分区、分级管理，分区、分级管理的措施，应遵循GB18871-2002。</w:t>
            </w:r>
          </w:p>
          <w:p w14:paraId="41785E14">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7.2.1</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款：操作非密封源的单位，一般应建立放射性废液处理系统，确保产生的废液得到妥善处理。不得将放射性废液排入普通下水道，相关控制应遵循GB18871-2002的要求；不允许利用生活下水系统洗涤被放射性污染的物品；不允许用渗井排放废液。</w:t>
            </w:r>
          </w:p>
          <w:p w14:paraId="0306D04A">
            <w:pPr>
              <w:pStyle w:val="43"/>
              <w:keepNext w:val="0"/>
              <w:keepLines w:val="0"/>
              <w:suppressLineNumbers w:val="0"/>
              <w:spacing w:before="216" w:beforeAutospacing="0" w:after="0" w:afterAutospacing="0" w:line="360" w:lineRule="auto"/>
              <w:ind w:left="0"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7.3.7 放射防护要求</w:t>
            </w:r>
          </w:p>
          <w:p w14:paraId="29C77C62">
            <w:pPr>
              <w:pStyle w:val="43"/>
              <w:keepNext w:val="0"/>
              <w:keepLines w:val="0"/>
              <w:suppressLineNumbers w:val="0"/>
              <w:spacing w:before="212" w:beforeAutospacing="0" w:after="0" w:afterAutospacing="0" w:line="360" w:lineRule="auto"/>
              <w:ind w:left="0"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"7.3.7.1"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b/>
                <w:bCs/>
                <w:color w:val="auto"/>
                <w:spacing w:val="-2"/>
                <w:highlight w:val="none"/>
              </w:rPr>
              <w:t>7.3.7.1</w:t>
            </w:r>
            <w:r>
              <w:rPr>
                <w:rFonts w:hint="default" w:ascii="Times New Roman" w:hAnsi="Times New Roman" w:eastAsia="宋体" w:cs="Times New Roman"/>
                <w:b/>
                <w:bCs/>
                <w:color w:val="auto"/>
                <w:spacing w:val="-2"/>
                <w:highlight w:val="none"/>
              </w:rPr>
              <w:fldChar w:fldCharType="end"/>
            </w:r>
            <w:r>
              <w:rPr>
                <w:rFonts w:hint="default" w:ascii="Times New Roman" w:hAnsi="Times New Roman" w:eastAsia="宋体" w:cs="Times New Roman"/>
                <w:b/>
                <w:bCs/>
                <w:color w:val="auto"/>
                <w:spacing w:val="-2"/>
                <w:highlight w:val="none"/>
              </w:rPr>
              <w:t xml:space="preserve"> 核医学科放射防护要求</w:t>
            </w:r>
          </w:p>
          <w:p w14:paraId="64E7125A">
            <w:pPr>
              <w:pStyle w:val="43"/>
              <w:keepNext w:val="0"/>
              <w:keepLines w:val="0"/>
              <w:suppressLineNumbers w:val="0"/>
              <w:spacing w:before="214" w:beforeAutospacing="0" w:after="0" w:afterAutospacing="0" w:line="36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根据《核医学辐射防护与安全要求》（HJ1188-2021</w:t>
            </w:r>
            <w:r>
              <w:rPr>
                <w:rFonts w:hint="default" w:ascii="Times New Roman" w:hAnsi="Times New Roman" w:eastAsia="宋体" w:cs="Times New Roman"/>
                <w:b/>
                <w:bCs/>
                <w:color w:val="auto"/>
                <w:spacing w:val="1"/>
                <w:highlight w:val="none"/>
              </w:rPr>
              <w:t>）</w:t>
            </w:r>
            <w:r>
              <w:rPr>
                <w:rFonts w:hint="default" w:ascii="Times New Roman" w:hAnsi="Times New Roman" w:eastAsia="宋体" w:cs="Times New Roman"/>
                <w:color w:val="auto"/>
                <w:spacing w:val="1"/>
                <w:highlight w:val="none"/>
              </w:rPr>
              <w:t>：</w:t>
            </w:r>
          </w:p>
          <w:p w14:paraId="52C9629A">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 工作场所的辐射安全与防护</w:t>
            </w:r>
          </w:p>
          <w:p w14:paraId="0FF5E42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 屏蔽要求</w:t>
            </w:r>
          </w:p>
          <w:p w14:paraId="5ED786EA">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6.1.1 核医学场所屏蔽层设计应适当保守，按照可能使用的最大放射性活度、最长时间和最短距离进行计算。</w:t>
            </w:r>
          </w:p>
          <w:p w14:paraId="5884B1E6">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设计核医学工作场所墙壁、地板及顶面的屏蔽层时，除应考虑室内的辐射源外，还要考虑相邻区域存在的辐射源影响以及散射辐射带来的照射。</w:t>
            </w:r>
          </w:p>
          <w:p w14:paraId="293FB5FC">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6.1.3</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回旋加速器机房的建造应避免采用富含铁矿物质的混凝土，避免混凝土中采用重晶石或铁作为骨料；不带自屏蔽的回旋加速器应有单独的设备间，机房选择不易中子活化的混凝土材料。</w:t>
            </w:r>
          </w:p>
          <w:p w14:paraId="34582E0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6.1.4</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回旋加速器机房的电缆管沟、通风管道等穿过屏蔽体时，应采用地沟或S型、V型、Z型穿过墙壁，并进行屏蔽补偿，确保满足屏蔽体墙外的防护要求。防护门与墙体连接处应进行有效搭接，避免出现防护薄弱环节。</w:t>
            </w:r>
          </w:p>
          <w:p w14:paraId="7139AA74">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6.1.5</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距核医学工作场所各控制区内房间防护门、观察窗和墙壁外表面30cm处的周围剂量当量率应小于2.5μSv/h，如屏蔽墙外的房间为人员偶尔居留的设备间等区域，其周围剂量当量率应小于10μSv/h。</w:t>
            </w:r>
          </w:p>
          <w:p w14:paraId="6507A55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6.1.6</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放射性药物合成和分装的箱体、通风橱、注射窗等设备应设有屏蔽结构，以保证设备外表面30cm处人员操作位的周围剂量当量率小于2.5μSv/h，放射性药物合成和分装箱体非正对人员操作位表面的周围剂量当量率小于25μSv/h。</w:t>
            </w:r>
          </w:p>
          <w:p w14:paraId="243DDD9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6.1.7</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固体放射性废物收集桶、曝露于地面致使人员可以接近的放射性废液收集罐体和管道应增加相应屏蔽措施，以保证其外表面30cm处的周围剂量当量率小于2.5μSv/h。</w:t>
            </w:r>
          </w:p>
          <w:p w14:paraId="33F4868F">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6.1.8</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放射性物质贮存在专门场所内，并应有适当屏蔽。</w:t>
            </w:r>
          </w:p>
          <w:p w14:paraId="0299EC3B">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场所安全措施要求</w:t>
            </w:r>
          </w:p>
          <w:p w14:paraId="476C384F">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6.2.1</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核医学工作场所的放射性核素操作设备的表面、工作台台面等平整光滑，室内地面与墙壁衔接处应无接缝，易于清洗、去污。</w:t>
            </w:r>
          </w:p>
          <w:p w14:paraId="2E47DE8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操作放射性药物场所级别达到乙级应在手套箱中进行，丙级可在通风橱内进行。应为从事放射性药物操作的工作人员配备必要的防护用品。放射性药物给药器应有适当的屏蔽，给药后患者候诊室内、核素治疗病房的床位旁应设有铅屏风等屏蔽体，以减少对其他患者和医护人员的照射。</w:t>
            </w:r>
          </w:p>
          <w:p w14:paraId="611DB992">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6.2.3</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操作放射性药物的控制区出口应配有表面污染监测仪器，从控制区离开的人员和物品均应进行表面污染监测，如表面污染水平超出控制标准，应采取相应的去污措施。</w:t>
            </w:r>
          </w:p>
          <w:p w14:paraId="3EAE2522">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6.2.4</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放射性物质应贮存在专门场所的贮存容器或保险箱内，定期进行辐射水平监测，无关人员不应入内。贮存的放射性物质应建立台账，及时登记，确保账物相符。</w:t>
            </w:r>
          </w:p>
          <w:p w14:paraId="40CCE604">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6.2.5</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应为核医学工作场所内部放射性物质运送配备有足够屏蔽的贮存、转运等容器，容器表面应张贴电离辐射标志，容器在运送时应有适当的固定措施。</w:t>
            </w:r>
          </w:p>
          <w:p w14:paraId="35011928">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6.2.8</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回旋加速器机房应设置门机联锁装置和延时开门措施，机房内应设置紧急停机开关、紧急开门按钮及清场措施，并安装固定式剂量率报警仪。机房门口应有声光报警装置和工作状态指示灯，并与加速器联锁。</w:t>
            </w:r>
          </w:p>
          <w:p w14:paraId="7D06A5D0">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6.2.9</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扫描机房外门框上方应设置工作状态指示灯。</w:t>
            </w:r>
          </w:p>
          <w:p w14:paraId="3E440443">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6.3</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密闭和通风要求</w:t>
            </w:r>
          </w:p>
          <w:p w14:paraId="749FFF80">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6.3.1</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核医学工作场所应保持良好的通风，工作场所的气流流向应遵循自清洁区向监督区再向控制区的方向设计，保持工作场所的负压和各区之间的压差，以防止放射性气体及气溶胶对工作场所造成交叉污染。</w:t>
            </w:r>
          </w:p>
          <w:p w14:paraId="0243769D">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6.3.2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使用回旋加速器制备放射性药物的工作场所应设有单独的通风系统，加速器自屏蔽区内应有单独排气管道，并相对加速器室呈负压状态。</w:t>
            </w:r>
          </w:p>
          <w:p w14:paraId="2A691DD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6.3.4</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放射性物质的合成、分装以及挥发性放射性核素的操作应在手套箱、通风橱等密闭设备中进行，防止放射性液体泄漏或放射性气体及气溶胶逸出。手套箱、通风橱等密闭设备应设计单独的排风系统，并在密闭设备的顶壁安装活性炭或其他过滤装置。</w:t>
            </w:r>
          </w:p>
          <w:p w14:paraId="1CFACFE8">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6.3.5</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通风橱应有足够的通风能力。制备放射性药物的回旋加速器工作区域、</w:t>
            </w:r>
            <w:r>
              <w:rPr>
                <w:rFonts w:hint="default" w:ascii="Times New Roman" w:hAnsi="Times New Roman" w:eastAsia="宋体" w:cs="Times New Roman"/>
                <w:color w:val="auto"/>
                <w:highlight w:val="none"/>
                <w:vertAlign w:val="baseline"/>
              </w:rPr>
              <w:t>碘-131</w:t>
            </w:r>
            <w:r>
              <w:rPr>
                <w:rFonts w:hint="default" w:ascii="Times New Roman" w:hAnsi="Times New Roman" w:eastAsia="宋体" w:cs="Times New Roman"/>
                <w:color w:val="auto"/>
                <w:highlight w:val="none"/>
              </w:rPr>
              <w:t>治疗病房以及设有通风橱、手套箱等场所的通风系统排气口应高于本建筑物屋顶，尽可能远离邻近的高层建筑。</w:t>
            </w:r>
          </w:p>
          <w:p w14:paraId="37CC53DE">
            <w:pPr>
              <w:pStyle w:val="43"/>
              <w:keepNext w:val="0"/>
              <w:keepLines w:val="0"/>
              <w:suppressLineNumbers w:val="0"/>
              <w:spacing w:before="32" w:beforeAutospacing="0" w:after="0" w:afterAutospacing="0" w:line="36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1"/>
                <w:highlight w:val="none"/>
              </w:rPr>
              <w:t>根据《核医学放射防护要求》（GBZ120</w:t>
            </w:r>
            <w:r>
              <w:rPr>
                <w:rFonts w:hint="default" w:ascii="Times New Roman" w:hAnsi="Times New Roman" w:eastAsia="宋体" w:cs="Times New Roman"/>
                <w:b/>
                <w:bCs/>
                <w:color w:val="auto"/>
                <w:spacing w:val="-2"/>
                <w:highlight w:val="none"/>
              </w:rPr>
              <w:t>-2020</w:t>
            </w:r>
            <w:r>
              <w:rPr>
                <w:rFonts w:hint="default" w:ascii="Times New Roman" w:hAnsi="Times New Roman" w:eastAsia="宋体" w:cs="Times New Roman"/>
                <w:b/>
                <w:bCs/>
                <w:color w:val="auto"/>
                <w:spacing w:val="-17"/>
                <w:highlight w:val="none"/>
              </w:rPr>
              <w:t>）：</w:t>
            </w:r>
          </w:p>
          <w:p w14:paraId="199D996B">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放射防护措施要求</w:t>
            </w:r>
          </w:p>
          <w:p w14:paraId="248EA7B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5.2.6</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控制区的入口应设置电离辐射警告标志。</w:t>
            </w:r>
          </w:p>
          <w:p w14:paraId="1CF950D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5.2.7</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核医学场所中相应位置应有明确的患者或受检者导向标识或导向提示。</w:t>
            </w:r>
          </w:p>
          <w:p w14:paraId="7C50DE2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5.2.8</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给药后患者或受检者候诊室、扫描室应配备监视设施或观察窗和对讲装置。</w:t>
            </w:r>
          </w:p>
          <w:p w14:paraId="5ECA7F2F">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5.2.9</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应为放射性物质内部运输配备有足够屏蔽的储存、转运等容器。容器表面应设置电离辐射标志。</w:t>
            </w:r>
          </w:p>
          <w:p w14:paraId="1FB02BA1">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5.2.10</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扫描室外防护门上方应设置工作状态指示灯。</w:t>
            </w:r>
          </w:p>
          <w:p w14:paraId="4713D432">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操作中的放射防护要求</w:t>
            </w:r>
          </w:p>
          <w:p w14:paraId="3CCEF83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个人防护用品、辅助用品及去污用品配备</w:t>
            </w:r>
          </w:p>
          <w:p w14:paraId="64E725A1">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6.1.1</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个人防护用品及去污用品</w:t>
            </w:r>
          </w:p>
          <w:p w14:paraId="70BB6728">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开展核医学工作的医疗机构应根据工作内容，为工作人员配备合适的防护用品和去污用品，其数量应满足开展工作需要。对陪检者应至少配备铅橡胶防护衣。对操作</w:t>
            </w:r>
            <w:r>
              <w:rPr>
                <w:rFonts w:hint="eastAsia" w:cs="Times New Roman"/>
                <w:color w:val="auto"/>
                <w:highlight w:val="none"/>
                <w:vertAlign w:val="baseline"/>
                <w:lang w:eastAsia="zh-CN"/>
              </w:rPr>
              <w:t>F-18</w:t>
            </w:r>
            <w:r>
              <w:rPr>
                <w:rFonts w:hint="default" w:ascii="Times New Roman" w:hAnsi="Times New Roman" w:eastAsia="宋体" w:cs="Times New Roman"/>
                <w:color w:val="auto"/>
                <w:highlight w:val="none"/>
              </w:rPr>
              <w:t>等正电子放射性药物和</w:t>
            </w:r>
            <w:r>
              <w:rPr>
                <w:rFonts w:hint="eastAsia" w:cs="Times New Roman"/>
                <w:color w:val="auto"/>
                <w:highlight w:val="none"/>
                <w:vertAlign w:val="baseline"/>
                <w:lang w:eastAsia="zh-CN"/>
              </w:rPr>
              <w:t>I-131</w:t>
            </w:r>
            <w:r>
              <w:rPr>
                <w:rFonts w:hint="default" w:ascii="Times New Roman" w:hAnsi="Times New Roman" w:eastAsia="宋体" w:cs="Times New Roman"/>
                <w:color w:val="auto"/>
                <w:highlight w:val="none"/>
              </w:rPr>
              <w:t>的场所，此时应考虑其他的防护措施，如：穿戴放射性污染防护服、熟练操作技能、缩短工作时间、使用注射器防护套和先留置注射器留置针等措施。</w:t>
            </w:r>
          </w:p>
          <w:p w14:paraId="7F72F628">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6.1.2辅助用品</w:t>
            </w:r>
          </w:p>
          <w:p w14:paraId="14AE1B74">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根据工作内容及实际需要，合理选择使用移动铅屏风、注射器屏蔽套、带有屏蔽的容器、托盘、长柄镊子、分装柜或生物安全柜、屏蔽运输容器/放射性废物桶等辅助用品。</w:t>
            </w:r>
          </w:p>
          <w:p w14:paraId="3FC17458">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b/>
                <w:bCs/>
                <w:color w:val="auto"/>
                <w:spacing w:val="1"/>
                <w:sz w:val="24"/>
                <w:szCs w:val="24"/>
                <w:highlight w:val="none"/>
                <w:lang w:val="en-US" w:eastAsia="zh-CN" w:bidi="ar-SA"/>
              </w:rPr>
            </w:pPr>
            <w:r>
              <w:rPr>
                <w:rFonts w:hint="default" w:ascii="Times New Roman" w:hAnsi="Times New Roman" w:eastAsia="宋体" w:cs="Times New Roman"/>
                <w:b/>
                <w:bCs/>
                <w:color w:val="auto"/>
                <w:spacing w:val="1"/>
                <w:sz w:val="24"/>
                <w:szCs w:val="24"/>
                <w:highlight w:val="none"/>
                <w:lang w:val="en-US" w:eastAsia="zh-CN" w:bidi="ar-SA"/>
              </w:rPr>
              <w:t>表7-10  个人防护用品</w:t>
            </w:r>
          </w:p>
          <w:p w14:paraId="60A9435A">
            <w:pPr>
              <w:pStyle w:val="43"/>
              <w:keepNext w:val="0"/>
              <w:keepLines w:val="0"/>
              <w:suppressLineNumbers w:val="0"/>
              <w:spacing w:before="213" w:beforeAutospacing="0" w:after="0" w:afterAutospacing="0" w:line="360" w:lineRule="auto"/>
              <w:ind w:left="128" w:right="107" w:firstLine="469"/>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4779645" cy="2345690"/>
                  <wp:effectExtent l="0" t="0" r="1905" b="16510"/>
                  <wp:docPr id="3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4"/>
                          <pic:cNvPicPr>
                            <a:picLocks noChangeAspect="1"/>
                          </pic:cNvPicPr>
                        </pic:nvPicPr>
                        <pic:blipFill>
                          <a:blip r:embed="rId9"/>
                          <a:stretch>
                            <a:fillRect/>
                          </a:stretch>
                        </pic:blipFill>
                        <pic:spPr>
                          <a:xfrm>
                            <a:off x="0" y="0"/>
                            <a:ext cx="4779645" cy="2345690"/>
                          </a:xfrm>
                          <a:prstGeom prst="rect">
                            <a:avLst/>
                          </a:prstGeom>
                          <a:noFill/>
                          <a:ln>
                            <a:noFill/>
                          </a:ln>
                        </pic:spPr>
                      </pic:pic>
                    </a:graphicData>
                  </a:graphic>
                </wp:inline>
              </w:drawing>
            </w:r>
          </w:p>
          <w:p w14:paraId="77131B1A">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应急及去污用品主要包括下列物品：一次性防水手套、气溶胶防护口罩、安全眼镜、防水工作服、胶鞋、去污剂和/或喷雾（至少为加入清洗洗涤剂和硫代硫酸钠的水）；小刷子、一次性毛巾或吸水纸、毡头标记笔（水溶性油墨）、不同大小的塑料袋、酒精湿巾、电离辐射警告标志、胶带、标签、不透水的塑料布、一次性镊子。</w:t>
            </w:r>
          </w:p>
          <w:p w14:paraId="7C725C04">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 放射性药物操作的放射防护要求</w:t>
            </w:r>
          </w:p>
          <w:p w14:paraId="6AFD056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6.2.1 操作放射性药物应有专门场所，如临床诊疗需要在非专门场所给药时则需 采取适当的防护措施。放射性药物使用前应适当屏蔽。</w:t>
            </w:r>
          </w:p>
          <w:p w14:paraId="391B2D2B">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6.2.2 装有放射性药物的给药注射器，应有适当屏蔽。</w:t>
            </w:r>
          </w:p>
          <w:p w14:paraId="0487D87D">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6.2.3 操作放射性药物时，应根据实际情况，熟练操作技能、缩短工作时间并正 确使用个人防护用品。</w:t>
            </w:r>
          </w:p>
          <w:p w14:paraId="0EEA1D71">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6.2.5 控制区内不应进食、饮水、吸烟、化妆，也不应进行无关工作及存放无关 物品。</w:t>
            </w:r>
          </w:p>
          <w:p w14:paraId="7334A36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6.2.6 操作放射性核素的工作人员，在离开放射性工作场所前应洗手和进行表面 污染检测，如其污染水平超过</w:t>
            </w:r>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7.3-8 规定值，应采取相应去污措施。</w:t>
            </w:r>
          </w:p>
          <w:p w14:paraId="32AA912F">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6.2.7 从控制区取出物品应进行表面污染检测，以杜绝超过</w:t>
            </w:r>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7.3-8 规定的表面 污染控制水平的物品被带出控制区。</w:t>
            </w:r>
          </w:p>
          <w:p w14:paraId="18682B82">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6.2.9 放射性物质的贮存容器或保险箱应有适当屏蔽。放射性物质的放置应合理 有序、易于取放，每次取放的放射性物质应只限于需用的部分。</w:t>
            </w:r>
          </w:p>
          <w:p w14:paraId="4819D328">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6.2.10 放射性物质贮存室应定期进行放射防护监测，无关人员不应入内。</w:t>
            </w:r>
          </w:p>
          <w:p w14:paraId="0622D371">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6.2.11 贮存和运输放射性物质时应使用专门容器，取放容器中内容物时，不应污 染容器。容器在运输时应有适当的固定措施。</w:t>
            </w:r>
          </w:p>
          <w:p w14:paraId="21FE8F6C">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6.2.12 贮存的放射性物质应及时登记建档，登记内容包括生产单位、到货日期、核素种类、理化性质、活度和容器表面放射性污染擦拭试验结果等。</w:t>
            </w:r>
          </w:p>
          <w:p w14:paraId="3D966792">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6.2.13 所有放射性物质不再使用时，应立即送回原地安全储存。</w:t>
            </w:r>
          </w:p>
          <w:p w14:paraId="20A36133">
            <w:pPr>
              <w:keepNext w:val="0"/>
              <w:keepLines w:val="0"/>
              <w:widowControl/>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6.2.14 当发生放射性物质溢出、散漏事故时，应根据单位制定的放射事故处置应 急预案，参照使用 6.1.2 所列用品，及时控制、消除放射性污染； 当人员皮肤、伤口 被污染时，应迅速去污并给予医学处理。</w:t>
            </w:r>
          </w:p>
          <w:p w14:paraId="532E8C31">
            <w:pPr>
              <w:pStyle w:val="43"/>
              <w:keepNext w:val="0"/>
              <w:keepLines w:val="0"/>
              <w:suppressLineNumbers w:val="0"/>
              <w:spacing w:before="31" w:beforeAutospacing="0" w:after="0" w:afterAutospacing="0" w:line="220" w:lineRule="auto"/>
              <w:ind w:left="0"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7.3.8 放射性废物处理规定</w:t>
            </w:r>
          </w:p>
          <w:p w14:paraId="1C00D59D">
            <w:pPr>
              <w:pStyle w:val="43"/>
              <w:keepNext w:val="0"/>
              <w:keepLines w:val="0"/>
              <w:suppressLineNumbers w:val="0"/>
              <w:spacing w:before="213" w:beforeAutospacing="0" w:after="0" w:afterAutospacing="0" w:line="220" w:lineRule="auto"/>
              <w:ind w:left="115"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"7.3.8.1"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b/>
                <w:bCs/>
                <w:color w:val="auto"/>
                <w:spacing w:val="-2"/>
                <w:highlight w:val="none"/>
              </w:rPr>
              <w:t>7.3.8.1</w:t>
            </w:r>
            <w:r>
              <w:rPr>
                <w:rFonts w:hint="default" w:ascii="Times New Roman" w:hAnsi="Times New Roman" w:eastAsia="宋体" w:cs="Times New Roman"/>
                <w:b/>
                <w:bCs/>
                <w:color w:val="auto"/>
                <w:spacing w:val="-2"/>
                <w:highlight w:val="none"/>
              </w:rPr>
              <w:fldChar w:fldCharType="end"/>
            </w:r>
            <w:r>
              <w:rPr>
                <w:rFonts w:hint="default" w:ascii="Times New Roman" w:hAnsi="Times New Roman" w:eastAsia="宋体" w:cs="Times New Roman"/>
                <w:b/>
                <w:bCs/>
                <w:color w:val="auto"/>
                <w:spacing w:val="-2"/>
                <w:highlight w:val="none"/>
              </w:rPr>
              <w:t xml:space="preserve"> 核医学项目</w:t>
            </w:r>
          </w:p>
          <w:p w14:paraId="7CBCD0E8">
            <w:pPr>
              <w:pStyle w:val="43"/>
              <w:keepNext w:val="0"/>
              <w:keepLines w:val="0"/>
              <w:suppressLineNumbers w:val="0"/>
              <w:spacing w:before="215" w:beforeAutospacing="0" w:after="0" w:afterAutospacing="0" w:line="220" w:lineRule="auto"/>
              <w:ind w:left="123"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4"/>
                <w:highlight w:val="none"/>
              </w:rPr>
              <w:t>（1）放射性废液</w:t>
            </w:r>
          </w:p>
          <w:p w14:paraId="20F332C4">
            <w:pPr>
              <w:pStyle w:val="43"/>
              <w:keepNext w:val="0"/>
              <w:keepLines w:val="0"/>
              <w:suppressLineNumbers w:val="0"/>
              <w:spacing w:before="212" w:beforeAutospacing="0" w:after="0" w:afterAutospacing="0" w:line="22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根据《核医学辐射防护与安全要求》（HJ1188-2021</w:t>
            </w:r>
            <w:r>
              <w:rPr>
                <w:rFonts w:hint="default" w:ascii="Times New Roman" w:hAnsi="Times New Roman" w:eastAsia="宋体" w:cs="Times New Roman"/>
                <w:b/>
                <w:bCs/>
                <w:color w:val="auto"/>
                <w:spacing w:val="1"/>
                <w:highlight w:val="none"/>
              </w:rPr>
              <w:t>）</w:t>
            </w:r>
            <w:r>
              <w:rPr>
                <w:rFonts w:hint="default" w:ascii="Times New Roman" w:hAnsi="Times New Roman" w:eastAsia="宋体" w:cs="Times New Roman"/>
                <w:color w:val="auto"/>
                <w:spacing w:val="1"/>
                <w:highlight w:val="none"/>
              </w:rPr>
              <w:t>：</w:t>
            </w:r>
          </w:p>
          <w:p w14:paraId="1A0AAA0A">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7.3</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液态放射性废物的管理</w:t>
            </w:r>
          </w:p>
          <w:p w14:paraId="7F8D8298">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7.3.1</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放射性废液收集</w:t>
            </w:r>
          </w:p>
          <w:p w14:paraId="660F4EBF">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"7.3.1.1"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7.3.1.1</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核医学工作场所应设置有槽式或推流式放射性废液衰变池或专用容器，收集放射性药物操作间、核素治疗病房、给药后患者卫生间、卫生通过间等场所产生的放射性废液和事故应急时清洗产生的放射性废液。</w:t>
            </w:r>
          </w:p>
          <w:p w14:paraId="04A6F7CD">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"7.3.1.2"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7.3.1.2</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核医学工作场所放射性药物标记、分装、注射后的残留液和含放射性核素的其他废液应收集在专用容器中。含有长半衰期核素的放射性废液应单独收集存放。盛放放射性废液的容器表面应张贴电离辐射标志。</w:t>
            </w:r>
          </w:p>
          <w:p w14:paraId="57BBF164">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"7.3.1.3"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7.3.1.3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核医学工作场所的上水需配备洗消处理设备（包括洗消液）。控制区和卫生通过间内的淋浴间、盥洗水盆、清洗池等应选用脚踏式或自动感应式的开关，以减少场所内的设备放射性污染。头、眼和面部宜采用向上冲淋的流动水。</w:t>
            </w:r>
          </w:p>
          <w:p w14:paraId="4F03608F">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"7.3.1.4"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7.3.1.4</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放射性废液收集的管道走向、阀门和管道的连接应设计成尽可能少的死区，下水道宜短，大水流管道应有标记，避免放射性废液集聚，便于检测和维修。</w:t>
            </w:r>
          </w:p>
          <w:p w14:paraId="7D4B53FB">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7.3.2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放射性废液贮存</w:t>
            </w:r>
          </w:p>
          <w:p w14:paraId="7F60FD3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"7.3.2.1"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7.3.2.1</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经衰变池和专用容器收集的放射性废液，应贮存至满足排放要求。衰变池或专用容器的容积应充分考虑场所内操作的放射性药物的半衰期、日常核医学诊疗及研究中预期产生贮存的废液量以及事故应急时的清洗需要；衰变池池体应坚固、耐酸碱腐蚀、无渗透性、内壁光滑和具有可靠的防泄漏措施。</w:t>
            </w:r>
          </w:p>
          <w:p w14:paraId="5B9BC9FD">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"7.3.2.2"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7.3.2.2</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含</w:t>
            </w:r>
            <w:r>
              <w:rPr>
                <w:rFonts w:hint="default" w:ascii="Times New Roman" w:hAnsi="Times New Roman" w:eastAsia="宋体" w:cs="Times New Roman"/>
                <w:color w:val="auto"/>
                <w:highlight w:val="none"/>
                <w:vertAlign w:val="baseline"/>
              </w:rPr>
              <w:t>碘-131</w:t>
            </w:r>
            <w:r>
              <w:rPr>
                <w:rFonts w:hint="default" w:ascii="Times New Roman" w:hAnsi="Times New Roman" w:eastAsia="宋体" w:cs="Times New Roman"/>
                <w:color w:val="auto"/>
                <w:highlight w:val="none"/>
              </w:rPr>
              <w:t>治疗病房的核医学工作场所应设置槽式废液衰变池。槽式废液衰变池应由污泥池和槽式衰变池组成，衰变池本体设计为2组或以上槽式池体，交替贮存、衰变和排放废液。在废液池上预设取样口。有防止废液溢出、污泥硬化淤积、堵塞进出水口、废液衰变池超压的措施。</w:t>
            </w:r>
          </w:p>
          <w:p w14:paraId="1E249E3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"7.3.2.3"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7.3.2.3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核医学诊断和门诊</w:t>
            </w:r>
            <w:r>
              <w:rPr>
                <w:rFonts w:hint="default" w:ascii="Times New Roman" w:hAnsi="Times New Roman" w:eastAsia="宋体" w:cs="Times New Roman"/>
                <w:color w:val="auto"/>
                <w:highlight w:val="none"/>
                <w:vertAlign w:val="baseline"/>
              </w:rPr>
              <w:t>碘-131</w:t>
            </w:r>
            <w:r>
              <w:rPr>
                <w:rFonts w:hint="default" w:ascii="Times New Roman" w:hAnsi="Times New Roman" w:eastAsia="宋体" w:cs="Times New Roman"/>
                <w:color w:val="auto"/>
                <w:highlight w:val="none"/>
              </w:rPr>
              <w:t>治疗场所，可设置推流式放射性废液衰变池。推流式衰变池应包括污泥池、衰变池和检测池。应采用有效措施确保放射性废液经污泥池过滤沉淀固形物，推流至衰变池，衰变池本体分为3-5级分隔连续式衰变池，池内设导流墙。污泥池池底有防止和去除污泥硬化淤积的措施。</w:t>
            </w:r>
          </w:p>
          <w:p w14:paraId="0395B59C">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7.3.3</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放射性废液排放</w:t>
            </w:r>
          </w:p>
          <w:p w14:paraId="6C56047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"7.3.3.1"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7.3.3.1</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对于槽式衰变池贮存方式：</w:t>
            </w:r>
          </w:p>
          <w:p w14:paraId="5C6E81B0">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a）所含核素半衰期小于24小时的放射性废液暂存时间超过30天后可直接解控排放；</w:t>
            </w:r>
          </w:p>
          <w:p w14:paraId="17CE5270">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b）所含核素半衰期大于24小时的放射性废液暂存时间超过10倍最长半衰期（含</w:t>
            </w:r>
            <w:r>
              <w:rPr>
                <w:rFonts w:hint="default" w:ascii="Times New Roman" w:hAnsi="Times New Roman" w:eastAsia="宋体" w:cs="Times New Roman"/>
                <w:color w:val="auto"/>
                <w:highlight w:val="none"/>
                <w:vertAlign w:val="baseline"/>
              </w:rPr>
              <w:t>碘-131</w:t>
            </w:r>
            <w:r>
              <w:rPr>
                <w:rFonts w:hint="default" w:ascii="Times New Roman" w:hAnsi="Times New Roman" w:eastAsia="宋体" w:cs="Times New Roman"/>
                <w:color w:val="auto"/>
                <w:highlight w:val="none"/>
              </w:rPr>
              <w:t>核素的暂存超过180天），监测结果经审管部门认可后，按照GB18871中8.6.2规定方式进行排放。放射性废液总排放口总α不大于1Bq/L、总β不大于10Bq/L、</w:t>
            </w:r>
            <w:r>
              <w:rPr>
                <w:rFonts w:hint="default" w:ascii="Times New Roman" w:hAnsi="Times New Roman" w:eastAsia="宋体" w:cs="Times New Roman"/>
                <w:color w:val="auto"/>
                <w:highlight w:val="none"/>
                <w:vertAlign w:val="baseline"/>
              </w:rPr>
              <w:t>碘-131</w:t>
            </w:r>
            <w:r>
              <w:rPr>
                <w:rFonts w:hint="default" w:ascii="Times New Roman" w:hAnsi="Times New Roman" w:eastAsia="宋体" w:cs="Times New Roman"/>
                <w:color w:val="auto"/>
                <w:highlight w:val="none"/>
              </w:rPr>
              <w:t>的放射性活度浓度不大于10Bq/L。</w:t>
            </w:r>
          </w:p>
          <w:p w14:paraId="47C0876E">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"7.3.3.2"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7.3.3.2</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对于推流式衰变池贮存方式，所含核素半衰期大于24小时的，每年应对衰变池中的放射性废液进行监测，</w:t>
            </w:r>
            <w:r>
              <w:rPr>
                <w:rFonts w:hint="default" w:ascii="Times New Roman" w:hAnsi="Times New Roman" w:eastAsia="宋体" w:cs="Times New Roman"/>
                <w:color w:val="auto"/>
                <w:highlight w:val="none"/>
                <w:vertAlign w:val="baseline"/>
              </w:rPr>
              <w:t>碘-131</w:t>
            </w:r>
            <w:r>
              <w:rPr>
                <w:rFonts w:hint="default" w:ascii="Times New Roman" w:hAnsi="Times New Roman" w:eastAsia="宋体" w:cs="Times New Roman"/>
                <w:color w:val="auto"/>
                <w:highlight w:val="none"/>
              </w:rPr>
              <w:t>和最长半衰期核素的放射性活度浓度应满足GB18871附录A表A1的要求。</w:t>
            </w:r>
          </w:p>
          <w:p w14:paraId="1666E3EC">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"7.3.3.3"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7.3.3.3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放射性废液的暂存和处理应安排专人负责，并建立废物暂存和处理台账，详细记录放射性废液所含的核素名称、体积、废液产生起始日期、责任人员、排放时间、监测结果等信息。</w:t>
            </w:r>
          </w:p>
          <w:p w14:paraId="5F744FD6">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7.4气态放射性废物的管理</w:t>
            </w:r>
          </w:p>
          <w:p w14:paraId="3768B134">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7.4.1产生气态放射性废物的核医学场所应设置独立的通风系统，合理组织工作场所的气流，对排出工作场所的气体进行过滤净化，避免污染工作场所和环境。</w:t>
            </w:r>
          </w:p>
          <w:p w14:paraId="0F3DEF9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7.4.2应定期检查通风系统过滤净化器的有效性，及时更换失效的过滤器，更换周期不能超过厂家推荐的使用时间。更换下来的过滤器按放射性固体废物进行收集、处理。</w:t>
            </w:r>
          </w:p>
          <w:p w14:paraId="39B4C6AC">
            <w:pPr>
              <w:pStyle w:val="43"/>
              <w:keepNext w:val="0"/>
              <w:keepLines w:val="0"/>
              <w:suppressLineNumbers w:val="0"/>
              <w:spacing w:before="207" w:beforeAutospacing="0" w:after="0" w:afterAutospacing="0" w:line="22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1"/>
                <w:highlight w:val="none"/>
              </w:rPr>
              <w:t>根据《核医学放射防护要求》（GBZ120</w:t>
            </w:r>
            <w:r>
              <w:rPr>
                <w:rFonts w:hint="default" w:ascii="Times New Roman" w:hAnsi="Times New Roman" w:eastAsia="宋体" w:cs="Times New Roman"/>
                <w:b/>
                <w:bCs/>
                <w:color w:val="auto"/>
                <w:spacing w:val="-2"/>
                <w:highlight w:val="none"/>
              </w:rPr>
              <w:t>-2020</w:t>
            </w:r>
            <w:r>
              <w:rPr>
                <w:rFonts w:hint="default" w:ascii="Times New Roman" w:hAnsi="Times New Roman" w:eastAsia="宋体" w:cs="Times New Roman"/>
                <w:b/>
                <w:bCs/>
                <w:color w:val="auto"/>
                <w:spacing w:val="-4"/>
                <w:highlight w:val="none"/>
              </w:rPr>
              <w:t>）：</w:t>
            </w:r>
          </w:p>
          <w:p w14:paraId="475D0C7D">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8.3 放射性废液衰变池应合理布局，池底和池壁应坚固、耐酸碱腐蚀和无渗透性，并有防泄漏措施。</w:t>
            </w:r>
          </w:p>
          <w:p w14:paraId="69EFCFE3">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8.4 开展放射性药物治疗的医疗机构，应为住院治疗患者或受检者提供有防护标志的专用厕所，专用厕所应具备使患者或受检者排泄物迅速全部冲入放射性废液衰变池的条件，而且随时保持便池周围清洁。</w:t>
            </w:r>
          </w:p>
          <w:p w14:paraId="42A80765">
            <w:pPr>
              <w:pStyle w:val="43"/>
              <w:keepNext w:val="0"/>
              <w:keepLines w:val="0"/>
              <w:suppressLineNumbers w:val="0"/>
              <w:spacing w:before="214" w:beforeAutospacing="0" w:after="0" w:afterAutospacing="0" w:line="36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1"/>
                <w:highlight w:val="none"/>
              </w:rPr>
              <w:t>根据《电离辐射防护与辐射源安全基本标准》（GB</w:t>
            </w:r>
            <w:r>
              <w:rPr>
                <w:rFonts w:hint="default" w:ascii="Times New Roman" w:hAnsi="Times New Roman" w:eastAsia="宋体" w:cs="Times New Roman"/>
                <w:b/>
                <w:bCs/>
                <w:color w:val="auto"/>
                <w:spacing w:val="-2"/>
                <w:highlight w:val="none"/>
              </w:rPr>
              <w:t>18871-2002</w:t>
            </w:r>
            <w:r>
              <w:rPr>
                <w:rFonts w:hint="default" w:ascii="Times New Roman" w:hAnsi="Times New Roman" w:eastAsia="宋体" w:cs="Times New Roman"/>
                <w:b/>
                <w:bCs/>
                <w:color w:val="auto"/>
                <w:spacing w:val="-3"/>
                <w:highlight w:val="none"/>
              </w:rPr>
              <w:t>）：</w:t>
            </w:r>
          </w:p>
          <w:p w14:paraId="51D2DEA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8.6.2</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不得将放射性废液排入普通下水道，除非经审管部门确认是满足下列条件的低放废液，方可直接排入流量大于10倍排放流量的普通下水道，并应对每次排放</w:t>
            </w:r>
            <w:r>
              <w:rPr>
                <w:rFonts w:hint="eastAsia" w:cs="Times New Roman"/>
                <w:color w:val="auto"/>
                <w:highlight w:val="none"/>
                <w:lang w:eastAsia="zh-CN"/>
              </w:rPr>
              <w:t>做好</w:t>
            </w:r>
            <w:r>
              <w:rPr>
                <w:rFonts w:hint="default" w:ascii="Times New Roman" w:hAnsi="Times New Roman" w:cs="Times New Roman"/>
                <w:color w:val="auto"/>
                <w:highlight w:val="none"/>
              </w:rPr>
              <w:t>记录：</w:t>
            </w:r>
          </w:p>
          <w:p w14:paraId="5572A9D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a）每月排放的总活度不超过10ALImin（ALImin是相应于职业照射的食入和吸入ALI值中的较小者，其具体数值可按B1.3.4和B1.3.5条的规定获得）；</w:t>
            </w:r>
          </w:p>
          <w:p w14:paraId="737F5329">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b）每一次排放的活度不超过1ALImin，并且每次排放后用不少于3倍排放量的水进行冲洗。</w:t>
            </w:r>
          </w:p>
          <w:p w14:paraId="7ED291AE">
            <w:pPr>
              <w:pStyle w:val="43"/>
              <w:keepNext w:val="0"/>
              <w:keepLines w:val="0"/>
              <w:suppressLineNumbers w:val="0"/>
              <w:spacing w:before="213" w:beforeAutospacing="0" w:after="0" w:afterAutospacing="0" w:line="360" w:lineRule="auto"/>
              <w:ind w:left="0" w:right="107" w:firstLine="478" w:firstLineChars="200"/>
              <w:jc w:val="both"/>
              <w:rPr>
                <w:rFonts w:hint="default" w:ascii="Times New Roman" w:hAnsi="Times New Roman" w:eastAsia="宋体" w:cs="Times New Roman"/>
                <w:color w:val="auto"/>
                <w:spacing w:val="-2"/>
                <w:sz w:val="24"/>
                <w:szCs w:val="24"/>
                <w:highlight w:val="none"/>
                <w:lang w:val="en-US" w:eastAsia="zh-CN" w:bidi="ar-SA"/>
              </w:rPr>
            </w:pPr>
            <w:r>
              <w:rPr>
                <w:rFonts w:hint="default" w:ascii="Times New Roman" w:hAnsi="Times New Roman" w:eastAsia="宋体" w:cs="Times New Roman"/>
                <w:b/>
                <w:bCs/>
                <w:color w:val="auto"/>
                <w:spacing w:val="-1"/>
                <w:highlight w:val="none"/>
                <w:lang w:val="en-US" w:eastAsia="zh-CN"/>
              </w:rPr>
              <w:t>根据</w:t>
            </w:r>
            <w:r>
              <w:rPr>
                <w:rFonts w:hint="default" w:ascii="Times New Roman" w:hAnsi="Times New Roman" w:eastAsia="宋体" w:cs="Times New Roman"/>
                <w:b/>
                <w:bCs/>
                <w:color w:val="auto"/>
                <w:spacing w:val="-1"/>
                <w:highlight w:val="none"/>
              </w:rPr>
              <w:t>《医疗机构水污染物排放标准》（GB18466-2005）</w:t>
            </w:r>
            <w:r>
              <w:rPr>
                <w:rFonts w:hint="default" w:ascii="Times New Roman" w:hAnsi="Times New Roman" w:eastAsia="宋体" w:cs="Times New Roman"/>
                <w:b/>
                <w:bCs/>
                <w:color w:val="auto"/>
                <w:spacing w:val="-1"/>
                <w:highlight w:val="none"/>
                <w:lang w:eastAsia="zh-CN"/>
              </w:rPr>
              <w:t>：</w:t>
            </w:r>
            <w:r>
              <w:rPr>
                <w:rFonts w:hint="default" w:ascii="Times New Roman" w:hAnsi="Times New Roman" w:eastAsia="宋体" w:cs="Times New Roman"/>
                <w:color w:val="auto"/>
                <w:spacing w:val="-2"/>
                <w:sz w:val="24"/>
                <w:szCs w:val="24"/>
                <w:highlight w:val="none"/>
                <w:lang w:val="en-US" w:eastAsia="zh-CN" w:bidi="ar-SA"/>
              </w:rPr>
              <w:t>综合医疗机构和其他医疗机构水污染物排放限值（日均值），总β排放标准为10（Bq/L）。</w:t>
            </w:r>
          </w:p>
          <w:p w14:paraId="021BF3A9">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5.4 款医疗机构的各种特殊排水应单独收集并进行处理后，再排入医院污水处理站。</w:t>
            </w:r>
          </w:p>
          <w:p w14:paraId="7FADC76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5.4.1 款低放射性废水应经衰变池处理。</w:t>
            </w:r>
          </w:p>
          <w:p w14:paraId="39BC31F3">
            <w:pPr>
              <w:pStyle w:val="43"/>
              <w:keepNext w:val="0"/>
              <w:keepLines w:val="0"/>
              <w:suppressLineNumbers w:val="0"/>
              <w:spacing w:before="185" w:beforeAutospacing="0" w:after="0" w:afterAutospacing="0" w:line="220" w:lineRule="auto"/>
              <w:ind w:left="123"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4"/>
                <w:highlight w:val="none"/>
              </w:rPr>
              <w:t>（2）放射性固体废物</w:t>
            </w:r>
          </w:p>
          <w:p w14:paraId="4F825A16">
            <w:pPr>
              <w:pStyle w:val="43"/>
              <w:keepNext w:val="0"/>
              <w:keepLines w:val="0"/>
              <w:suppressLineNumbers w:val="0"/>
              <w:spacing w:before="214" w:beforeAutospacing="0" w:after="0" w:afterAutospacing="0" w:line="22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根据《核医学辐射防护与安全要求》（HJ1188-2021</w:t>
            </w:r>
            <w:r>
              <w:rPr>
                <w:rFonts w:hint="default" w:ascii="Times New Roman" w:hAnsi="Times New Roman" w:eastAsia="宋体" w:cs="Times New Roman"/>
                <w:b/>
                <w:bCs/>
                <w:color w:val="auto"/>
                <w:spacing w:val="1"/>
                <w:highlight w:val="none"/>
              </w:rPr>
              <w:t>）</w:t>
            </w:r>
            <w:r>
              <w:rPr>
                <w:rFonts w:hint="default" w:ascii="Times New Roman" w:hAnsi="Times New Roman" w:eastAsia="宋体" w:cs="Times New Roman"/>
                <w:color w:val="auto"/>
                <w:spacing w:val="1"/>
                <w:highlight w:val="none"/>
              </w:rPr>
              <w:t>：</w:t>
            </w:r>
          </w:p>
          <w:p w14:paraId="230663F8">
            <w:pPr>
              <w:pStyle w:val="43"/>
              <w:keepNext w:val="0"/>
              <w:keepLines w:val="0"/>
              <w:suppressLineNumbers w:val="0"/>
              <w:spacing w:before="213" w:beforeAutospacing="0" w:after="0" w:afterAutospacing="0" w:line="220" w:lineRule="auto"/>
              <w:ind w:left="596"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7 放射性废物的管理</w:t>
            </w:r>
          </w:p>
          <w:p w14:paraId="24614AE7">
            <w:pPr>
              <w:pStyle w:val="43"/>
              <w:keepNext w:val="0"/>
              <w:keepLines w:val="0"/>
              <w:suppressLineNumbers w:val="0"/>
              <w:spacing w:before="213" w:beforeAutospacing="0" w:after="0" w:afterAutospacing="0" w:line="221" w:lineRule="auto"/>
              <w:ind w:left="596"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4"/>
                <w:highlight w:val="none"/>
              </w:rPr>
              <w:t>7.1</w:t>
            </w:r>
            <w:r>
              <w:rPr>
                <w:rFonts w:hint="default" w:ascii="Times New Roman" w:hAnsi="Times New Roman" w:eastAsia="宋体" w:cs="Times New Roman"/>
                <w:color w:val="auto"/>
                <w:spacing w:val="18"/>
                <w:highlight w:val="none"/>
              </w:rPr>
              <w:t xml:space="preserve"> </w:t>
            </w:r>
            <w:r>
              <w:rPr>
                <w:rFonts w:hint="default" w:ascii="Times New Roman" w:hAnsi="Times New Roman" w:eastAsia="宋体" w:cs="Times New Roman"/>
                <w:color w:val="auto"/>
                <w:spacing w:val="-4"/>
                <w:highlight w:val="none"/>
              </w:rPr>
              <w:t>一般要求</w:t>
            </w:r>
          </w:p>
          <w:p w14:paraId="62B102D7">
            <w:pPr>
              <w:pStyle w:val="43"/>
              <w:keepNext w:val="0"/>
              <w:keepLines w:val="0"/>
              <w:suppressLineNumbers w:val="0"/>
              <w:spacing w:before="213" w:beforeAutospacing="0" w:after="0" w:afterAutospacing="0" w:line="331" w:lineRule="auto"/>
              <w:ind w:left="121" w:right="127" w:firstLine="475"/>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4"/>
                <w:highlight w:val="none"/>
              </w:rPr>
              <w:t>7.1.1</w:t>
            </w:r>
            <w:r>
              <w:rPr>
                <w:rFonts w:hint="default" w:ascii="Times New Roman" w:hAnsi="Times New Roman" w:eastAsia="宋体" w:cs="Times New Roman"/>
                <w:color w:val="auto"/>
                <w:spacing w:val="-4"/>
                <w:highlight w:val="none"/>
                <w:lang w:val="en-US" w:eastAsia="zh-CN"/>
              </w:rPr>
              <w:t xml:space="preserve"> </w:t>
            </w:r>
            <w:r>
              <w:rPr>
                <w:rFonts w:hint="default" w:ascii="Times New Roman" w:hAnsi="Times New Roman" w:eastAsia="宋体" w:cs="Times New Roman"/>
                <w:color w:val="auto"/>
                <w:spacing w:val="-4"/>
                <w:highlight w:val="none"/>
              </w:rPr>
              <w:t>应根据核医学实践中产生废物的形态及其中</w:t>
            </w:r>
            <w:r>
              <w:rPr>
                <w:rFonts w:hint="default" w:ascii="Times New Roman" w:hAnsi="Times New Roman" w:eastAsia="宋体" w:cs="Times New Roman"/>
                <w:color w:val="auto"/>
                <w:spacing w:val="-5"/>
                <w:highlight w:val="none"/>
              </w:rPr>
              <w:t>的放射性核素的种类、半衰期、</w:t>
            </w:r>
            <w:r>
              <w:rPr>
                <w:rFonts w:hint="default" w:ascii="Times New Roman" w:hAnsi="Times New Roman" w:eastAsia="宋体" w:cs="Times New Roman"/>
                <w:color w:val="auto"/>
                <w:spacing w:val="1"/>
                <w:highlight w:val="none"/>
              </w:rPr>
              <w:t>活度水平和理化性质等，按放射性废物分类要求将放射性废物进行分类收集和分别</w:t>
            </w:r>
            <w:r>
              <w:rPr>
                <w:rFonts w:hint="default" w:ascii="Times New Roman" w:hAnsi="Times New Roman" w:eastAsia="宋体" w:cs="Times New Roman"/>
                <w:color w:val="auto"/>
                <w:spacing w:val="-11"/>
                <w:highlight w:val="none"/>
              </w:rPr>
              <w:t>处理。</w:t>
            </w:r>
          </w:p>
          <w:p w14:paraId="11455C53">
            <w:pPr>
              <w:pStyle w:val="43"/>
              <w:keepNext w:val="0"/>
              <w:keepLines w:val="0"/>
              <w:suppressLineNumbers w:val="0"/>
              <w:spacing w:before="210" w:beforeAutospacing="0" w:after="0" w:afterAutospacing="0" w:line="302" w:lineRule="auto"/>
              <w:ind w:left="118" w:right="213" w:firstLine="478"/>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7.1.2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应按照废物最小化的原则区分放射性废</w:t>
            </w:r>
            <w:r>
              <w:rPr>
                <w:rFonts w:hint="default" w:ascii="Times New Roman" w:hAnsi="Times New Roman" w:eastAsia="宋体" w:cs="Times New Roman"/>
                <w:color w:val="auto"/>
                <w:spacing w:val="-1"/>
                <w:highlight w:val="none"/>
              </w:rPr>
              <w:t>物与解控废物，不能混同处理，应</w:t>
            </w:r>
            <w:r>
              <w:rPr>
                <w:rFonts w:hint="default" w:ascii="Times New Roman" w:hAnsi="Times New Roman" w:eastAsia="宋体" w:cs="Times New Roman"/>
                <w:color w:val="auto"/>
                <w:spacing w:val="-3"/>
                <w:highlight w:val="none"/>
              </w:rPr>
              <w:t>尽量控制和减少放射性废物产生量。</w:t>
            </w:r>
          </w:p>
          <w:p w14:paraId="6E4EDD2A">
            <w:pPr>
              <w:pStyle w:val="43"/>
              <w:keepNext w:val="0"/>
              <w:keepLines w:val="0"/>
              <w:suppressLineNumbers w:val="0"/>
              <w:spacing w:before="212" w:beforeAutospacing="0" w:after="0" w:afterAutospacing="0" w:line="330" w:lineRule="auto"/>
              <w:ind w:left="117" w:right="146" w:firstLine="479"/>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7.1.3</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核医学实践中产生的短寿命放射性废物</w:t>
            </w:r>
            <w:r>
              <w:rPr>
                <w:rFonts w:hint="default" w:ascii="Times New Roman" w:hAnsi="Times New Roman" w:eastAsia="宋体" w:cs="Times New Roman"/>
                <w:color w:val="auto"/>
                <w:spacing w:val="-1"/>
                <w:highlight w:val="none"/>
              </w:rPr>
              <w:t>，应尽量利用贮存衰变的方法进行</w:t>
            </w:r>
            <w:r>
              <w:rPr>
                <w:rFonts w:hint="default" w:ascii="Times New Roman" w:hAnsi="Times New Roman" w:eastAsia="宋体" w:cs="Times New Roman"/>
                <w:color w:val="auto"/>
                <w:spacing w:val="-3"/>
                <w:highlight w:val="none"/>
              </w:rPr>
              <w:t>处理，待放射性核素活度浓度满足解控水平</w:t>
            </w:r>
            <w:r>
              <w:rPr>
                <w:rFonts w:hint="default" w:ascii="Times New Roman" w:hAnsi="Times New Roman" w:eastAsia="宋体" w:cs="Times New Roman"/>
                <w:color w:val="auto"/>
                <w:spacing w:val="-4"/>
                <w:highlight w:val="none"/>
              </w:rPr>
              <w:t>后，实施解控。不能解控的放射性废物，</w:t>
            </w:r>
            <w:r>
              <w:rPr>
                <w:rFonts w:hint="default" w:ascii="Times New Roman" w:hAnsi="Times New Roman" w:eastAsia="宋体" w:cs="Times New Roman"/>
                <w:color w:val="auto"/>
                <w:spacing w:val="-2"/>
                <w:highlight w:val="none"/>
              </w:rPr>
              <w:t>应送交有资质的放射性废物收贮或处置机构进行处理。</w:t>
            </w:r>
          </w:p>
          <w:p w14:paraId="73FDE747">
            <w:pPr>
              <w:pStyle w:val="43"/>
              <w:keepNext w:val="0"/>
              <w:keepLines w:val="0"/>
              <w:suppressLineNumbers w:val="0"/>
              <w:spacing w:before="214" w:beforeAutospacing="0" w:after="0" w:afterAutospacing="0" w:line="220" w:lineRule="auto"/>
              <w:ind w:left="596"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7.1.4</w:t>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应建立放射性废物收集、贮存、排放管理台账，做好记</w:t>
            </w:r>
            <w:r>
              <w:rPr>
                <w:rFonts w:hint="default" w:ascii="Times New Roman" w:hAnsi="Times New Roman" w:eastAsia="宋体" w:cs="Times New Roman"/>
                <w:color w:val="auto"/>
                <w:spacing w:val="-2"/>
                <w:highlight w:val="none"/>
              </w:rPr>
              <w:t>录并存档备案。</w:t>
            </w:r>
          </w:p>
          <w:p w14:paraId="34215070">
            <w:pPr>
              <w:pStyle w:val="43"/>
              <w:keepNext w:val="0"/>
              <w:keepLines w:val="0"/>
              <w:suppressLineNumbers w:val="0"/>
              <w:spacing w:before="216" w:beforeAutospacing="0" w:after="0" w:afterAutospacing="0" w:line="220" w:lineRule="auto"/>
              <w:ind w:left="596"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3"/>
                <w:highlight w:val="none"/>
              </w:rPr>
              <w:t>7.2</w:t>
            </w:r>
            <w:r>
              <w:rPr>
                <w:rFonts w:hint="default" w:ascii="Times New Roman" w:hAnsi="Times New Roman" w:eastAsia="宋体" w:cs="Times New Roman"/>
                <w:color w:val="auto"/>
                <w:spacing w:val="-3"/>
                <w:highlight w:val="none"/>
                <w:lang w:val="en-US" w:eastAsia="zh-CN"/>
              </w:rPr>
              <w:t xml:space="preserve"> </w:t>
            </w:r>
            <w:r>
              <w:rPr>
                <w:rFonts w:hint="default" w:ascii="Times New Roman" w:hAnsi="Times New Roman" w:eastAsia="宋体" w:cs="Times New Roman"/>
                <w:color w:val="auto"/>
                <w:spacing w:val="-3"/>
                <w:highlight w:val="none"/>
              </w:rPr>
              <w:t>固体放射性废物的管理</w:t>
            </w:r>
          </w:p>
          <w:p w14:paraId="5725E789">
            <w:pPr>
              <w:pStyle w:val="43"/>
              <w:keepNext w:val="0"/>
              <w:keepLines w:val="0"/>
              <w:suppressLineNumbers w:val="0"/>
              <w:spacing w:before="213" w:beforeAutospacing="0" w:after="0" w:afterAutospacing="0" w:line="220" w:lineRule="auto"/>
              <w:ind w:left="596"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3"/>
                <w:highlight w:val="none"/>
              </w:rPr>
              <w:t>7.2.1</w:t>
            </w:r>
            <w:r>
              <w:rPr>
                <w:rFonts w:hint="default" w:ascii="Times New Roman" w:hAnsi="Times New Roman" w:eastAsia="宋体" w:cs="Times New Roman"/>
                <w:color w:val="auto"/>
                <w:spacing w:val="-3"/>
                <w:highlight w:val="none"/>
                <w:lang w:val="en-US" w:eastAsia="zh-CN"/>
              </w:rPr>
              <w:t xml:space="preserve"> </w:t>
            </w:r>
            <w:r>
              <w:rPr>
                <w:rFonts w:hint="default" w:ascii="Times New Roman" w:hAnsi="Times New Roman" w:eastAsia="宋体" w:cs="Times New Roman"/>
                <w:color w:val="auto"/>
                <w:spacing w:val="-3"/>
                <w:highlight w:val="none"/>
              </w:rPr>
              <w:t>固体放射性废物收集</w:t>
            </w:r>
          </w:p>
          <w:p w14:paraId="78D844F5">
            <w:pPr>
              <w:pStyle w:val="43"/>
              <w:keepNext w:val="0"/>
              <w:keepLines w:val="0"/>
              <w:suppressLineNumbers w:val="0"/>
              <w:spacing w:before="213" w:beforeAutospacing="0" w:after="0" w:afterAutospacing="0" w:line="360" w:lineRule="auto"/>
              <w:ind w:left="128" w:right="107" w:firstLine="469"/>
              <w:jc w:val="both"/>
              <w:rPr>
                <w:rFonts w:hint="default" w:ascii="Times New Roman" w:hAnsi="Times New Roman" w:eastAsia="宋体" w:cs="Times New Roman"/>
                <w:b/>
                <w:bCs/>
                <w:color w:val="auto"/>
                <w:spacing w:val="-3"/>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"7.2.1.1"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pacing w:val="-1"/>
                <w:highlight w:val="none"/>
              </w:rPr>
              <w:t>7.2.1.1</w:t>
            </w:r>
            <w:r>
              <w:rPr>
                <w:rFonts w:hint="default" w:ascii="Times New Roman" w:hAnsi="Times New Roman" w:eastAsia="宋体" w:cs="Times New Roman"/>
                <w:color w:val="auto"/>
                <w:spacing w:val="-1"/>
                <w:highlight w:val="none"/>
              </w:rPr>
              <w:fldChar w:fldCharType="end"/>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固体放射性废物应收集于具有屏蔽结构和电离辐</w:t>
            </w:r>
            <w:r>
              <w:rPr>
                <w:rFonts w:hint="default" w:ascii="Times New Roman" w:hAnsi="Times New Roman" w:eastAsia="宋体" w:cs="Times New Roman"/>
                <w:color w:val="auto"/>
                <w:spacing w:val="-2"/>
                <w:highlight w:val="none"/>
              </w:rPr>
              <w:t>射标志的专用废物桶。</w:t>
            </w:r>
            <w:r>
              <w:rPr>
                <w:rFonts w:hint="default" w:ascii="Times New Roman" w:hAnsi="Times New Roman" w:eastAsia="宋体" w:cs="Times New Roman"/>
                <w:color w:val="auto"/>
                <w:spacing w:val="-3"/>
                <w:highlight w:val="none"/>
              </w:rPr>
              <w:t>废物桶内应放置专用塑料袋直接收纳废物。</w:t>
            </w:r>
          </w:p>
          <w:p w14:paraId="1ABA284D">
            <w:pPr>
              <w:pStyle w:val="43"/>
              <w:keepNext w:val="0"/>
              <w:keepLines w:val="0"/>
              <w:suppressLineNumbers w:val="0"/>
              <w:spacing w:before="198" w:beforeAutospacing="0" w:after="0" w:afterAutospacing="0" w:line="303" w:lineRule="auto"/>
              <w:ind w:left="118" w:right="212" w:firstLine="478"/>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"7.2.1.2"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7.2.1.2</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含尖刺及棱角的放射性废物，应预先</w:t>
            </w:r>
            <w:r>
              <w:rPr>
                <w:rFonts w:hint="default" w:ascii="Times New Roman" w:hAnsi="Times New Roman" w:eastAsia="宋体" w:cs="Times New Roman"/>
                <w:color w:val="auto"/>
                <w:spacing w:val="-1"/>
                <w:highlight w:val="none"/>
              </w:rPr>
              <w:t>进行包装处理，再装入废物桶，防</w:t>
            </w:r>
            <w:r>
              <w:rPr>
                <w:rFonts w:hint="default" w:ascii="Times New Roman" w:hAnsi="Times New Roman" w:eastAsia="宋体" w:cs="Times New Roman"/>
                <w:color w:val="auto"/>
                <w:spacing w:val="-6"/>
                <w:highlight w:val="none"/>
              </w:rPr>
              <w:t>止刺破废物袋。</w:t>
            </w:r>
          </w:p>
          <w:p w14:paraId="26475311">
            <w:pPr>
              <w:pStyle w:val="43"/>
              <w:keepNext w:val="0"/>
              <w:keepLines w:val="0"/>
              <w:suppressLineNumbers w:val="0"/>
              <w:spacing w:before="213" w:beforeAutospacing="0" w:after="0" w:afterAutospacing="0" w:line="302" w:lineRule="auto"/>
              <w:ind w:left="119" w:right="223" w:firstLine="477"/>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"7.2.1.3"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pacing w:val="-1"/>
                <w:highlight w:val="none"/>
              </w:rPr>
              <w:t>7.2.1.3</w:t>
            </w:r>
            <w:r>
              <w:rPr>
                <w:rFonts w:hint="default" w:ascii="Times New Roman" w:hAnsi="Times New Roman" w:eastAsia="宋体" w:cs="Times New Roman"/>
                <w:color w:val="auto"/>
                <w:spacing w:val="-1"/>
                <w:highlight w:val="none"/>
              </w:rPr>
              <w:fldChar w:fldCharType="end"/>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放射性废物每袋重量不超过20kg。装满废物的塑料袋应密封后及时转送</w:t>
            </w:r>
            <w:r>
              <w:rPr>
                <w:rFonts w:hint="default" w:ascii="Times New Roman" w:hAnsi="Times New Roman" w:eastAsia="宋体" w:cs="Times New Roman"/>
                <w:color w:val="auto"/>
                <w:spacing w:val="-4"/>
                <w:highlight w:val="none"/>
              </w:rPr>
              <w:t>至放射性废物暂存间贮存。</w:t>
            </w:r>
          </w:p>
          <w:p w14:paraId="6A5A0139">
            <w:pPr>
              <w:pStyle w:val="43"/>
              <w:keepNext w:val="0"/>
              <w:keepLines w:val="0"/>
              <w:suppressLineNumbers w:val="0"/>
              <w:spacing w:before="215" w:beforeAutospacing="0" w:after="0" w:afterAutospacing="0" w:line="220" w:lineRule="auto"/>
              <w:ind w:left="596"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3"/>
                <w:highlight w:val="none"/>
              </w:rPr>
              <w:t>7.2.2</w:t>
            </w:r>
            <w:r>
              <w:rPr>
                <w:rFonts w:hint="default" w:ascii="Times New Roman" w:hAnsi="Times New Roman" w:eastAsia="宋体" w:cs="Times New Roman"/>
                <w:color w:val="auto"/>
                <w:spacing w:val="-3"/>
                <w:highlight w:val="none"/>
                <w:lang w:val="en-US" w:eastAsia="zh-CN"/>
              </w:rPr>
              <w:t xml:space="preserve"> </w:t>
            </w:r>
            <w:r>
              <w:rPr>
                <w:rFonts w:hint="default" w:ascii="Times New Roman" w:hAnsi="Times New Roman" w:eastAsia="宋体" w:cs="Times New Roman"/>
                <w:color w:val="auto"/>
                <w:spacing w:val="-3"/>
                <w:highlight w:val="none"/>
              </w:rPr>
              <w:t>固体放射性废物贮存</w:t>
            </w:r>
          </w:p>
          <w:p w14:paraId="7159F410">
            <w:pPr>
              <w:pStyle w:val="43"/>
              <w:keepNext w:val="0"/>
              <w:keepLines w:val="0"/>
              <w:suppressLineNumbers w:val="0"/>
              <w:spacing w:before="213" w:beforeAutospacing="0" w:after="0" w:afterAutospacing="0" w:line="330" w:lineRule="auto"/>
              <w:ind w:left="118" w:right="208" w:firstLine="478"/>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"7.2.2.1"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7.2.2.1</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rPr>
              <w:t>产生少量放射性废物和利用贮存衰变</w:t>
            </w:r>
            <w:r>
              <w:rPr>
                <w:rFonts w:hint="default" w:ascii="Times New Roman" w:hAnsi="Times New Roman" w:eastAsia="宋体" w:cs="Times New Roman"/>
                <w:color w:val="auto"/>
                <w:spacing w:val="-1"/>
                <w:highlight w:val="none"/>
              </w:rPr>
              <w:t>方式处理放射性废物的单位，经审</w:t>
            </w:r>
            <w:r>
              <w:rPr>
                <w:rFonts w:hint="default" w:ascii="Times New Roman" w:hAnsi="Times New Roman" w:eastAsia="宋体" w:cs="Times New Roman"/>
                <w:color w:val="auto"/>
                <w:spacing w:val="1"/>
                <w:highlight w:val="none"/>
              </w:rPr>
              <w:t>管部门批准可以将废物暂存在许可的场所和专用容器中。暂存时间和总活度不能超</w:t>
            </w:r>
            <w:r>
              <w:rPr>
                <w:rFonts w:hint="default" w:ascii="Times New Roman" w:hAnsi="Times New Roman" w:eastAsia="宋体" w:cs="Times New Roman"/>
                <w:color w:val="auto"/>
                <w:spacing w:val="-4"/>
                <w:highlight w:val="none"/>
              </w:rPr>
              <w:t>过审管部门批准的限制要求。</w:t>
            </w:r>
          </w:p>
          <w:p w14:paraId="63B362E6">
            <w:pPr>
              <w:pStyle w:val="43"/>
              <w:keepNext w:val="0"/>
              <w:keepLines w:val="0"/>
              <w:suppressLineNumbers w:val="0"/>
              <w:spacing w:before="212" w:beforeAutospacing="0" w:after="0" w:afterAutospacing="0" w:line="330" w:lineRule="auto"/>
              <w:ind w:left="116" w:right="144" w:firstLine="48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"7.2.2.2"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7.2.2.2</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放射性废物贮存场所应安装通风换气</w:t>
            </w:r>
            <w:r>
              <w:rPr>
                <w:rFonts w:hint="default" w:ascii="Times New Roman" w:hAnsi="Times New Roman" w:eastAsia="宋体" w:cs="Times New Roman"/>
                <w:color w:val="auto"/>
                <w:spacing w:val="-1"/>
                <w:highlight w:val="none"/>
              </w:rPr>
              <w:t>装置，放射性废物中含有易挥发放</w:t>
            </w:r>
            <w:r>
              <w:rPr>
                <w:rFonts w:hint="default" w:ascii="Times New Roman" w:hAnsi="Times New Roman" w:eastAsia="宋体" w:cs="Times New Roman"/>
                <w:color w:val="auto"/>
                <w:spacing w:val="-3"/>
                <w:highlight w:val="none"/>
              </w:rPr>
              <w:t>射性核素的，通风换气装置应有单独的排风管道。</w:t>
            </w:r>
            <w:r>
              <w:rPr>
                <w:rFonts w:hint="default" w:ascii="Times New Roman" w:hAnsi="Times New Roman" w:eastAsia="宋体" w:cs="Times New Roman"/>
                <w:color w:val="auto"/>
                <w:spacing w:val="-4"/>
                <w:highlight w:val="none"/>
              </w:rPr>
              <w:t>入口处应设置电离辐射警告标志，</w:t>
            </w:r>
            <w:r>
              <w:rPr>
                <w:rFonts w:hint="default" w:ascii="Times New Roman" w:hAnsi="Times New Roman" w:eastAsia="宋体" w:cs="Times New Roman"/>
                <w:color w:val="auto"/>
                <w:spacing w:val="-2"/>
                <w:highlight w:val="none"/>
              </w:rPr>
              <w:t>采取有效的防火、防丢失、防射线泄漏等措施。</w:t>
            </w:r>
          </w:p>
          <w:p w14:paraId="27568678">
            <w:pPr>
              <w:pStyle w:val="43"/>
              <w:keepNext w:val="0"/>
              <w:keepLines w:val="0"/>
              <w:suppressLineNumbers w:val="0"/>
              <w:spacing w:before="213" w:beforeAutospacing="0" w:after="0" w:afterAutospacing="0" w:line="330" w:lineRule="auto"/>
              <w:ind w:left="116" w:right="208" w:firstLine="48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"7.2.2.3"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7.2.2.3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废物暂存间内应设置专用容器盛</w:t>
            </w:r>
            <w:r>
              <w:rPr>
                <w:rFonts w:hint="default" w:ascii="Times New Roman" w:hAnsi="Times New Roman" w:eastAsia="宋体" w:cs="Times New Roman"/>
                <w:color w:val="auto"/>
                <w:spacing w:val="-1"/>
                <w:highlight w:val="none"/>
              </w:rPr>
              <w:t>放固体放射性废物袋（桶</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spacing w:val="-1"/>
                <w:highlight w:val="none"/>
              </w:rPr>
              <w:t>不同类别</w:t>
            </w:r>
            <w:r>
              <w:rPr>
                <w:rFonts w:hint="default" w:ascii="Times New Roman" w:hAnsi="Times New Roman" w:eastAsia="宋体" w:cs="Times New Roman"/>
                <w:color w:val="auto"/>
                <w:spacing w:val="1"/>
                <w:highlight w:val="none"/>
              </w:rPr>
              <w:t>废物应分开存放。容器表面应注明废物所含核素的名称、废物的类别、入库日期等</w:t>
            </w:r>
            <w:r>
              <w:rPr>
                <w:rFonts w:hint="default" w:ascii="Times New Roman" w:hAnsi="Times New Roman" w:eastAsia="宋体" w:cs="Times New Roman"/>
                <w:color w:val="auto"/>
                <w:spacing w:val="-4"/>
                <w:highlight w:val="none"/>
              </w:rPr>
              <w:t>信息，并做好登记记录。</w:t>
            </w:r>
          </w:p>
          <w:p w14:paraId="2EF320F8">
            <w:pPr>
              <w:pStyle w:val="43"/>
              <w:keepNext w:val="0"/>
              <w:keepLines w:val="0"/>
              <w:suppressLineNumbers w:val="0"/>
              <w:spacing w:before="212" w:beforeAutospacing="0" w:after="0" w:afterAutospacing="0" w:line="330" w:lineRule="auto"/>
              <w:ind w:left="118" w:right="208" w:firstLine="478"/>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"7.2.2.4"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7.2.2.4</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含放射性的实验动物尸体或器官应装</w:t>
            </w:r>
            <w:r>
              <w:rPr>
                <w:rFonts w:hint="default" w:ascii="Times New Roman" w:hAnsi="Times New Roman" w:eastAsia="宋体" w:cs="Times New Roman"/>
                <w:color w:val="auto"/>
                <w:spacing w:val="-1"/>
                <w:highlight w:val="none"/>
              </w:rPr>
              <w:t>入废物袋做好防腐措施（如存放至</w:t>
            </w:r>
            <w:r>
              <w:rPr>
                <w:rFonts w:hint="default" w:ascii="Times New Roman" w:hAnsi="Times New Roman" w:eastAsia="宋体" w:cs="Times New Roman"/>
                <w:color w:val="auto"/>
                <w:spacing w:val="1"/>
                <w:highlight w:val="none"/>
              </w:rPr>
              <w:t>专用冰柜内</w:t>
            </w:r>
            <w:r>
              <w:rPr>
                <w:rFonts w:hint="default" w:ascii="Times New Roman" w:hAnsi="Times New Roman" w:eastAsia="宋体" w:cs="Times New Roman"/>
                <w:color w:val="auto"/>
                <w:spacing w:val="7"/>
                <w:highlight w:val="none"/>
              </w:rPr>
              <w:t>），</w:t>
            </w:r>
            <w:r>
              <w:rPr>
                <w:rFonts w:hint="default" w:ascii="Times New Roman" w:hAnsi="Times New Roman" w:eastAsia="宋体" w:cs="Times New Roman"/>
                <w:color w:val="auto"/>
                <w:spacing w:val="1"/>
                <w:highlight w:val="none"/>
              </w:rPr>
              <w:t>并做好屏蔽防护。不需要特殊防护措施即可处理的尸体含放射性常</w:t>
            </w:r>
            <w:r>
              <w:rPr>
                <w:rFonts w:hint="default" w:ascii="Times New Roman" w:hAnsi="Times New Roman" w:eastAsia="宋体" w:cs="Times New Roman"/>
                <w:color w:val="auto"/>
                <w:spacing w:val="-2"/>
                <w:highlight w:val="none"/>
              </w:rPr>
              <w:t>用核素的上限值见附录C。</w:t>
            </w:r>
          </w:p>
          <w:p w14:paraId="24C861CB">
            <w:pPr>
              <w:pStyle w:val="43"/>
              <w:keepNext w:val="0"/>
              <w:keepLines w:val="0"/>
              <w:suppressLineNumbers w:val="0"/>
              <w:spacing w:before="215" w:beforeAutospacing="0" w:after="0" w:afterAutospacing="0" w:line="218" w:lineRule="auto"/>
              <w:ind w:left="596"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"7.2.2.5"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pacing w:val="-2"/>
                <w:highlight w:val="none"/>
              </w:rPr>
              <w:t>7.2.2.5</w:t>
            </w:r>
            <w:r>
              <w:rPr>
                <w:rFonts w:hint="default" w:ascii="Times New Roman" w:hAnsi="Times New Roman" w:eastAsia="宋体" w:cs="Times New Roman"/>
                <w:color w:val="auto"/>
                <w:spacing w:val="-2"/>
                <w:highlight w:val="none"/>
              </w:rPr>
              <w:fldChar w:fldCharType="end"/>
            </w:r>
            <w:r>
              <w:rPr>
                <w:rFonts w:hint="default" w:ascii="Times New Roman" w:hAnsi="Times New Roman" w:eastAsia="宋体" w:cs="Times New Roman"/>
                <w:color w:val="auto"/>
                <w:spacing w:val="-2"/>
                <w:highlight w:val="none"/>
                <w:lang w:val="en-US" w:eastAsia="zh-CN"/>
              </w:rPr>
              <w:t xml:space="preserve"> </w:t>
            </w:r>
            <w:r>
              <w:rPr>
                <w:rFonts w:hint="default" w:ascii="Times New Roman" w:hAnsi="Times New Roman" w:eastAsia="宋体" w:cs="Times New Roman"/>
                <w:color w:val="auto"/>
                <w:spacing w:val="-2"/>
                <w:highlight w:val="none"/>
              </w:rPr>
              <w:t>废物暂存间内不得存放易燃、易爆、腐蚀性物品。</w:t>
            </w:r>
          </w:p>
          <w:p w14:paraId="77252BC6">
            <w:pPr>
              <w:pStyle w:val="43"/>
              <w:keepNext w:val="0"/>
              <w:keepLines w:val="0"/>
              <w:suppressLineNumbers w:val="0"/>
              <w:spacing w:before="216" w:beforeAutospacing="0" w:after="0" w:afterAutospacing="0" w:line="220" w:lineRule="auto"/>
              <w:ind w:left="596"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3"/>
                <w:highlight w:val="none"/>
              </w:rPr>
              <w:t>7.2.3</w:t>
            </w:r>
            <w:r>
              <w:rPr>
                <w:rFonts w:hint="default" w:ascii="Times New Roman" w:hAnsi="Times New Roman" w:eastAsia="宋体" w:cs="Times New Roman"/>
                <w:color w:val="auto"/>
                <w:spacing w:val="-3"/>
                <w:highlight w:val="none"/>
                <w:lang w:val="en-US" w:eastAsia="zh-CN"/>
              </w:rPr>
              <w:t xml:space="preserve"> </w:t>
            </w:r>
            <w:r>
              <w:rPr>
                <w:rFonts w:hint="default" w:ascii="Times New Roman" w:hAnsi="Times New Roman" w:eastAsia="宋体" w:cs="Times New Roman"/>
                <w:color w:val="auto"/>
                <w:spacing w:val="-3"/>
                <w:highlight w:val="none"/>
              </w:rPr>
              <w:t>固体放射性废物处理</w:t>
            </w:r>
          </w:p>
          <w:p w14:paraId="45EB0D11">
            <w:pPr>
              <w:pStyle w:val="43"/>
              <w:keepNext w:val="0"/>
              <w:keepLines w:val="0"/>
              <w:suppressLineNumbers w:val="0"/>
              <w:spacing w:before="216" w:beforeAutospacing="0" w:after="0" w:afterAutospacing="0" w:line="329" w:lineRule="auto"/>
              <w:ind w:left="117" w:right="210" w:firstLine="479"/>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"7.2.3.1"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7.2.3.1</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固体放射性废物暂存时间满足下列要</w:t>
            </w:r>
            <w:r>
              <w:rPr>
                <w:rFonts w:hint="default" w:ascii="Times New Roman" w:hAnsi="Times New Roman" w:eastAsia="宋体" w:cs="Times New Roman"/>
                <w:color w:val="auto"/>
                <w:spacing w:val="-1"/>
                <w:highlight w:val="none"/>
              </w:rPr>
              <w:t>求的，经监测辐射剂量率满足所处</w:t>
            </w:r>
            <w:r>
              <w:rPr>
                <w:rFonts w:hint="default" w:ascii="Times New Roman" w:hAnsi="Times New Roman" w:eastAsia="宋体" w:cs="Times New Roman"/>
                <w:color w:val="auto"/>
                <w:spacing w:val="-2"/>
                <w:highlight w:val="none"/>
              </w:rPr>
              <w:t>环境本底水平，α表面污染小于0.08Bq/cm</w:t>
            </w:r>
            <w:r>
              <w:rPr>
                <w:rFonts w:hint="default" w:ascii="Times New Roman" w:hAnsi="Times New Roman" w:eastAsia="宋体" w:cs="Times New Roman"/>
                <w:color w:val="auto"/>
                <w:spacing w:val="-2"/>
                <w:position w:val="9"/>
                <w:sz w:val="16"/>
                <w:szCs w:val="16"/>
                <w:highlight w:val="none"/>
                <w:vertAlign w:val="superscript"/>
              </w:rPr>
              <w:t>2</w:t>
            </w:r>
            <w:r>
              <w:rPr>
                <w:rFonts w:hint="default" w:ascii="Times New Roman" w:hAnsi="Times New Roman" w:eastAsia="宋体" w:cs="Times New Roman"/>
                <w:color w:val="auto"/>
                <w:spacing w:val="-2"/>
                <w:highlight w:val="none"/>
              </w:rPr>
              <w:t>、β表面污染小于0.8Bq/cm</w:t>
            </w:r>
            <w:r>
              <w:rPr>
                <w:rFonts w:hint="default" w:ascii="Times New Roman" w:hAnsi="Times New Roman" w:eastAsia="宋体" w:cs="Times New Roman"/>
                <w:color w:val="auto"/>
                <w:spacing w:val="-2"/>
                <w:position w:val="9"/>
                <w:sz w:val="16"/>
                <w:szCs w:val="16"/>
                <w:highlight w:val="none"/>
                <w:vertAlign w:val="superscript"/>
              </w:rPr>
              <w:t>2</w:t>
            </w:r>
            <w:r>
              <w:rPr>
                <w:rFonts w:hint="default" w:ascii="Times New Roman" w:hAnsi="Times New Roman" w:eastAsia="宋体" w:cs="Times New Roman"/>
                <w:color w:val="auto"/>
                <w:spacing w:val="-2"/>
                <w:highlight w:val="none"/>
              </w:rPr>
              <w:t>的，可对废</w:t>
            </w:r>
            <w:r>
              <w:rPr>
                <w:rFonts w:hint="default" w:ascii="Times New Roman" w:hAnsi="Times New Roman" w:eastAsia="宋体" w:cs="Times New Roman"/>
                <w:color w:val="auto"/>
                <w:spacing w:val="-5"/>
                <w:highlight w:val="none"/>
              </w:rPr>
              <w:t>物清洁解控并作为医疗废物处理：</w:t>
            </w:r>
          </w:p>
          <w:p w14:paraId="3176ACEA">
            <w:pPr>
              <w:pStyle w:val="43"/>
              <w:keepNext w:val="0"/>
              <w:keepLines w:val="0"/>
              <w:suppressLineNumbers w:val="0"/>
              <w:spacing w:before="215" w:beforeAutospacing="0" w:after="0" w:afterAutospacing="0" w:line="220" w:lineRule="auto"/>
              <w:ind w:left="596"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a）所含核素半衰期小于24小时的放射性固体废物暂存</w:t>
            </w:r>
            <w:r>
              <w:rPr>
                <w:rFonts w:hint="default" w:ascii="Times New Roman" w:hAnsi="Times New Roman" w:eastAsia="宋体" w:cs="Times New Roman"/>
                <w:color w:val="auto"/>
                <w:spacing w:val="-3"/>
                <w:highlight w:val="none"/>
              </w:rPr>
              <w:t>时间超过30天；</w:t>
            </w:r>
          </w:p>
          <w:p w14:paraId="300FA2EE">
            <w:pPr>
              <w:pStyle w:val="43"/>
              <w:keepNext w:val="0"/>
              <w:keepLines w:val="0"/>
              <w:suppressLineNumbers w:val="0"/>
              <w:spacing w:before="214" w:beforeAutospacing="0" w:after="0" w:afterAutospacing="0" w:line="371" w:lineRule="auto"/>
              <w:ind w:left="120" w:right="213" w:firstLine="467"/>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b）所含核素半衰期大于24小时的放射性固体废物</w:t>
            </w:r>
            <w:r>
              <w:rPr>
                <w:rFonts w:hint="default" w:ascii="Times New Roman" w:hAnsi="Times New Roman" w:eastAsia="宋体" w:cs="Times New Roman"/>
                <w:color w:val="auto"/>
                <w:spacing w:val="-2"/>
                <w:highlight w:val="none"/>
              </w:rPr>
              <w:t>暂存时间超过核素最长半衰</w:t>
            </w:r>
            <w:r>
              <w:rPr>
                <w:rFonts w:hint="default" w:ascii="Times New Roman" w:hAnsi="Times New Roman" w:eastAsia="宋体" w:cs="Times New Roman"/>
                <w:color w:val="auto"/>
                <w:spacing w:val="-13"/>
                <w:highlight w:val="none"/>
              </w:rPr>
              <w:t>期的10倍；</w:t>
            </w:r>
          </w:p>
          <w:p w14:paraId="12B052C8">
            <w:pPr>
              <w:pStyle w:val="43"/>
              <w:keepNext w:val="0"/>
              <w:keepLines w:val="0"/>
              <w:suppressLineNumbers w:val="0"/>
              <w:spacing w:before="36" w:beforeAutospacing="0" w:after="0" w:afterAutospacing="0" w:line="220" w:lineRule="auto"/>
              <w:ind w:left="595"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c）含</w:t>
            </w:r>
            <w:r>
              <w:rPr>
                <w:rFonts w:hint="default" w:ascii="Times New Roman" w:hAnsi="Times New Roman" w:eastAsia="宋体" w:cs="Times New Roman"/>
                <w:color w:val="auto"/>
                <w:spacing w:val="-2"/>
                <w:highlight w:val="none"/>
                <w:vertAlign w:val="baseline"/>
              </w:rPr>
              <w:t>碘-131</w:t>
            </w:r>
            <w:r>
              <w:rPr>
                <w:rFonts w:hint="default" w:ascii="Times New Roman" w:hAnsi="Times New Roman" w:eastAsia="宋体" w:cs="Times New Roman"/>
                <w:color w:val="auto"/>
                <w:spacing w:val="-2"/>
                <w:highlight w:val="none"/>
              </w:rPr>
              <w:t>核素的放射性固体废物暂存超过180天。</w:t>
            </w:r>
          </w:p>
          <w:p w14:paraId="01EE2257">
            <w:pPr>
              <w:pStyle w:val="43"/>
              <w:keepNext w:val="0"/>
              <w:keepLines w:val="0"/>
              <w:suppressLineNumbers w:val="0"/>
              <w:spacing w:before="213" w:beforeAutospacing="0" w:after="0" w:afterAutospacing="0" w:line="360" w:lineRule="auto"/>
              <w:ind w:left="128" w:right="107" w:firstLine="469"/>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"7.2.3.2"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7.2.3.2</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不能解控的放射性固体废物应该按照</w:t>
            </w:r>
            <w:r>
              <w:rPr>
                <w:rFonts w:hint="default" w:ascii="Times New Roman" w:hAnsi="Times New Roman" w:eastAsia="宋体" w:cs="Times New Roman"/>
                <w:color w:val="auto"/>
                <w:spacing w:val="-1"/>
                <w:highlight w:val="none"/>
              </w:rPr>
              <w:t>放射性废物处理的相关规定予以收</w:t>
            </w:r>
            <w:r>
              <w:rPr>
                <w:rFonts w:hint="default" w:ascii="Times New Roman" w:hAnsi="Times New Roman" w:eastAsia="宋体" w:cs="Times New Roman"/>
                <w:color w:val="auto"/>
                <w:spacing w:val="1"/>
                <w:highlight w:val="none"/>
              </w:rPr>
              <w:t>集、整备，并送交有资质的单位处理。放射性废物包装体外的表面剂量率应不超过</w:t>
            </w:r>
            <w:r>
              <w:rPr>
                <w:rFonts w:hint="default" w:ascii="Times New Roman" w:hAnsi="Times New Roman" w:eastAsia="宋体" w:cs="Times New Roman"/>
                <w:color w:val="auto"/>
                <w:spacing w:val="-3"/>
                <w:highlight w:val="none"/>
              </w:rPr>
              <w:t>0.1mSv/h，表面污染水平对β和γ发射体以及低毒性α发射体应小于4Bq/cm</w:t>
            </w:r>
            <w:r>
              <w:rPr>
                <w:rFonts w:hint="default" w:ascii="Times New Roman" w:hAnsi="Times New Roman" w:eastAsia="宋体" w:cs="Times New Roman"/>
                <w:color w:val="auto"/>
                <w:spacing w:val="-3"/>
                <w:position w:val="9"/>
                <w:sz w:val="16"/>
                <w:szCs w:val="16"/>
                <w:highlight w:val="none"/>
                <w:vertAlign w:val="superscript"/>
              </w:rPr>
              <w:t>2</w:t>
            </w:r>
            <w:r>
              <w:rPr>
                <w:rFonts w:hint="default" w:ascii="Times New Roman" w:hAnsi="Times New Roman" w:eastAsia="宋体" w:cs="Times New Roman"/>
                <w:color w:val="auto"/>
                <w:spacing w:val="-3"/>
                <w:highlight w:val="none"/>
              </w:rPr>
              <w:t>、其他</w:t>
            </w:r>
            <w:r>
              <w:rPr>
                <w:rFonts w:hint="default" w:ascii="Times New Roman" w:hAnsi="Times New Roman" w:eastAsia="宋体" w:cs="Times New Roman"/>
                <w:color w:val="auto"/>
                <w:spacing w:val="-1"/>
                <w:highlight w:val="none"/>
              </w:rPr>
              <w:t>α发射体应小于0.4Bq/cm</w:t>
            </w:r>
            <w:r>
              <w:rPr>
                <w:rFonts w:hint="default" w:ascii="Times New Roman" w:hAnsi="Times New Roman" w:eastAsia="宋体" w:cs="Times New Roman"/>
                <w:color w:val="auto"/>
                <w:spacing w:val="-1"/>
                <w:position w:val="8"/>
                <w:sz w:val="16"/>
                <w:szCs w:val="16"/>
                <w:highlight w:val="none"/>
                <w:vertAlign w:val="superscript"/>
              </w:rPr>
              <w:t>2</w:t>
            </w:r>
            <w:r>
              <w:rPr>
                <w:rFonts w:hint="default" w:ascii="Times New Roman" w:hAnsi="Times New Roman" w:eastAsia="宋体" w:cs="Times New Roman"/>
                <w:color w:val="auto"/>
                <w:spacing w:val="-1"/>
                <w:highlight w:val="none"/>
              </w:rPr>
              <w:t>。</w:t>
            </w:r>
          </w:p>
          <w:p w14:paraId="3EA72BA5">
            <w:pPr>
              <w:pStyle w:val="43"/>
              <w:keepNext w:val="0"/>
              <w:keepLines w:val="0"/>
              <w:suppressLineNumbers w:val="0"/>
              <w:spacing w:before="50" w:beforeAutospacing="0" w:after="0" w:afterAutospacing="0" w:line="376" w:lineRule="auto"/>
              <w:ind w:left="128" w:right="210" w:firstLine="468"/>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"7.2.3.3"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7.2.3.3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固体放射性废物的存储和处理应安排</w:t>
            </w:r>
            <w:r>
              <w:rPr>
                <w:rFonts w:hint="default" w:ascii="Times New Roman" w:hAnsi="Times New Roman" w:eastAsia="宋体" w:cs="Times New Roman"/>
                <w:color w:val="auto"/>
                <w:spacing w:val="-1"/>
                <w:highlight w:val="none"/>
              </w:rPr>
              <w:t>专人负责，并建立废物存储和处理</w:t>
            </w:r>
            <w:r>
              <w:rPr>
                <w:rFonts w:hint="default" w:ascii="Times New Roman" w:hAnsi="Times New Roman" w:eastAsia="宋体" w:cs="Times New Roman"/>
                <w:color w:val="auto"/>
                <w:spacing w:val="-6"/>
                <w:highlight w:val="none"/>
              </w:rPr>
              <w:t>台账，详细记录放射性废物的核素名称、重量、废物产生起始日期、责任人员、出库</w:t>
            </w:r>
            <w:r>
              <w:rPr>
                <w:rFonts w:hint="default" w:ascii="Times New Roman" w:hAnsi="Times New Roman" w:eastAsia="宋体" w:cs="Times New Roman"/>
                <w:color w:val="auto"/>
                <w:spacing w:val="-5"/>
                <w:highlight w:val="none"/>
              </w:rPr>
              <w:t>时间和监测结果等信息。</w:t>
            </w:r>
          </w:p>
          <w:p w14:paraId="32B07A2D">
            <w:pPr>
              <w:pStyle w:val="43"/>
              <w:keepNext w:val="0"/>
              <w:keepLines w:val="0"/>
              <w:suppressLineNumbers w:val="0"/>
              <w:spacing w:before="32" w:beforeAutospacing="0" w:after="0" w:afterAutospacing="0" w:line="22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1"/>
                <w:highlight w:val="none"/>
              </w:rPr>
              <w:t>根据《核医学放射防护要求》（GBZ120</w:t>
            </w:r>
            <w:r>
              <w:rPr>
                <w:rFonts w:hint="default" w:ascii="Times New Roman" w:hAnsi="Times New Roman" w:eastAsia="宋体" w:cs="Times New Roman"/>
                <w:b/>
                <w:bCs/>
                <w:color w:val="auto"/>
                <w:spacing w:val="-2"/>
                <w:highlight w:val="none"/>
              </w:rPr>
              <w:t>-2020</w:t>
            </w:r>
            <w:r>
              <w:rPr>
                <w:rFonts w:hint="default" w:ascii="Times New Roman" w:hAnsi="Times New Roman" w:eastAsia="宋体" w:cs="Times New Roman"/>
                <w:b/>
                <w:bCs/>
                <w:color w:val="auto"/>
                <w:spacing w:val="-4"/>
                <w:highlight w:val="none"/>
              </w:rPr>
              <w:t>）：</w:t>
            </w:r>
          </w:p>
          <w:p w14:paraId="1EA770D3">
            <w:pPr>
              <w:pStyle w:val="43"/>
              <w:keepNext w:val="0"/>
              <w:keepLines w:val="0"/>
              <w:suppressLineNumbers w:val="0"/>
              <w:spacing w:before="215" w:beforeAutospacing="0" w:after="0" w:afterAutospacing="0" w:line="302" w:lineRule="auto"/>
              <w:ind w:left="117" w:right="212" w:firstLine="485"/>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8.1</w:t>
            </w:r>
            <w:r>
              <w:rPr>
                <w:rFonts w:hint="default" w:ascii="Times New Roman" w:hAnsi="Times New Roman" w:eastAsia="宋体" w:cs="Times New Roman"/>
                <w:color w:val="auto"/>
                <w:spacing w:val="-2"/>
                <w:highlight w:val="none"/>
                <w:lang w:val="en-US" w:eastAsia="zh-CN"/>
              </w:rPr>
              <w:t xml:space="preserve"> </w:t>
            </w:r>
            <w:r>
              <w:rPr>
                <w:rFonts w:hint="default" w:ascii="Times New Roman" w:hAnsi="Times New Roman" w:eastAsia="宋体" w:cs="Times New Roman"/>
                <w:color w:val="auto"/>
                <w:spacing w:val="-2"/>
                <w:highlight w:val="none"/>
              </w:rPr>
              <w:t>放射性废物分类，应根据医学实践中产生废物的形态及其中</w:t>
            </w:r>
            <w:r>
              <w:rPr>
                <w:rFonts w:hint="default" w:ascii="Times New Roman" w:hAnsi="Times New Roman" w:eastAsia="宋体" w:cs="Times New Roman"/>
                <w:color w:val="auto"/>
                <w:spacing w:val="-3"/>
                <w:highlight w:val="none"/>
              </w:rPr>
              <w:t>的放射性核素种</w:t>
            </w:r>
            <w:r>
              <w:rPr>
                <w:rFonts w:hint="default" w:ascii="Times New Roman" w:hAnsi="Times New Roman" w:eastAsia="宋体" w:cs="Times New Roman"/>
                <w:color w:val="auto"/>
                <w:spacing w:val="-1"/>
                <w:highlight w:val="none"/>
              </w:rPr>
              <w:t>类、半衰期、活度水平和理化性质等，将放射性废物进行分</w:t>
            </w:r>
            <w:r>
              <w:rPr>
                <w:rFonts w:hint="default" w:ascii="Times New Roman" w:hAnsi="Times New Roman" w:eastAsia="宋体" w:cs="Times New Roman"/>
                <w:color w:val="auto"/>
                <w:spacing w:val="-2"/>
                <w:highlight w:val="none"/>
              </w:rPr>
              <w:t>类收集和分别处理。</w:t>
            </w:r>
          </w:p>
          <w:p w14:paraId="41D897AB">
            <w:pPr>
              <w:pStyle w:val="43"/>
              <w:keepNext w:val="0"/>
              <w:keepLines w:val="0"/>
              <w:suppressLineNumbers w:val="0"/>
              <w:spacing w:before="213" w:beforeAutospacing="0" w:after="0" w:afterAutospacing="0" w:line="220" w:lineRule="auto"/>
              <w:ind w:left="602"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8.2</w:t>
            </w:r>
            <w:r>
              <w:rPr>
                <w:rFonts w:hint="default" w:ascii="Times New Roman" w:hAnsi="Times New Roman" w:eastAsia="宋体" w:cs="Times New Roman"/>
                <w:color w:val="auto"/>
                <w:spacing w:val="-2"/>
                <w:highlight w:val="none"/>
                <w:lang w:val="en-US" w:eastAsia="zh-CN"/>
              </w:rPr>
              <w:t xml:space="preserve"> </w:t>
            </w:r>
            <w:r>
              <w:rPr>
                <w:rFonts w:hint="default" w:ascii="Times New Roman" w:hAnsi="Times New Roman" w:eastAsia="宋体" w:cs="Times New Roman"/>
                <w:color w:val="auto"/>
                <w:spacing w:val="-2"/>
                <w:highlight w:val="none"/>
              </w:rPr>
              <w:t>设废物储存登记表，记录废物主要特性和处理过程，并存档备案。</w:t>
            </w:r>
          </w:p>
          <w:p w14:paraId="63BB4CBE">
            <w:pPr>
              <w:pStyle w:val="43"/>
              <w:keepNext w:val="0"/>
              <w:keepLines w:val="0"/>
              <w:suppressLineNumbers w:val="0"/>
              <w:spacing w:before="215" w:beforeAutospacing="0" w:after="0" w:afterAutospacing="0" w:line="302" w:lineRule="auto"/>
              <w:ind w:left="119" w:right="212" w:firstLine="483"/>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8.5</w:t>
            </w:r>
            <w:r>
              <w:rPr>
                <w:rFonts w:hint="default" w:ascii="Times New Roman" w:hAnsi="Times New Roman" w:eastAsia="宋体" w:cs="Times New Roman"/>
                <w:color w:val="auto"/>
                <w:spacing w:val="-2"/>
                <w:highlight w:val="none"/>
                <w:lang w:val="en-US" w:eastAsia="zh-CN"/>
              </w:rPr>
              <w:t xml:space="preserve"> </w:t>
            </w:r>
            <w:r>
              <w:rPr>
                <w:rFonts w:hint="default" w:ascii="Times New Roman" w:hAnsi="Times New Roman" w:eastAsia="宋体" w:cs="Times New Roman"/>
                <w:color w:val="auto"/>
                <w:spacing w:val="-2"/>
                <w:highlight w:val="none"/>
              </w:rPr>
              <w:t>供收集废物的污物桶应具有外防护层和电离辐射警示标志。</w:t>
            </w:r>
            <w:r>
              <w:rPr>
                <w:rFonts w:hint="default" w:ascii="Times New Roman" w:hAnsi="Times New Roman" w:eastAsia="宋体" w:cs="Times New Roman"/>
                <w:color w:val="auto"/>
                <w:spacing w:val="-3"/>
                <w:highlight w:val="none"/>
              </w:rPr>
              <w:t>在注射室、注射后病人候诊室、给药室等位置放置污物桶。</w:t>
            </w:r>
          </w:p>
          <w:p w14:paraId="68377D32">
            <w:pPr>
              <w:pStyle w:val="43"/>
              <w:keepNext w:val="0"/>
              <w:keepLines w:val="0"/>
              <w:suppressLineNumbers w:val="0"/>
              <w:spacing w:before="213" w:beforeAutospacing="0" w:after="0" w:afterAutospacing="0" w:line="303" w:lineRule="auto"/>
              <w:ind w:left="116" w:right="146" w:firstLine="486"/>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7"/>
                <w:highlight w:val="none"/>
              </w:rPr>
              <w:t>8.6</w:t>
            </w:r>
            <w:r>
              <w:rPr>
                <w:rFonts w:hint="default" w:ascii="Times New Roman" w:hAnsi="Times New Roman" w:eastAsia="宋体" w:cs="Times New Roman"/>
                <w:color w:val="auto"/>
                <w:spacing w:val="-7"/>
                <w:highlight w:val="none"/>
                <w:lang w:val="en-US" w:eastAsia="zh-CN"/>
              </w:rPr>
              <w:t xml:space="preserve"> </w:t>
            </w:r>
            <w:r>
              <w:rPr>
                <w:rFonts w:hint="default" w:ascii="Times New Roman" w:hAnsi="Times New Roman" w:eastAsia="宋体" w:cs="Times New Roman"/>
                <w:color w:val="auto"/>
                <w:spacing w:val="-7"/>
                <w:highlight w:val="none"/>
              </w:rPr>
              <w:t>污物桶内应放置专用塑料袋直接收纳废物，装满后的废物袋应密封，不破漏，</w:t>
            </w:r>
            <w:r>
              <w:rPr>
                <w:rFonts w:hint="default" w:ascii="Times New Roman" w:hAnsi="Times New Roman" w:eastAsia="宋体" w:cs="Times New Roman"/>
                <w:color w:val="auto"/>
                <w:spacing w:val="-3"/>
                <w:highlight w:val="none"/>
              </w:rPr>
              <w:t>及时转送存储室，放入专用容器中存储。</w:t>
            </w:r>
          </w:p>
          <w:p w14:paraId="16B86C76">
            <w:pPr>
              <w:pStyle w:val="43"/>
              <w:keepNext w:val="0"/>
              <w:keepLines w:val="0"/>
              <w:suppressLineNumbers w:val="0"/>
              <w:spacing w:before="214" w:beforeAutospacing="0" w:after="0" w:afterAutospacing="0" w:line="302" w:lineRule="auto"/>
              <w:ind w:left="118" w:right="201" w:firstLine="484"/>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8.7</w:t>
            </w:r>
            <w:r>
              <w:rPr>
                <w:rFonts w:hint="default" w:ascii="Times New Roman" w:hAnsi="Times New Roman" w:eastAsia="宋体" w:cs="Times New Roman"/>
                <w:color w:val="auto"/>
                <w:spacing w:val="-2"/>
                <w:highlight w:val="none"/>
                <w:lang w:val="en-US" w:eastAsia="zh-CN"/>
              </w:rPr>
              <w:t xml:space="preserve"> </w:t>
            </w:r>
            <w:r>
              <w:rPr>
                <w:rFonts w:hint="default" w:ascii="Times New Roman" w:hAnsi="Times New Roman" w:eastAsia="宋体" w:cs="Times New Roman"/>
                <w:color w:val="auto"/>
                <w:spacing w:val="-2"/>
                <w:highlight w:val="none"/>
              </w:rPr>
              <w:t>对注射器和碎玻璃器皿等含尖刺及棱角的放射性废物，应先装入利器盒中，</w:t>
            </w:r>
            <w:r>
              <w:rPr>
                <w:rFonts w:hint="default" w:ascii="Times New Roman" w:hAnsi="Times New Roman" w:eastAsia="宋体" w:cs="Times New Roman"/>
                <w:color w:val="auto"/>
                <w:spacing w:val="-4"/>
                <w:highlight w:val="none"/>
              </w:rPr>
              <w:t>然后再装入专用塑料袋内。</w:t>
            </w:r>
          </w:p>
          <w:p w14:paraId="35BD59EA">
            <w:pPr>
              <w:pStyle w:val="43"/>
              <w:keepNext w:val="0"/>
              <w:keepLines w:val="0"/>
              <w:suppressLineNumbers w:val="0"/>
              <w:spacing w:before="216" w:beforeAutospacing="0" w:after="0" w:afterAutospacing="0" w:line="212" w:lineRule="auto"/>
              <w:ind w:left="602"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8.8</w:t>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每袋废物的表面剂量率应不超过0.1mSv/h，质量不超过20</w:t>
            </w:r>
            <w:r>
              <w:rPr>
                <w:rFonts w:hint="default" w:ascii="Times New Roman" w:hAnsi="Times New Roman" w:eastAsia="宋体" w:cs="Times New Roman"/>
                <w:color w:val="auto"/>
                <w:spacing w:val="-2"/>
                <w:highlight w:val="none"/>
              </w:rPr>
              <w:t>kg。</w:t>
            </w:r>
          </w:p>
          <w:p w14:paraId="1BAF7EDE">
            <w:pPr>
              <w:pStyle w:val="43"/>
              <w:keepNext w:val="0"/>
              <w:keepLines w:val="0"/>
              <w:suppressLineNumbers w:val="0"/>
              <w:spacing w:before="223" w:beforeAutospacing="0" w:after="0" w:afterAutospacing="0" w:line="218" w:lineRule="auto"/>
              <w:ind w:left="602"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8.9</w:t>
            </w:r>
            <w:r>
              <w:rPr>
                <w:rFonts w:hint="default" w:ascii="Times New Roman" w:hAnsi="Times New Roman" w:eastAsia="宋体" w:cs="Times New Roman"/>
                <w:color w:val="auto"/>
                <w:spacing w:val="-2"/>
                <w:highlight w:val="none"/>
                <w:lang w:val="en-US" w:eastAsia="zh-CN"/>
              </w:rPr>
              <w:t xml:space="preserve"> </w:t>
            </w:r>
            <w:r>
              <w:rPr>
                <w:rFonts w:hint="default" w:ascii="Times New Roman" w:hAnsi="Times New Roman" w:eastAsia="宋体" w:cs="Times New Roman"/>
                <w:color w:val="auto"/>
                <w:spacing w:val="-2"/>
                <w:highlight w:val="none"/>
              </w:rPr>
              <w:t>储存场所应具有通风设施，出入处设电离辐射警告标志。</w:t>
            </w:r>
          </w:p>
          <w:p w14:paraId="69B4D3AC">
            <w:pPr>
              <w:pStyle w:val="43"/>
              <w:keepNext w:val="0"/>
              <w:keepLines w:val="0"/>
              <w:suppressLineNumbers w:val="0"/>
              <w:spacing w:before="215" w:beforeAutospacing="0" w:after="0" w:afterAutospacing="0" w:line="303" w:lineRule="auto"/>
              <w:ind w:left="117" w:right="212" w:firstLine="485"/>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8.10</w:t>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废物袋、废物桶及其他存放废物的容器应安全可靠，并在显著位置标有废</w:t>
            </w:r>
            <w:r>
              <w:rPr>
                <w:rFonts w:hint="default" w:ascii="Times New Roman" w:hAnsi="Times New Roman" w:eastAsia="宋体" w:cs="Times New Roman"/>
                <w:color w:val="auto"/>
                <w:spacing w:val="-3"/>
                <w:highlight w:val="none"/>
              </w:rPr>
              <w:t>物类型、核素种类、存放日期等说明。</w:t>
            </w:r>
          </w:p>
          <w:p w14:paraId="514094E1">
            <w:pPr>
              <w:pStyle w:val="43"/>
              <w:keepNext w:val="0"/>
              <w:keepLines w:val="0"/>
              <w:suppressLineNumbers w:val="0"/>
              <w:spacing w:before="214" w:beforeAutospacing="0" w:after="0" w:afterAutospacing="0" w:line="212" w:lineRule="auto"/>
              <w:ind w:left="602"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8.11</w:t>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废物包装体外表面的污染控制水平：β＜0.4Bq/cm。</w:t>
            </w:r>
          </w:p>
          <w:p w14:paraId="4967395A">
            <w:pPr>
              <w:pStyle w:val="43"/>
              <w:keepNext w:val="0"/>
              <w:keepLines w:val="0"/>
              <w:suppressLineNumbers w:val="0"/>
              <w:spacing w:before="224" w:beforeAutospacing="0" w:after="0" w:afterAutospacing="0" w:line="219"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1"/>
                <w:highlight w:val="none"/>
              </w:rPr>
              <w:t>根据《电离辐射防护与辐射源安全基本标准》（GB1</w:t>
            </w:r>
            <w:r>
              <w:rPr>
                <w:rFonts w:hint="default" w:ascii="Times New Roman" w:hAnsi="Times New Roman" w:eastAsia="宋体" w:cs="Times New Roman"/>
                <w:b/>
                <w:bCs/>
                <w:color w:val="auto"/>
                <w:spacing w:val="-2"/>
                <w:highlight w:val="none"/>
              </w:rPr>
              <w:t>8871-2002</w:t>
            </w:r>
            <w:r>
              <w:rPr>
                <w:rFonts w:hint="default" w:ascii="Times New Roman" w:hAnsi="Times New Roman" w:eastAsia="宋体" w:cs="Times New Roman"/>
                <w:b/>
                <w:bCs/>
                <w:color w:val="auto"/>
                <w:spacing w:val="-3"/>
                <w:highlight w:val="none"/>
              </w:rPr>
              <w:t>）：</w:t>
            </w:r>
          </w:p>
          <w:p w14:paraId="082EC9D2">
            <w:pPr>
              <w:pStyle w:val="43"/>
              <w:keepNext w:val="0"/>
              <w:keepLines w:val="0"/>
              <w:suppressLineNumbers w:val="0"/>
              <w:spacing w:before="217" w:beforeAutospacing="0" w:after="0" w:afterAutospacing="0" w:line="220" w:lineRule="auto"/>
              <w:ind w:left="591"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4.2.5</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解控</w:t>
            </w:r>
          </w:p>
          <w:p w14:paraId="087AD7F5">
            <w:pPr>
              <w:pStyle w:val="43"/>
              <w:keepNext w:val="0"/>
              <w:keepLines w:val="0"/>
              <w:suppressLineNumbers w:val="0"/>
              <w:spacing w:before="212" w:beforeAutospacing="0" w:after="0" w:afterAutospacing="0" w:line="330" w:lineRule="auto"/>
              <w:ind w:left="115" w:right="208" w:firstLine="476"/>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"4.2.5.1"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pacing w:val="-1"/>
                <w:highlight w:val="none"/>
              </w:rPr>
              <w:t>4.2.5.1</w:t>
            </w:r>
            <w:r>
              <w:rPr>
                <w:rFonts w:hint="default" w:ascii="Times New Roman" w:hAnsi="Times New Roman" w:eastAsia="宋体" w:cs="Times New Roman"/>
                <w:color w:val="auto"/>
                <w:spacing w:val="-1"/>
                <w:highlight w:val="none"/>
              </w:rPr>
              <w:fldChar w:fldCharType="end"/>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已知或已获准实践中的源（包括物质、材料和物品），如果符合</w:t>
            </w:r>
            <w:r>
              <w:rPr>
                <w:rFonts w:hint="default" w:ascii="Times New Roman" w:hAnsi="Times New Roman" w:eastAsia="宋体" w:cs="Times New Roman"/>
                <w:color w:val="auto"/>
                <w:spacing w:val="-2"/>
                <w:highlight w:val="none"/>
              </w:rPr>
              <w:t>审管部</w:t>
            </w:r>
            <w:r>
              <w:rPr>
                <w:rFonts w:hint="default" w:ascii="Times New Roman" w:hAnsi="Times New Roman" w:eastAsia="宋体" w:cs="Times New Roman"/>
                <w:color w:val="auto"/>
                <w:spacing w:val="1"/>
                <w:highlight w:val="none"/>
              </w:rPr>
              <w:t>门规定的清洁解控水平，则经审管部门认可，可以</w:t>
            </w:r>
            <w:r>
              <w:rPr>
                <w:rFonts w:hint="default" w:ascii="Times New Roman" w:hAnsi="Times New Roman" w:eastAsia="宋体" w:cs="Times New Roman"/>
                <w:color w:val="auto"/>
                <w:spacing w:val="1"/>
                <w:highlight w:val="none"/>
                <w:lang w:eastAsia="zh-CN"/>
              </w:rPr>
              <w:t>不再</w:t>
            </w:r>
            <w:r>
              <w:rPr>
                <w:rFonts w:hint="default" w:ascii="Times New Roman" w:hAnsi="Times New Roman" w:eastAsia="宋体" w:cs="Times New Roman"/>
                <w:color w:val="auto"/>
                <w:spacing w:val="1"/>
                <w:highlight w:val="none"/>
              </w:rPr>
              <w:t>遵循本标准的要求，即可以</w:t>
            </w:r>
            <w:r>
              <w:rPr>
                <w:rFonts w:hint="default" w:ascii="Times New Roman" w:hAnsi="Times New Roman" w:eastAsia="宋体" w:cs="Times New Roman"/>
                <w:color w:val="auto"/>
                <w:spacing w:val="-7"/>
                <w:highlight w:val="none"/>
              </w:rPr>
              <w:t>将其解控。</w:t>
            </w:r>
          </w:p>
          <w:p w14:paraId="153DD766">
            <w:pPr>
              <w:pStyle w:val="43"/>
              <w:keepNext w:val="0"/>
              <w:keepLines w:val="0"/>
              <w:suppressLineNumbers w:val="0"/>
              <w:spacing w:before="200" w:beforeAutospacing="0" w:after="0" w:afterAutospacing="0" w:line="377" w:lineRule="auto"/>
              <w:ind w:left="116" w:right="219" w:firstLine="244" w:firstLineChars="102"/>
              <w:jc w:val="both"/>
              <w:rPr>
                <w:rFonts w:hint="default" w:ascii="Times New Roman" w:hAnsi="Times New Roman" w:eastAsia="宋体" w:cs="Times New Roman"/>
                <w:color w:val="auto"/>
                <w:spacing w:val="-11"/>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"4.2.5.2"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spacing w:val="-1"/>
                <w:highlight w:val="none"/>
              </w:rPr>
              <w:t>4.2.5.2</w:t>
            </w:r>
            <w:r>
              <w:rPr>
                <w:rFonts w:hint="default" w:ascii="Times New Roman" w:hAnsi="Times New Roman" w:eastAsia="宋体" w:cs="Times New Roman"/>
                <w:color w:val="auto"/>
                <w:spacing w:val="-1"/>
                <w:highlight w:val="none"/>
              </w:rPr>
              <w:fldChar w:fldCharType="end"/>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除非审管部门另有规定，否则清洁解控水平的确定应考虑本标准附录A</w:t>
            </w:r>
            <w:r>
              <w:rPr>
                <w:rFonts w:hint="default" w:ascii="Times New Roman" w:hAnsi="Times New Roman" w:eastAsia="宋体" w:cs="Times New Roman"/>
                <w:color w:val="auto"/>
                <w:spacing w:val="1"/>
                <w:highlight w:val="none"/>
              </w:rPr>
              <w:t>（标准的附录）所规定的的豁免准则，并且所定出的清洁解控水平不应</w:t>
            </w:r>
            <w:r>
              <w:rPr>
                <w:rFonts w:hint="default" w:ascii="Times New Roman" w:hAnsi="Times New Roman" w:eastAsia="宋体" w:cs="Times New Roman"/>
                <w:color w:val="auto"/>
                <w:highlight w:val="none"/>
              </w:rPr>
              <w:t>高于本标准</w:t>
            </w:r>
            <w:r>
              <w:rPr>
                <w:rFonts w:hint="default" w:ascii="Times New Roman" w:hAnsi="Times New Roman" w:eastAsia="宋体" w:cs="Times New Roman"/>
                <w:color w:val="auto"/>
                <w:spacing w:val="-1"/>
                <w:highlight w:val="none"/>
              </w:rPr>
              <w:t>附录A（标准的附录）中规定的或审管部门根据该附录规定的准则所建立的豁免水</w:t>
            </w:r>
            <w:r>
              <w:rPr>
                <w:rFonts w:hint="default" w:ascii="Times New Roman" w:hAnsi="Times New Roman" w:eastAsia="宋体" w:cs="Times New Roman"/>
                <w:color w:val="auto"/>
                <w:spacing w:val="-11"/>
                <w:highlight w:val="none"/>
              </w:rPr>
              <w:t>平。</w:t>
            </w:r>
          </w:p>
          <w:p w14:paraId="5109270F">
            <w:pPr>
              <w:pStyle w:val="43"/>
              <w:keepNext w:val="0"/>
              <w:keepLines w:val="0"/>
              <w:suppressLineNumbers w:val="0"/>
              <w:spacing w:before="19" w:beforeAutospacing="0" w:after="0" w:afterAutospacing="0" w:line="207" w:lineRule="auto"/>
              <w:ind w:left="1204" w:right="0"/>
              <w:jc w:val="center"/>
              <w:rPr>
                <w:rFonts w:hint="default" w:ascii="Times New Roman" w:hAnsi="Times New Roman" w:eastAsia="宋体" w:cs="Times New Roman"/>
                <w:b/>
                <w:bCs/>
                <w:color w:val="auto"/>
                <w:spacing w:val="-2"/>
                <w:sz w:val="24"/>
                <w:szCs w:val="24"/>
                <w:highlight w:val="none"/>
              </w:rPr>
            </w:pPr>
            <w:r>
              <w:rPr>
                <w:rFonts w:hint="default" w:ascii="Times New Roman" w:hAnsi="Times New Roman" w:eastAsia="宋体" w:cs="Times New Roman"/>
                <w:b/>
                <w:bCs/>
                <w:color w:val="auto"/>
                <w:spacing w:val="-2"/>
                <w:sz w:val="24"/>
                <w:szCs w:val="24"/>
                <w:highlight w:val="none"/>
              </w:rPr>
              <w:t>表</w:t>
            </w:r>
            <w:r>
              <w:rPr>
                <w:rFonts w:hint="default" w:ascii="Times New Roman" w:hAnsi="Times New Roman" w:eastAsia="宋体" w:cs="Times New Roman"/>
                <w:b/>
                <w:bCs/>
                <w:color w:val="auto"/>
                <w:spacing w:val="-2"/>
                <w:sz w:val="24"/>
                <w:szCs w:val="24"/>
                <w:highlight w:val="none"/>
                <w:lang w:val="en-US" w:eastAsia="zh-CN"/>
              </w:rPr>
              <w:t xml:space="preserve">7-14  </w:t>
            </w:r>
            <w:r>
              <w:rPr>
                <w:rFonts w:hint="default" w:ascii="Times New Roman" w:hAnsi="Times New Roman" w:eastAsia="宋体" w:cs="Times New Roman"/>
                <w:b/>
                <w:bCs/>
                <w:color w:val="auto"/>
                <w:spacing w:val="-2"/>
                <w:sz w:val="24"/>
                <w:szCs w:val="24"/>
                <w:highlight w:val="none"/>
              </w:rPr>
              <w:t>本项目放射性核素的豁免活度浓度与豁免活度（摘自附录A中表A1）</w:t>
            </w:r>
          </w:p>
          <w:tbl>
            <w:tblPr>
              <w:tblStyle w:val="30"/>
              <w:tblW w:w="9199" w:type="dxa"/>
              <w:tblInd w:w="-1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334"/>
              <w:gridCol w:w="4219"/>
              <w:gridCol w:w="2646"/>
            </w:tblGrid>
            <w:tr w14:paraId="136DA7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2334" w:type="dxa"/>
                  <w:tcBorders>
                    <w:tl2br w:val="nil"/>
                    <w:tr2bl w:val="nil"/>
                  </w:tcBorders>
                  <w:vAlign w:val="top"/>
                </w:tcPr>
                <w:p w14:paraId="07C17A59">
                  <w:pPr>
                    <w:pStyle w:val="43"/>
                    <w:keepNext w:val="0"/>
                    <w:keepLines w:val="0"/>
                    <w:suppressLineNumbers w:val="0"/>
                    <w:spacing w:before="19" w:beforeAutospacing="0" w:after="0" w:afterAutospacing="0" w:line="207" w:lineRule="auto"/>
                    <w:ind w:left="994"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5"/>
                      <w:sz w:val="21"/>
                      <w:szCs w:val="21"/>
                      <w:highlight w:val="none"/>
                    </w:rPr>
                    <w:t>核素</w:t>
                  </w:r>
                </w:p>
              </w:tc>
              <w:tc>
                <w:tcPr>
                  <w:tcW w:w="4219" w:type="dxa"/>
                  <w:tcBorders>
                    <w:tl2br w:val="nil"/>
                    <w:tr2bl w:val="nil"/>
                  </w:tcBorders>
                  <w:vAlign w:val="top"/>
                </w:tcPr>
                <w:p w14:paraId="1C90B1FE">
                  <w:pPr>
                    <w:pStyle w:val="43"/>
                    <w:keepNext w:val="0"/>
                    <w:keepLines w:val="0"/>
                    <w:suppressLineNumbers w:val="0"/>
                    <w:spacing w:before="19" w:beforeAutospacing="0" w:after="0" w:afterAutospacing="0" w:line="207" w:lineRule="auto"/>
                    <w:ind w:left="1204"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2"/>
                      <w:sz w:val="21"/>
                      <w:szCs w:val="21"/>
                      <w:highlight w:val="none"/>
                    </w:rPr>
                    <w:t>活度浓度/（Bq/g）</w:t>
                  </w:r>
                </w:p>
              </w:tc>
              <w:tc>
                <w:tcPr>
                  <w:tcW w:w="2646" w:type="dxa"/>
                  <w:tcBorders>
                    <w:tl2br w:val="nil"/>
                    <w:tr2bl w:val="nil"/>
                  </w:tcBorders>
                  <w:vAlign w:val="top"/>
                </w:tcPr>
                <w:p w14:paraId="53BC51F6">
                  <w:pPr>
                    <w:pStyle w:val="43"/>
                    <w:keepNext w:val="0"/>
                    <w:keepLines w:val="0"/>
                    <w:suppressLineNumbers w:val="0"/>
                    <w:spacing w:before="19" w:beforeAutospacing="0" w:after="0" w:afterAutospacing="0" w:line="207" w:lineRule="auto"/>
                    <w:ind w:left="883" w:right="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3"/>
                      <w:sz w:val="21"/>
                      <w:szCs w:val="21"/>
                      <w:highlight w:val="none"/>
                    </w:rPr>
                    <w:t>活度/Bq</w:t>
                  </w:r>
                </w:p>
              </w:tc>
            </w:tr>
            <w:tr w14:paraId="09DD68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2334" w:type="dxa"/>
                  <w:tcBorders>
                    <w:tl2br w:val="nil"/>
                    <w:tr2bl w:val="nil"/>
                  </w:tcBorders>
                  <w:vAlign w:val="top"/>
                </w:tcPr>
                <w:p w14:paraId="37CF9970">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vertAlign w:val="baseline"/>
                    </w:rPr>
                    <w:t>F</w:t>
                  </w:r>
                  <w:r>
                    <w:rPr>
                      <w:rFonts w:hint="eastAsia" w:ascii="Times New Roman" w:hAnsi="Times New Roman" w:eastAsia="宋体" w:cs="Times New Roman"/>
                      <w:color w:val="auto"/>
                      <w:position w:val="-2"/>
                      <w:sz w:val="21"/>
                      <w:szCs w:val="21"/>
                      <w:highlight w:val="none"/>
                      <w:vertAlign w:val="baseline"/>
                      <w:lang w:val="en-US" w:eastAsia="zh-CN"/>
                    </w:rPr>
                    <w:t>-18</w:t>
                  </w:r>
                </w:p>
              </w:tc>
              <w:tc>
                <w:tcPr>
                  <w:tcW w:w="4219" w:type="dxa"/>
                  <w:tcBorders>
                    <w:tl2br w:val="nil"/>
                    <w:tr2bl w:val="nil"/>
                  </w:tcBorders>
                  <w:vAlign w:val="top"/>
                </w:tcPr>
                <w:p w14:paraId="6FAD57C6">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rPr>
                  </w:pPr>
                  <w:r>
                    <w:rPr>
                      <w:rFonts w:hint="default" w:ascii="Times New Roman" w:hAnsi="Times New Roman" w:eastAsia="宋体" w:cs="Times New Roman"/>
                      <w:color w:val="auto"/>
                      <w:position w:val="-2"/>
                      <w:sz w:val="21"/>
                      <w:szCs w:val="21"/>
                      <w:highlight w:val="none"/>
                    </w:rPr>
                    <w:t>1E+01</w:t>
                  </w:r>
                </w:p>
              </w:tc>
              <w:tc>
                <w:tcPr>
                  <w:tcW w:w="2646" w:type="dxa"/>
                  <w:tcBorders>
                    <w:tl2br w:val="nil"/>
                    <w:tr2bl w:val="nil"/>
                  </w:tcBorders>
                  <w:vAlign w:val="top"/>
                </w:tcPr>
                <w:p w14:paraId="61281683">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rPr>
                  </w:pPr>
                  <w:r>
                    <w:rPr>
                      <w:rFonts w:hint="default" w:ascii="Times New Roman" w:hAnsi="Times New Roman" w:eastAsia="宋体" w:cs="Times New Roman"/>
                      <w:color w:val="auto"/>
                      <w:position w:val="-2"/>
                      <w:sz w:val="21"/>
                      <w:szCs w:val="21"/>
                      <w:highlight w:val="none"/>
                    </w:rPr>
                    <w:t>1E+06</w:t>
                  </w:r>
                </w:p>
              </w:tc>
            </w:tr>
            <w:tr w14:paraId="087EDC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2334" w:type="dxa"/>
                  <w:tcBorders>
                    <w:tl2br w:val="nil"/>
                    <w:tr2bl w:val="nil"/>
                  </w:tcBorders>
                  <w:shd w:val="clear" w:color="auto" w:fill="auto"/>
                  <w:vAlign w:val="top"/>
                </w:tcPr>
                <w:p w14:paraId="20DA8D10">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lang w:val="en-US" w:eastAsia="zh-CN"/>
                    </w:rPr>
                    <w:t>Ga</w:t>
                  </w:r>
                  <w:r>
                    <w:rPr>
                      <w:rFonts w:hint="eastAsia" w:ascii="Times New Roman" w:hAnsi="Times New Roman" w:eastAsia="宋体" w:cs="Times New Roman"/>
                      <w:color w:val="auto"/>
                      <w:position w:val="-2"/>
                      <w:sz w:val="21"/>
                      <w:szCs w:val="21"/>
                      <w:highlight w:val="none"/>
                      <w:lang w:val="en-US" w:eastAsia="zh-CN"/>
                    </w:rPr>
                    <w:t>-68</w:t>
                  </w:r>
                </w:p>
              </w:tc>
              <w:tc>
                <w:tcPr>
                  <w:tcW w:w="4219" w:type="dxa"/>
                  <w:tcBorders>
                    <w:tl2br w:val="nil"/>
                    <w:tr2bl w:val="nil"/>
                  </w:tcBorders>
                  <w:shd w:val="clear" w:color="auto" w:fill="auto"/>
                  <w:vAlign w:val="top"/>
                </w:tcPr>
                <w:p w14:paraId="04F1F464">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rPr>
                    <w:t>1E+01</w:t>
                  </w:r>
                </w:p>
              </w:tc>
              <w:tc>
                <w:tcPr>
                  <w:tcW w:w="2646" w:type="dxa"/>
                  <w:tcBorders>
                    <w:tl2br w:val="nil"/>
                    <w:tr2bl w:val="nil"/>
                  </w:tcBorders>
                  <w:shd w:val="clear" w:color="auto" w:fill="auto"/>
                  <w:vAlign w:val="top"/>
                </w:tcPr>
                <w:p w14:paraId="26B83008">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rPr>
                    <w:t>1E+05</w:t>
                  </w:r>
                </w:p>
              </w:tc>
            </w:tr>
            <w:tr w14:paraId="1DEE98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2334" w:type="dxa"/>
                  <w:tcBorders>
                    <w:tl2br w:val="nil"/>
                    <w:tr2bl w:val="nil"/>
                  </w:tcBorders>
                  <w:shd w:val="clear" w:color="auto" w:fill="auto"/>
                  <w:vAlign w:val="top"/>
                </w:tcPr>
                <w:p w14:paraId="5B2FEC03">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rPr>
                    <w:t>Tc</w:t>
                  </w:r>
                  <w:r>
                    <w:rPr>
                      <w:rFonts w:hint="eastAsia" w:ascii="Times New Roman" w:hAnsi="Times New Roman" w:eastAsia="宋体" w:cs="Times New Roman"/>
                      <w:color w:val="auto"/>
                      <w:position w:val="-2"/>
                      <w:sz w:val="21"/>
                      <w:szCs w:val="21"/>
                      <w:highlight w:val="none"/>
                      <w:lang w:val="en-US" w:eastAsia="zh-CN"/>
                    </w:rPr>
                    <w:t>-99m</w:t>
                  </w:r>
                </w:p>
              </w:tc>
              <w:tc>
                <w:tcPr>
                  <w:tcW w:w="4219" w:type="dxa"/>
                  <w:tcBorders>
                    <w:tl2br w:val="nil"/>
                    <w:tr2bl w:val="nil"/>
                  </w:tcBorders>
                  <w:shd w:val="clear" w:color="auto" w:fill="auto"/>
                  <w:vAlign w:val="top"/>
                </w:tcPr>
                <w:p w14:paraId="7090F884">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rPr>
                    <w:t>1E+02</w:t>
                  </w:r>
                </w:p>
              </w:tc>
              <w:tc>
                <w:tcPr>
                  <w:tcW w:w="2646" w:type="dxa"/>
                  <w:tcBorders>
                    <w:tl2br w:val="nil"/>
                    <w:tr2bl w:val="nil"/>
                  </w:tcBorders>
                  <w:shd w:val="clear" w:color="auto" w:fill="auto"/>
                  <w:vAlign w:val="top"/>
                </w:tcPr>
                <w:p w14:paraId="27182B75">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rPr>
                    <w:t>1E+07</w:t>
                  </w:r>
                </w:p>
              </w:tc>
            </w:tr>
            <w:tr w14:paraId="31F9D0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2334" w:type="dxa"/>
                  <w:tcBorders>
                    <w:tl2br w:val="nil"/>
                    <w:tr2bl w:val="nil"/>
                  </w:tcBorders>
                  <w:shd w:val="clear" w:color="auto" w:fill="auto"/>
                  <w:vAlign w:val="top"/>
                </w:tcPr>
                <w:p w14:paraId="7C9268FA">
                  <w:pPr>
                    <w:keepNext w:val="0"/>
                    <w:keepLines w:val="0"/>
                    <w:suppressLineNumbers w:val="0"/>
                    <w:spacing w:before="33" w:beforeAutospacing="0" w:after="0" w:afterAutospacing="0" w:line="202" w:lineRule="auto"/>
                    <w:ind w:left="0" w:leftChars="0" w:right="0" w:rightChars="0"/>
                    <w:jc w:val="center"/>
                    <w:rPr>
                      <w:rFonts w:hint="eastAsia"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vertAlign w:val="baseline"/>
                      <w:lang w:val="en-US" w:eastAsia="zh-CN"/>
                    </w:rPr>
                    <w:t>Lu</w:t>
                  </w:r>
                  <w:r>
                    <w:rPr>
                      <w:rFonts w:hint="eastAsia" w:ascii="Times New Roman" w:hAnsi="Times New Roman" w:eastAsia="宋体" w:cs="Times New Roman"/>
                      <w:color w:val="auto"/>
                      <w:position w:val="-2"/>
                      <w:sz w:val="21"/>
                      <w:szCs w:val="21"/>
                      <w:highlight w:val="none"/>
                      <w:vertAlign w:val="baseline"/>
                      <w:lang w:val="en-US" w:eastAsia="zh-CN"/>
                    </w:rPr>
                    <w:t>-177</w:t>
                  </w:r>
                </w:p>
              </w:tc>
              <w:tc>
                <w:tcPr>
                  <w:tcW w:w="4219" w:type="dxa"/>
                  <w:tcBorders>
                    <w:tl2br w:val="nil"/>
                    <w:tr2bl w:val="nil"/>
                  </w:tcBorders>
                  <w:shd w:val="clear" w:color="auto" w:fill="auto"/>
                  <w:vAlign w:val="top"/>
                </w:tcPr>
                <w:p w14:paraId="584E483D">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rPr>
                    <w:t>1E+0</w:t>
                  </w:r>
                  <w:r>
                    <w:rPr>
                      <w:rFonts w:hint="default" w:ascii="Times New Roman" w:hAnsi="Times New Roman" w:eastAsia="宋体" w:cs="Times New Roman"/>
                      <w:color w:val="auto"/>
                      <w:position w:val="-2"/>
                      <w:sz w:val="21"/>
                      <w:szCs w:val="21"/>
                      <w:highlight w:val="none"/>
                      <w:lang w:val="en-US" w:eastAsia="zh-CN"/>
                    </w:rPr>
                    <w:t>3</w:t>
                  </w:r>
                </w:p>
              </w:tc>
              <w:tc>
                <w:tcPr>
                  <w:tcW w:w="2646" w:type="dxa"/>
                  <w:tcBorders>
                    <w:tl2br w:val="nil"/>
                    <w:tr2bl w:val="nil"/>
                  </w:tcBorders>
                  <w:shd w:val="clear" w:color="auto" w:fill="auto"/>
                  <w:vAlign w:val="top"/>
                </w:tcPr>
                <w:p w14:paraId="5917E21C">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rPr>
                    <w:t>1E+07</w:t>
                  </w:r>
                </w:p>
              </w:tc>
            </w:tr>
            <w:tr w14:paraId="7E4CBC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0" w:type="auto"/>
                  <w:shd w:val="clear" w:color="auto" w:fill="auto"/>
                  <w:vAlign w:val="top"/>
                </w:tcPr>
                <w:p w14:paraId="5EC191DA">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vertAlign w:val="baseline"/>
                    </w:rPr>
                    <w:t>Ra-223</w:t>
                  </w:r>
                </w:p>
              </w:tc>
              <w:tc>
                <w:tcPr>
                  <w:tcW w:w="0" w:type="auto"/>
                  <w:shd w:val="clear" w:color="auto" w:fill="auto"/>
                  <w:vAlign w:val="top"/>
                </w:tcPr>
                <w:p w14:paraId="05BC4D85">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rPr>
                    <w:t>1E+02</w:t>
                  </w:r>
                </w:p>
              </w:tc>
              <w:tc>
                <w:tcPr>
                  <w:tcW w:w="0" w:type="auto"/>
                  <w:shd w:val="clear" w:color="auto" w:fill="auto"/>
                  <w:vAlign w:val="top"/>
                </w:tcPr>
                <w:p w14:paraId="028292B9">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rPr>
                    <w:t>1E+05</w:t>
                  </w:r>
                </w:p>
              </w:tc>
            </w:tr>
            <w:tr w14:paraId="547577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0" w:type="auto"/>
                  <w:shd w:val="clear" w:color="auto" w:fill="auto"/>
                  <w:vAlign w:val="top"/>
                </w:tcPr>
                <w:p w14:paraId="2C4BFCA0">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eastAsia" w:ascii="Times New Roman" w:hAnsi="Times New Roman" w:eastAsia="宋体" w:cs="Times New Roman"/>
                      <w:color w:val="auto"/>
                      <w:position w:val="-2"/>
                      <w:sz w:val="21"/>
                      <w:szCs w:val="21"/>
                      <w:highlight w:val="none"/>
                      <w:lang w:val="en-US" w:eastAsia="zh-CN"/>
                    </w:rPr>
                    <w:t>Y-90</w:t>
                  </w:r>
                </w:p>
              </w:tc>
              <w:tc>
                <w:tcPr>
                  <w:tcW w:w="0" w:type="auto"/>
                  <w:shd w:val="clear" w:color="auto" w:fill="auto"/>
                  <w:vAlign w:val="top"/>
                </w:tcPr>
                <w:p w14:paraId="18BC45FD">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rPr>
                    <w:t>1E+03</w:t>
                  </w:r>
                </w:p>
              </w:tc>
              <w:tc>
                <w:tcPr>
                  <w:tcW w:w="0" w:type="auto"/>
                  <w:shd w:val="clear" w:color="auto" w:fill="auto"/>
                  <w:vAlign w:val="top"/>
                </w:tcPr>
                <w:p w14:paraId="1F803477">
                  <w:pPr>
                    <w:keepNext w:val="0"/>
                    <w:keepLines w:val="0"/>
                    <w:suppressLineNumbers w:val="0"/>
                    <w:spacing w:before="33" w:beforeAutospacing="0" w:after="0" w:afterAutospacing="0" w:line="202" w:lineRule="auto"/>
                    <w:ind w:left="0" w:leftChars="0" w:right="0" w:rightChars="0"/>
                    <w:jc w:val="center"/>
                    <w:rPr>
                      <w:rFonts w:hint="default" w:ascii="Times New Roman" w:hAnsi="Times New Roman" w:eastAsia="宋体" w:cs="Times New Roman"/>
                      <w:color w:val="auto"/>
                      <w:position w:val="-2"/>
                      <w:sz w:val="21"/>
                      <w:szCs w:val="21"/>
                      <w:highlight w:val="none"/>
                      <w:lang w:val="en-US" w:eastAsia="zh-CN"/>
                    </w:rPr>
                  </w:pPr>
                  <w:r>
                    <w:rPr>
                      <w:rFonts w:hint="default" w:ascii="Times New Roman" w:hAnsi="Times New Roman" w:eastAsia="宋体" w:cs="Times New Roman"/>
                      <w:color w:val="auto"/>
                      <w:position w:val="-2"/>
                      <w:sz w:val="21"/>
                      <w:szCs w:val="21"/>
                      <w:highlight w:val="none"/>
                    </w:rPr>
                    <w:t>1E+0</w:t>
                  </w:r>
                  <w:r>
                    <w:rPr>
                      <w:rFonts w:hint="eastAsia" w:ascii="Times New Roman" w:hAnsi="Times New Roman" w:eastAsia="宋体" w:cs="Times New Roman"/>
                      <w:color w:val="auto"/>
                      <w:position w:val="-2"/>
                      <w:sz w:val="21"/>
                      <w:szCs w:val="21"/>
                      <w:highlight w:val="none"/>
                      <w:lang w:val="en-US" w:eastAsia="zh-CN"/>
                    </w:rPr>
                    <w:t>5</w:t>
                  </w:r>
                </w:p>
              </w:tc>
            </w:tr>
          </w:tbl>
          <w:p w14:paraId="0695A601">
            <w:pPr>
              <w:pStyle w:val="43"/>
              <w:keepNext w:val="0"/>
              <w:keepLines w:val="0"/>
              <w:suppressLineNumbers w:val="0"/>
              <w:spacing w:before="186" w:beforeAutospacing="0" w:after="0" w:afterAutospacing="0" w:line="220" w:lineRule="auto"/>
              <w:ind w:left="123" w:right="0"/>
              <w:jc w:val="both"/>
              <w:rPr>
                <w:rFonts w:hint="default" w:ascii="Times New Roman" w:hAnsi="Times New Roman" w:eastAsia="宋体" w:cs="Times New Roman"/>
                <w:b/>
                <w:bCs/>
                <w:color w:val="auto"/>
                <w:spacing w:val="-4"/>
                <w:sz w:val="21"/>
                <w:szCs w:val="21"/>
                <w:highlight w:val="none"/>
              </w:rPr>
            </w:pPr>
            <w:r>
              <w:rPr>
                <w:rFonts w:hint="eastAsia" w:ascii="Times New Roman" w:hAnsi="Times New Roman" w:cs="Times New Roman"/>
                <w:b w:val="0"/>
                <w:bCs w:val="0"/>
                <w:color w:val="auto"/>
                <w:spacing w:val="-4"/>
                <w:sz w:val="18"/>
                <w:szCs w:val="18"/>
                <w:highlight w:val="none"/>
                <w:lang w:val="en-US" w:eastAsia="zh-CN"/>
              </w:rPr>
              <w:t>注：C-11、N-13参照</w:t>
            </w:r>
            <w:r>
              <w:rPr>
                <w:rFonts w:hint="eastAsia" w:ascii="Times New Roman" w:hAnsi="Times New Roman" w:cs="Times New Roman"/>
                <w:b w:val="0"/>
                <w:bCs w:val="0"/>
                <w:color w:val="auto"/>
                <w:spacing w:val="-4"/>
                <w:sz w:val="18"/>
                <w:szCs w:val="18"/>
                <w:highlight w:val="none"/>
                <w:vertAlign w:val="baseline"/>
                <w:lang w:val="en-US" w:eastAsia="zh-CN"/>
              </w:rPr>
              <w:t>F-18</w:t>
            </w:r>
            <w:r>
              <w:rPr>
                <w:rFonts w:hint="eastAsia" w:ascii="Times New Roman" w:hAnsi="Times New Roman" w:cs="Times New Roman"/>
                <w:b w:val="0"/>
                <w:bCs w:val="0"/>
                <w:color w:val="auto"/>
                <w:spacing w:val="-4"/>
                <w:sz w:val="18"/>
                <w:szCs w:val="18"/>
                <w:highlight w:val="none"/>
                <w:lang w:val="en-US" w:eastAsia="zh-CN"/>
              </w:rPr>
              <w:t>，</w:t>
            </w:r>
            <w:r>
              <w:rPr>
                <w:rFonts w:hint="eastAsia" w:ascii="Times New Roman" w:hAnsi="Times New Roman" w:cs="Times New Roman"/>
                <w:b w:val="0"/>
                <w:bCs w:val="0"/>
                <w:color w:val="auto"/>
                <w:spacing w:val="-4"/>
                <w:sz w:val="18"/>
                <w:szCs w:val="18"/>
                <w:highlight w:val="none"/>
                <w:vertAlign w:val="baseline"/>
                <w:lang w:val="en-US" w:eastAsia="zh-CN"/>
              </w:rPr>
              <w:t>Ac-225</w:t>
            </w:r>
            <w:r>
              <w:rPr>
                <w:rFonts w:hint="eastAsia" w:ascii="Times New Roman" w:hAnsi="Times New Roman" w:cs="Times New Roman"/>
                <w:b w:val="0"/>
                <w:bCs w:val="0"/>
                <w:color w:val="auto"/>
                <w:spacing w:val="-4"/>
                <w:sz w:val="18"/>
                <w:szCs w:val="18"/>
                <w:highlight w:val="none"/>
                <w:lang w:val="en-US" w:eastAsia="zh-CN"/>
              </w:rPr>
              <w:t>参照</w:t>
            </w:r>
            <w:r>
              <w:rPr>
                <w:rFonts w:hint="eastAsia" w:ascii="Times New Roman" w:hAnsi="Times New Roman" w:cs="Times New Roman"/>
                <w:b w:val="0"/>
                <w:bCs w:val="0"/>
                <w:color w:val="auto"/>
                <w:spacing w:val="-4"/>
                <w:sz w:val="18"/>
                <w:szCs w:val="18"/>
                <w:highlight w:val="none"/>
                <w:vertAlign w:val="baseline"/>
                <w:lang w:val="en-US" w:eastAsia="zh-CN"/>
              </w:rPr>
              <w:t>Ra-223</w:t>
            </w:r>
            <w:r>
              <w:rPr>
                <w:rFonts w:hint="eastAsia" w:ascii="Times New Roman" w:hAnsi="Times New Roman" w:cs="Times New Roman"/>
                <w:b w:val="0"/>
                <w:bCs w:val="0"/>
                <w:color w:val="auto"/>
                <w:spacing w:val="-4"/>
                <w:sz w:val="18"/>
                <w:szCs w:val="18"/>
                <w:highlight w:val="none"/>
                <w:lang w:val="en-US" w:eastAsia="zh-CN"/>
              </w:rPr>
              <w:t>。</w:t>
            </w:r>
          </w:p>
          <w:p w14:paraId="0F599775">
            <w:pPr>
              <w:pStyle w:val="43"/>
              <w:keepNext w:val="0"/>
              <w:keepLines w:val="0"/>
              <w:suppressLineNumbers w:val="0"/>
              <w:spacing w:before="186" w:beforeAutospacing="0" w:after="0" w:afterAutospacing="0" w:line="220" w:lineRule="auto"/>
              <w:ind w:left="123"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4"/>
                <w:highlight w:val="none"/>
              </w:rPr>
              <w:t>（3）放射性废气</w:t>
            </w:r>
          </w:p>
          <w:p w14:paraId="31678346">
            <w:pPr>
              <w:pStyle w:val="43"/>
              <w:keepNext w:val="0"/>
              <w:keepLines w:val="0"/>
              <w:suppressLineNumbers w:val="0"/>
              <w:spacing w:before="212" w:beforeAutospacing="0" w:after="0" w:afterAutospacing="0" w:line="22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根据《核医学辐射防护与安全要求》（HJ1188-2021</w:t>
            </w:r>
            <w:r>
              <w:rPr>
                <w:rFonts w:hint="default" w:ascii="Times New Roman" w:hAnsi="Times New Roman" w:eastAsia="宋体" w:cs="Times New Roman"/>
                <w:b/>
                <w:bCs/>
                <w:color w:val="auto"/>
                <w:spacing w:val="1"/>
                <w:highlight w:val="none"/>
              </w:rPr>
              <w:t>）</w:t>
            </w:r>
            <w:r>
              <w:rPr>
                <w:rFonts w:hint="default" w:ascii="Times New Roman" w:hAnsi="Times New Roman" w:eastAsia="宋体" w:cs="Times New Roman"/>
                <w:color w:val="auto"/>
                <w:spacing w:val="1"/>
                <w:highlight w:val="none"/>
              </w:rPr>
              <w:t>：</w:t>
            </w:r>
          </w:p>
          <w:p w14:paraId="74A01203">
            <w:pPr>
              <w:pStyle w:val="43"/>
              <w:keepNext w:val="0"/>
              <w:keepLines w:val="0"/>
              <w:suppressLineNumbers w:val="0"/>
              <w:spacing w:before="213" w:beforeAutospacing="0" w:after="0" w:afterAutospacing="0" w:line="220" w:lineRule="auto"/>
              <w:ind w:left="596"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7.4</w:t>
            </w:r>
            <w:r>
              <w:rPr>
                <w:rFonts w:hint="default" w:ascii="Times New Roman" w:hAnsi="Times New Roman" w:eastAsia="宋体" w:cs="Times New Roman"/>
                <w:color w:val="auto"/>
                <w:spacing w:val="-1"/>
                <w:highlight w:val="none"/>
                <w:lang w:val="en-US" w:eastAsia="zh-CN"/>
              </w:rPr>
              <w:t xml:space="preserve"> </w:t>
            </w:r>
            <w:r>
              <w:rPr>
                <w:rFonts w:hint="default" w:ascii="Times New Roman" w:hAnsi="Times New Roman" w:eastAsia="宋体" w:cs="Times New Roman"/>
                <w:color w:val="auto"/>
                <w:spacing w:val="-1"/>
                <w:highlight w:val="none"/>
              </w:rPr>
              <w:t>气态放射性废物的管理</w:t>
            </w:r>
          </w:p>
          <w:p w14:paraId="46A8F103">
            <w:pPr>
              <w:pStyle w:val="43"/>
              <w:keepNext w:val="0"/>
              <w:keepLines w:val="0"/>
              <w:suppressLineNumbers w:val="0"/>
              <w:spacing w:before="216" w:beforeAutospacing="0" w:after="0" w:afterAutospacing="0" w:line="302" w:lineRule="auto"/>
              <w:ind w:left="116" w:right="213" w:firstLine="48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7.4.1</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产生气态放射性废物的核医学场所应设</w:t>
            </w:r>
            <w:r>
              <w:rPr>
                <w:rFonts w:hint="default" w:ascii="Times New Roman" w:hAnsi="Times New Roman" w:eastAsia="宋体" w:cs="Times New Roman"/>
                <w:color w:val="auto"/>
                <w:spacing w:val="-1"/>
                <w:highlight w:val="none"/>
              </w:rPr>
              <w:t>置独立的通风系统，合理组织工作场所的气流，对排出工作场所的气体进行过滤净化，避免污染</w:t>
            </w:r>
            <w:r>
              <w:rPr>
                <w:rFonts w:hint="default" w:ascii="Times New Roman" w:hAnsi="Times New Roman" w:eastAsia="宋体" w:cs="Times New Roman"/>
                <w:color w:val="auto"/>
                <w:spacing w:val="-2"/>
                <w:highlight w:val="none"/>
              </w:rPr>
              <w:t>工作场所和环境。</w:t>
            </w:r>
          </w:p>
          <w:p w14:paraId="2BD1B68F">
            <w:pPr>
              <w:pStyle w:val="43"/>
              <w:keepNext w:val="0"/>
              <w:keepLines w:val="0"/>
              <w:suppressLineNumbers w:val="0"/>
              <w:spacing w:before="213" w:beforeAutospacing="0" w:after="0" w:afterAutospacing="0" w:line="331" w:lineRule="auto"/>
              <w:ind w:left="118" w:right="127" w:firstLine="478"/>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7.4.2</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应定期检查通风系统过滤净化器的有效</w:t>
            </w:r>
            <w:r>
              <w:rPr>
                <w:rFonts w:hint="default" w:ascii="Times New Roman" w:hAnsi="Times New Roman" w:eastAsia="宋体" w:cs="Times New Roman"/>
                <w:color w:val="auto"/>
                <w:spacing w:val="-1"/>
                <w:highlight w:val="none"/>
              </w:rPr>
              <w:t>性，及时更换失效的过滤器，更换</w:t>
            </w:r>
            <w:r>
              <w:rPr>
                <w:rFonts w:hint="default" w:ascii="Times New Roman" w:hAnsi="Times New Roman" w:eastAsia="宋体" w:cs="Times New Roman"/>
                <w:color w:val="auto"/>
                <w:spacing w:val="-3"/>
                <w:highlight w:val="none"/>
              </w:rPr>
              <w:t>周期不能超过厂家推荐的使用时间。更换下来的过滤器按放射性固体废物进行收集、</w:t>
            </w:r>
            <w:r>
              <w:rPr>
                <w:rFonts w:hint="default" w:ascii="Times New Roman" w:hAnsi="Times New Roman" w:eastAsia="宋体" w:cs="Times New Roman"/>
                <w:color w:val="auto"/>
                <w:spacing w:val="-11"/>
                <w:highlight w:val="none"/>
              </w:rPr>
              <w:t>处理。</w:t>
            </w:r>
          </w:p>
          <w:p w14:paraId="0045831E">
            <w:pPr>
              <w:pStyle w:val="43"/>
              <w:keepNext w:val="0"/>
              <w:keepLines w:val="0"/>
              <w:suppressLineNumbers w:val="0"/>
              <w:spacing w:before="207" w:beforeAutospacing="0" w:after="0" w:afterAutospacing="0" w:line="22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1"/>
                <w:highlight w:val="none"/>
              </w:rPr>
              <w:t>根据《核医学放射防护要求》（GBZ120</w:t>
            </w:r>
            <w:r>
              <w:rPr>
                <w:rFonts w:hint="default" w:ascii="Times New Roman" w:hAnsi="Times New Roman" w:eastAsia="宋体" w:cs="Times New Roman"/>
                <w:b/>
                <w:bCs/>
                <w:color w:val="auto"/>
                <w:spacing w:val="-2"/>
                <w:highlight w:val="none"/>
              </w:rPr>
              <w:t>-2020</w:t>
            </w:r>
            <w:r>
              <w:rPr>
                <w:rFonts w:hint="default" w:ascii="Times New Roman" w:hAnsi="Times New Roman" w:eastAsia="宋体" w:cs="Times New Roman"/>
                <w:b/>
                <w:bCs/>
                <w:color w:val="auto"/>
                <w:spacing w:val="-4"/>
                <w:highlight w:val="none"/>
              </w:rPr>
              <w:t>）：</w:t>
            </w:r>
          </w:p>
          <w:p w14:paraId="4E70600A">
            <w:pPr>
              <w:pStyle w:val="43"/>
              <w:keepNext w:val="0"/>
              <w:keepLines w:val="0"/>
              <w:suppressLineNumbers w:val="0"/>
              <w:spacing w:before="216" w:beforeAutospacing="0" w:after="0" w:afterAutospacing="0" w:line="380" w:lineRule="auto"/>
              <w:ind w:left="116" w:right="146" w:firstLine="483"/>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3"/>
                <w:highlight w:val="none"/>
              </w:rPr>
              <w:t>核医学工作场所的通风按表</w:t>
            </w:r>
            <w:r>
              <w:rPr>
                <w:rFonts w:hint="default" w:ascii="Times New Roman" w:hAnsi="Times New Roman" w:eastAsia="宋体" w:cs="Times New Roman"/>
                <w:color w:val="auto"/>
                <w:spacing w:val="-3"/>
                <w:highlight w:val="none"/>
                <w:lang w:val="en-US" w:eastAsia="zh-CN"/>
              </w:rPr>
              <w:t>1</w:t>
            </w:r>
            <w:r>
              <w:rPr>
                <w:rFonts w:hint="default" w:ascii="Times New Roman" w:hAnsi="Times New Roman" w:eastAsia="宋体" w:cs="Times New Roman"/>
                <w:color w:val="auto"/>
                <w:spacing w:val="-3"/>
                <w:highlight w:val="none"/>
              </w:rPr>
              <w:t>要求，通风系统独立设置，应保持核医学工作</w:t>
            </w:r>
            <w:r>
              <w:rPr>
                <w:rFonts w:hint="default" w:ascii="Times New Roman" w:hAnsi="Times New Roman" w:eastAsia="宋体" w:cs="Times New Roman"/>
                <w:color w:val="auto"/>
                <w:spacing w:val="1"/>
                <w:highlight w:val="none"/>
              </w:rPr>
              <w:t>场所良好的通风条件，合理设置工作场所的气流组织，遵循自非放射区向监督区再向控制区的流向设计，保持含放射性核素场所负压以防止放射性气体交叉污染，保</w:t>
            </w:r>
            <w:r>
              <w:rPr>
                <w:rFonts w:hint="default" w:ascii="Times New Roman" w:hAnsi="Times New Roman" w:eastAsia="宋体" w:cs="Times New Roman"/>
                <w:color w:val="auto"/>
                <w:spacing w:val="-3"/>
                <w:highlight w:val="none"/>
              </w:rPr>
              <w:t>证工作场所的空气质量。合成和操作放射性药</w:t>
            </w:r>
            <w:r>
              <w:rPr>
                <w:rFonts w:hint="default" w:ascii="Times New Roman" w:hAnsi="Times New Roman" w:eastAsia="宋体" w:cs="Times New Roman"/>
                <w:color w:val="auto"/>
                <w:spacing w:val="-4"/>
                <w:highlight w:val="none"/>
              </w:rPr>
              <w:t>物所用的通风橱应有专用的排风装置，</w:t>
            </w:r>
            <w:r>
              <w:rPr>
                <w:rFonts w:hint="default" w:ascii="Times New Roman" w:hAnsi="Times New Roman" w:eastAsia="宋体" w:cs="Times New Roman"/>
                <w:color w:val="auto"/>
                <w:highlight w:val="none"/>
              </w:rPr>
              <w:t>风速应不小于0.5m/s。排气口应高于本建筑物屋顶并安装专用过滤装置，</w:t>
            </w:r>
            <w:r>
              <w:rPr>
                <w:rFonts w:hint="default" w:ascii="Times New Roman" w:hAnsi="Times New Roman" w:eastAsia="宋体" w:cs="Times New Roman"/>
                <w:color w:val="auto"/>
                <w:spacing w:val="-1"/>
                <w:highlight w:val="none"/>
              </w:rPr>
              <w:t>排出空气</w:t>
            </w:r>
            <w:r>
              <w:rPr>
                <w:rFonts w:hint="default" w:ascii="Times New Roman" w:hAnsi="Times New Roman" w:eastAsia="宋体" w:cs="Times New Roman"/>
                <w:color w:val="auto"/>
                <w:spacing w:val="-3"/>
                <w:highlight w:val="none"/>
              </w:rPr>
              <w:t>浓度应达到环境主管部门的要求。</w:t>
            </w:r>
          </w:p>
          <w:p w14:paraId="2B417836">
            <w:pPr>
              <w:pStyle w:val="43"/>
              <w:keepNext w:val="0"/>
              <w:keepLines w:val="0"/>
              <w:suppressLineNumbers w:val="0"/>
              <w:spacing w:before="214" w:beforeAutospacing="0" w:after="0" w:afterAutospacing="0" w:line="220" w:lineRule="auto"/>
              <w:ind w:left="0"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7.3.9放射治疗工作场所空间、通风要求</w:t>
            </w:r>
          </w:p>
          <w:p w14:paraId="74C2AB81">
            <w:pPr>
              <w:pStyle w:val="43"/>
              <w:keepNext w:val="0"/>
              <w:keepLines w:val="0"/>
              <w:suppressLineNumbers w:val="0"/>
              <w:spacing w:before="215" w:beforeAutospacing="0" w:after="0" w:afterAutospacing="0" w:line="220" w:lineRule="auto"/>
              <w:ind w:left="117"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根据《放射治疗辐射安全与防护要求》（HJ1198-2021</w:t>
            </w:r>
            <w:r>
              <w:rPr>
                <w:rFonts w:hint="default" w:ascii="Times New Roman" w:hAnsi="Times New Roman" w:eastAsia="宋体" w:cs="Times New Roman"/>
                <w:b/>
                <w:bCs/>
                <w:color w:val="auto"/>
                <w:spacing w:val="-1"/>
                <w:highlight w:val="none"/>
              </w:rPr>
              <w:t>）：</w:t>
            </w:r>
          </w:p>
          <w:p w14:paraId="53E75470">
            <w:pPr>
              <w:pStyle w:val="43"/>
              <w:keepNext w:val="0"/>
              <w:keepLines w:val="0"/>
              <w:suppressLineNumbers w:val="0"/>
              <w:spacing w:before="213" w:beforeAutospacing="0" w:after="0" w:afterAutospacing="0" w:line="220" w:lineRule="auto"/>
              <w:ind w:left="602"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8.4气态废物管理要求</w:t>
            </w:r>
          </w:p>
          <w:p w14:paraId="482B1030">
            <w:pPr>
              <w:pStyle w:val="43"/>
              <w:keepNext w:val="0"/>
              <w:keepLines w:val="0"/>
              <w:suppressLineNumbers w:val="0"/>
              <w:spacing w:before="213" w:beforeAutospacing="0" w:after="0" w:afterAutospacing="0" w:line="303" w:lineRule="auto"/>
              <w:ind w:left="118" w:right="107" w:firstLine="484"/>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4"/>
                <w:highlight w:val="none"/>
              </w:rPr>
              <w:t>8.4.1放射治疗室内应设置强制排风系统，采取全排全送的通风方式，换气次数不</w:t>
            </w:r>
            <w:r>
              <w:rPr>
                <w:rFonts w:hint="default" w:ascii="Times New Roman" w:hAnsi="Times New Roman" w:eastAsia="宋体" w:cs="Times New Roman"/>
                <w:color w:val="auto"/>
                <w:spacing w:val="-2"/>
                <w:highlight w:val="none"/>
              </w:rPr>
              <w:t>少于4次/h，排气口位置不得设置在有门、窗或人流较大的过道等位置。</w:t>
            </w:r>
          </w:p>
          <w:p w14:paraId="53F40DCF">
            <w:pPr>
              <w:pStyle w:val="43"/>
              <w:keepNext w:val="0"/>
              <w:keepLines w:val="0"/>
              <w:suppressLineNumbers w:val="0"/>
              <w:spacing w:before="214" w:beforeAutospacing="0" w:after="0" w:afterAutospacing="0" w:line="220" w:lineRule="auto"/>
              <w:ind w:left="0"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pacing w:val="-2"/>
                <w:highlight w:val="none"/>
              </w:rPr>
              <w:t>7.3.10监测规定</w:t>
            </w:r>
          </w:p>
          <w:p w14:paraId="25657688">
            <w:pPr>
              <w:pStyle w:val="43"/>
              <w:keepNext w:val="0"/>
              <w:keepLines w:val="0"/>
              <w:suppressLineNumbers w:val="0"/>
              <w:spacing w:before="216" w:beforeAutospacing="0" w:after="0" w:afterAutospacing="0" w:line="220" w:lineRule="auto"/>
              <w:ind w:left="0"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"7.3.10.1"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b/>
                <w:bCs/>
                <w:color w:val="auto"/>
                <w:spacing w:val="-2"/>
                <w:highlight w:val="none"/>
              </w:rPr>
              <w:t>7.3.10.1</w:t>
            </w:r>
            <w:r>
              <w:rPr>
                <w:rFonts w:hint="default" w:ascii="Times New Roman" w:hAnsi="Times New Roman" w:eastAsia="宋体" w:cs="Times New Roman"/>
                <w:b/>
                <w:bCs/>
                <w:color w:val="auto"/>
                <w:spacing w:val="-2"/>
                <w:highlight w:val="none"/>
              </w:rPr>
              <w:fldChar w:fldCharType="end"/>
            </w:r>
            <w:r>
              <w:rPr>
                <w:rFonts w:hint="default" w:ascii="Times New Roman" w:hAnsi="Times New Roman" w:eastAsia="宋体" w:cs="Times New Roman"/>
                <w:b/>
                <w:bCs/>
                <w:color w:val="auto"/>
                <w:spacing w:val="-2"/>
                <w:highlight w:val="none"/>
              </w:rPr>
              <w:t>核医学项目</w:t>
            </w:r>
          </w:p>
          <w:p w14:paraId="215E167E">
            <w:pPr>
              <w:pStyle w:val="43"/>
              <w:keepNext w:val="0"/>
              <w:keepLines w:val="0"/>
              <w:suppressLineNumbers w:val="0"/>
              <w:spacing w:before="213" w:beforeAutospacing="0" w:after="0" w:afterAutospacing="0" w:line="360" w:lineRule="auto"/>
              <w:ind w:left="128" w:right="107" w:firstLine="469"/>
              <w:jc w:val="both"/>
              <w:rPr>
                <w:rFonts w:hint="default" w:ascii="Times New Roman" w:hAnsi="Times New Roman" w:eastAsia="宋体" w:cs="Times New Roman"/>
                <w:color w:val="auto"/>
                <w:spacing w:val="1"/>
                <w:highlight w:val="none"/>
              </w:rPr>
            </w:pPr>
            <w:r>
              <w:rPr>
                <w:rFonts w:hint="default" w:ascii="Times New Roman" w:hAnsi="Times New Roman" w:eastAsia="宋体" w:cs="Times New Roman"/>
                <w:b/>
                <w:bCs/>
                <w:color w:val="auto"/>
                <w:spacing w:val="-2"/>
                <w:highlight w:val="none"/>
              </w:rPr>
              <w:t>根据《核医学辐射防护与安全要求》（HJ1188-2021</w:t>
            </w:r>
            <w:r>
              <w:rPr>
                <w:rFonts w:hint="default" w:ascii="Times New Roman" w:hAnsi="Times New Roman" w:eastAsia="宋体" w:cs="Times New Roman"/>
                <w:b/>
                <w:bCs/>
                <w:color w:val="auto"/>
                <w:spacing w:val="1"/>
                <w:highlight w:val="none"/>
              </w:rPr>
              <w:t>）</w:t>
            </w:r>
            <w:r>
              <w:rPr>
                <w:rFonts w:hint="default" w:ascii="Times New Roman" w:hAnsi="Times New Roman" w:eastAsia="宋体" w:cs="Times New Roman"/>
                <w:color w:val="auto"/>
                <w:spacing w:val="1"/>
                <w:highlight w:val="none"/>
              </w:rPr>
              <w:t>：</w:t>
            </w:r>
          </w:p>
          <w:p w14:paraId="276EC0D5">
            <w:pPr>
              <w:pStyle w:val="43"/>
              <w:keepNext w:val="0"/>
              <w:keepLines w:val="0"/>
              <w:suppressLineNumbers w:val="0"/>
              <w:spacing w:before="198" w:beforeAutospacing="0" w:after="0" w:afterAutospacing="0" w:line="220" w:lineRule="auto"/>
              <w:ind w:left="602"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3"/>
                <w:highlight w:val="none"/>
              </w:rPr>
              <w:t>8辐射监测</w:t>
            </w:r>
          </w:p>
          <w:p w14:paraId="3564176B">
            <w:pPr>
              <w:pStyle w:val="43"/>
              <w:keepNext w:val="0"/>
              <w:keepLines w:val="0"/>
              <w:suppressLineNumbers w:val="0"/>
              <w:spacing w:before="216" w:beforeAutospacing="0" w:after="0" w:afterAutospacing="0" w:line="221" w:lineRule="auto"/>
              <w:ind w:left="602"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4"/>
                <w:highlight w:val="none"/>
              </w:rPr>
              <w:t>8.1一般要求</w:t>
            </w:r>
          </w:p>
          <w:p w14:paraId="5518265C">
            <w:pPr>
              <w:pStyle w:val="43"/>
              <w:keepNext w:val="0"/>
              <w:keepLines w:val="0"/>
              <w:suppressLineNumbers w:val="0"/>
              <w:spacing w:before="211" w:beforeAutospacing="0" w:after="0" w:afterAutospacing="0" w:line="302" w:lineRule="auto"/>
              <w:ind w:left="118" w:right="212" w:firstLine="484"/>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8.1.1开展核医学诊疗实践的医疗机构应制定辐射监测计划，并按照计划落实监测工作，不具备辐射监测能力的单位，可以</w:t>
            </w:r>
            <w:r>
              <w:rPr>
                <w:rFonts w:hint="default" w:ascii="Times New Roman" w:hAnsi="Times New Roman" w:eastAsia="宋体" w:cs="Times New Roman"/>
                <w:color w:val="auto"/>
                <w:spacing w:val="-2"/>
                <w:highlight w:val="none"/>
              </w:rPr>
              <w:t>委托有能力的单位进行监测。</w:t>
            </w:r>
          </w:p>
          <w:p w14:paraId="755C53A6">
            <w:pPr>
              <w:pStyle w:val="43"/>
              <w:keepNext w:val="0"/>
              <w:keepLines w:val="0"/>
              <w:suppressLineNumbers w:val="0"/>
              <w:spacing w:before="215" w:beforeAutospacing="0" w:after="0" w:afterAutospacing="0" w:line="302" w:lineRule="auto"/>
              <w:ind w:left="117" w:right="215" w:firstLine="485"/>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8.1.2所有辐射监测记录应建档保存，测量记录应包括测量对象、测量条件、测</w:t>
            </w:r>
            <w:r>
              <w:rPr>
                <w:rFonts w:hint="default" w:ascii="Times New Roman" w:hAnsi="Times New Roman" w:eastAsia="宋体" w:cs="Times New Roman"/>
                <w:color w:val="auto"/>
                <w:spacing w:val="-2"/>
                <w:highlight w:val="none"/>
              </w:rPr>
              <w:t>量方法、测量仪器、测量时间和测量人员等信息。</w:t>
            </w:r>
          </w:p>
          <w:p w14:paraId="6915B112">
            <w:pPr>
              <w:pStyle w:val="43"/>
              <w:keepNext w:val="0"/>
              <w:keepLines w:val="0"/>
              <w:suppressLineNumbers w:val="0"/>
              <w:spacing w:before="213" w:beforeAutospacing="0" w:after="0" w:afterAutospacing="0" w:line="302" w:lineRule="auto"/>
              <w:ind w:left="115" w:right="212" w:firstLine="487"/>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8.1.3应定期对辐射监测结果进行评价，监测中发现异常情况应查找原因并及时</w:t>
            </w:r>
            <w:r>
              <w:rPr>
                <w:rFonts w:hint="default" w:ascii="Times New Roman" w:hAnsi="Times New Roman" w:eastAsia="宋体" w:cs="Times New Roman"/>
                <w:color w:val="auto"/>
                <w:spacing w:val="-3"/>
                <w:highlight w:val="none"/>
              </w:rPr>
              <w:t>报告，提出改进辐射防护工作的意见和建议。</w:t>
            </w:r>
          </w:p>
          <w:p w14:paraId="4235BBC2">
            <w:pPr>
              <w:pStyle w:val="43"/>
              <w:keepNext w:val="0"/>
              <w:keepLines w:val="0"/>
              <w:suppressLineNumbers w:val="0"/>
              <w:spacing w:before="216" w:beforeAutospacing="0" w:after="0" w:afterAutospacing="0" w:line="220" w:lineRule="auto"/>
              <w:ind w:left="602"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8.2工作场所监测</w:t>
            </w:r>
          </w:p>
          <w:p w14:paraId="40BD284C">
            <w:pPr>
              <w:pStyle w:val="43"/>
              <w:keepNext w:val="0"/>
              <w:keepLines w:val="0"/>
              <w:suppressLineNumbers w:val="0"/>
              <w:spacing w:before="214" w:beforeAutospacing="0" w:after="0" w:afterAutospacing="0" w:line="302" w:lineRule="auto"/>
              <w:ind w:left="117" w:right="212" w:firstLine="485"/>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5"/>
                <w:highlight w:val="none"/>
              </w:rPr>
              <w:t>8.2.1应根据使用放射性核素种类、数量和操作方式，对</w:t>
            </w:r>
            <w:r>
              <w:rPr>
                <w:rFonts w:hint="default" w:ascii="Times New Roman" w:hAnsi="Times New Roman" w:eastAsia="宋体" w:cs="Times New Roman"/>
                <w:color w:val="auto"/>
                <w:spacing w:val="-6"/>
                <w:highlight w:val="none"/>
              </w:rPr>
              <w:t>核医学工作场所的外照</w:t>
            </w:r>
            <w:r>
              <w:rPr>
                <w:rFonts w:hint="default" w:ascii="Times New Roman" w:hAnsi="Times New Roman" w:eastAsia="宋体" w:cs="Times New Roman"/>
                <w:color w:val="auto"/>
                <w:spacing w:val="-2"/>
                <w:highlight w:val="none"/>
              </w:rPr>
              <w:t>射剂量率水平和表面放射性污染水平进行监</w:t>
            </w:r>
            <w:r>
              <w:rPr>
                <w:rFonts w:hint="default" w:ascii="Times New Roman" w:hAnsi="Times New Roman" w:eastAsia="宋体" w:cs="Times New Roman"/>
                <w:color w:val="auto"/>
                <w:spacing w:val="-3"/>
                <w:highlight w:val="none"/>
              </w:rPr>
              <w:t>测。</w:t>
            </w:r>
          </w:p>
          <w:p w14:paraId="69D719C6">
            <w:pPr>
              <w:pStyle w:val="43"/>
              <w:keepNext w:val="0"/>
              <w:keepLines w:val="0"/>
              <w:suppressLineNumbers w:val="0"/>
              <w:spacing w:before="214" w:beforeAutospacing="0" w:after="0" w:afterAutospacing="0" w:line="302" w:lineRule="auto"/>
              <w:ind w:left="146" w:right="212" w:firstLine="456"/>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8.2.2核医学工作场所辐射监测点位、内容和频次应包括但不限于表7</w:t>
            </w:r>
            <w:r>
              <w:rPr>
                <w:rFonts w:hint="default" w:ascii="Times New Roman" w:hAnsi="Times New Roman" w:eastAsia="宋体" w:cs="Times New Roman"/>
                <w:color w:val="auto"/>
                <w:spacing w:val="-2"/>
                <w:highlight w:val="none"/>
                <w:lang w:val="en-US" w:eastAsia="zh-CN"/>
              </w:rPr>
              <w:t>-15</w:t>
            </w:r>
            <w:r>
              <w:rPr>
                <w:rFonts w:hint="default" w:ascii="Times New Roman" w:hAnsi="Times New Roman" w:eastAsia="宋体" w:cs="Times New Roman"/>
                <w:color w:val="auto"/>
                <w:spacing w:val="-2"/>
                <w:highlight w:val="none"/>
              </w:rPr>
              <w:t>的</w:t>
            </w:r>
            <w:r>
              <w:rPr>
                <w:rFonts w:hint="default" w:ascii="Times New Roman" w:hAnsi="Times New Roman" w:eastAsia="宋体" w:cs="Times New Roman"/>
                <w:color w:val="auto"/>
                <w:spacing w:val="-17"/>
                <w:highlight w:val="none"/>
              </w:rPr>
              <w:t>内容。</w:t>
            </w:r>
          </w:p>
          <w:p w14:paraId="4868D437">
            <w:pPr>
              <w:pStyle w:val="43"/>
              <w:keepNext w:val="0"/>
              <w:keepLines w:val="0"/>
              <w:suppressLineNumbers w:val="0"/>
              <w:spacing w:before="214" w:beforeAutospacing="0" w:after="0" w:afterAutospacing="0" w:line="302" w:lineRule="auto"/>
              <w:ind w:left="146" w:right="212" w:firstLine="456"/>
              <w:jc w:val="center"/>
              <w:rPr>
                <w:rFonts w:hint="default" w:ascii="Times New Roman" w:hAnsi="Times New Roman" w:eastAsia="宋体" w:cs="Times New Roman"/>
                <w:b/>
                <w:bCs/>
                <w:color w:val="auto"/>
                <w:spacing w:val="-2"/>
                <w:highlight w:val="none"/>
              </w:rPr>
            </w:pPr>
            <w:r>
              <w:rPr>
                <w:rFonts w:hint="default" w:ascii="Times New Roman" w:hAnsi="Times New Roman" w:eastAsia="宋体" w:cs="Times New Roman"/>
                <w:b/>
                <w:bCs/>
                <w:color w:val="auto"/>
                <w:spacing w:val="-2"/>
                <w:highlight w:val="none"/>
              </w:rPr>
              <w:t>表</w:t>
            </w:r>
            <w:r>
              <w:rPr>
                <w:rFonts w:hint="default" w:ascii="Times New Roman" w:hAnsi="Times New Roman" w:eastAsia="宋体" w:cs="Times New Roman"/>
                <w:b/>
                <w:bCs/>
                <w:color w:val="auto"/>
                <w:spacing w:val="-2"/>
                <w:highlight w:val="none"/>
                <w:lang w:val="en-US" w:eastAsia="zh-CN"/>
              </w:rPr>
              <w:t>7-15</w:t>
            </w:r>
            <w:r>
              <w:rPr>
                <w:rFonts w:hint="default" w:ascii="Times New Roman" w:hAnsi="Times New Roman" w:eastAsia="宋体" w:cs="Times New Roman"/>
                <w:b/>
                <w:bCs/>
                <w:color w:val="auto"/>
                <w:spacing w:val="-2"/>
                <w:highlight w:val="none"/>
              </w:rPr>
              <w:t xml:space="preserve"> 核医学工作场所辐射监测关注点位</w:t>
            </w:r>
          </w:p>
          <w:p w14:paraId="470B08BB">
            <w:pPr>
              <w:keepNext w:val="0"/>
              <w:keepLines w:val="0"/>
              <w:suppressLineNumbers w:val="0"/>
              <w:spacing w:before="0" w:beforeAutospacing="0" w:after="0" w:afterAutospacing="0" w:line="20" w:lineRule="exact"/>
              <w:ind w:left="0" w:right="0"/>
              <w:jc w:val="both"/>
              <w:rPr>
                <w:rFonts w:hint="default" w:ascii="Times New Roman" w:hAnsi="Times New Roman" w:eastAsia="宋体" w:cs="Times New Roman"/>
                <w:color w:val="auto"/>
                <w:highlight w:val="none"/>
              </w:rPr>
            </w:pPr>
          </w:p>
          <w:tbl>
            <w:tblPr>
              <w:tblStyle w:val="30"/>
              <w:tblW w:w="9055" w:type="dxa"/>
              <w:tblInd w:w="109"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294"/>
              <w:gridCol w:w="5377"/>
              <w:gridCol w:w="2384"/>
            </w:tblGrid>
            <w:tr w14:paraId="05C5F6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294" w:type="dxa"/>
                  <w:tcBorders>
                    <w:tl2br w:val="nil"/>
                    <w:tr2bl w:val="nil"/>
                  </w:tcBorders>
                  <w:vAlign w:val="center"/>
                </w:tcPr>
                <w:p w14:paraId="38642607">
                  <w:pPr>
                    <w:pStyle w:val="43"/>
                    <w:keepNext w:val="0"/>
                    <w:keepLines w:val="0"/>
                    <w:suppressLineNumbers w:val="0"/>
                    <w:spacing w:before="33" w:beforeAutospacing="0" w:after="0" w:afterAutospacing="0" w:line="206" w:lineRule="auto"/>
                    <w:ind w:left="241"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监测内容</w:t>
                  </w:r>
                </w:p>
              </w:tc>
              <w:tc>
                <w:tcPr>
                  <w:tcW w:w="5377" w:type="dxa"/>
                  <w:tcBorders>
                    <w:tl2br w:val="nil"/>
                    <w:tr2bl w:val="nil"/>
                  </w:tcBorders>
                  <w:vAlign w:val="center"/>
                </w:tcPr>
                <w:p w14:paraId="4C8E8D64">
                  <w:pPr>
                    <w:pStyle w:val="43"/>
                    <w:keepNext w:val="0"/>
                    <w:keepLines w:val="0"/>
                    <w:suppressLineNumbers w:val="0"/>
                    <w:spacing w:before="33" w:beforeAutospacing="0" w:after="0" w:afterAutospacing="0" w:line="206" w:lineRule="auto"/>
                    <w:ind w:left="2274"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监测点位</w:t>
                  </w:r>
                </w:p>
              </w:tc>
              <w:tc>
                <w:tcPr>
                  <w:tcW w:w="2384" w:type="dxa"/>
                  <w:tcBorders>
                    <w:tl2br w:val="nil"/>
                    <w:tr2bl w:val="nil"/>
                  </w:tcBorders>
                  <w:vAlign w:val="center"/>
                </w:tcPr>
                <w:p w14:paraId="09E97DE5">
                  <w:pPr>
                    <w:pStyle w:val="43"/>
                    <w:keepNext w:val="0"/>
                    <w:keepLines w:val="0"/>
                    <w:suppressLineNumbers w:val="0"/>
                    <w:spacing w:before="33" w:beforeAutospacing="0" w:after="0" w:afterAutospacing="0" w:line="206" w:lineRule="auto"/>
                    <w:ind w:left="626"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2"/>
                      <w:sz w:val="21"/>
                      <w:szCs w:val="21"/>
                      <w:highlight w:val="none"/>
                    </w:rPr>
                    <w:t>监测频次</w:t>
                  </w:r>
                </w:p>
              </w:tc>
            </w:tr>
            <w:tr w14:paraId="7E1E15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1294" w:type="dxa"/>
                  <w:tcBorders>
                    <w:tl2br w:val="nil"/>
                    <w:tr2bl w:val="nil"/>
                  </w:tcBorders>
                  <w:vAlign w:val="center"/>
                </w:tcPr>
                <w:p w14:paraId="785A4F60">
                  <w:pPr>
                    <w:pStyle w:val="43"/>
                    <w:keepNext w:val="0"/>
                    <w:keepLines w:val="0"/>
                    <w:suppressLineNumbers w:val="0"/>
                    <w:spacing w:before="170" w:beforeAutospacing="0" w:after="0" w:afterAutospacing="0" w:line="221" w:lineRule="auto"/>
                    <w:ind w:left="239"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辐射水平</w:t>
                  </w:r>
                </w:p>
              </w:tc>
              <w:tc>
                <w:tcPr>
                  <w:tcW w:w="5377" w:type="dxa"/>
                  <w:tcBorders>
                    <w:tl2br w:val="nil"/>
                    <w:tr2bl w:val="nil"/>
                  </w:tcBorders>
                  <w:vAlign w:val="center"/>
                </w:tcPr>
                <w:p w14:paraId="1EAB72E2">
                  <w:pPr>
                    <w:pStyle w:val="43"/>
                    <w:keepNext w:val="0"/>
                    <w:keepLines w:val="0"/>
                    <w:suppressLineNumbers w:val="0"/>
                    <w:spacing w:before="33" w:beforeAutospacing="0" w:after="0" w:afterAutospacing="0" w:line="219" w:lineRule="auto"/>
                    <w:ind w:left="564" w:right="164" w:hanging="394"/>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控制区和监督区所有工作人员和公众可能居留</w:t>
                  </w:r>
                  <w:r>
                    <w:rPr>
                      <w:rFonts w:hint="default" w:ascii="Times New Roman" w:hAnsi="Times New Roman" w:eastAsia="宋体" w:cs="Times New Roman"/>
                      <w:color w:val="auto"/>
                      <w:spacing w:val="-1"/>
                      <w:sz w:val="21"/>
                      <w:szCs w:val="21"/>
                      <w:highlight w:val="none"/>
                    </w:rPr>
                    <w:t>的有代表性的点位和存有放射性物质的装置/设备的表面</w:t>
                  </w:r>
                </w:p>
              </w:tc>
              <w:tc>
                <w:tcPr>
                  <w:tcW w:w="2384" w:type="dxa"/>
                  <w:tcBorders>
                    <w:tl2br w:val="nil"/>
                    <w:tr2bl w:val="nil"/>
                  </w:tcBorders>
                  <w:vAlign w:val="center"/>
                </w:tcPr>
                <w:p w14:paraId="458C6DD1">
                  <w:pPr>
                    <w:pStyle w:val="43"/>
                    <w:keepNext w:val="0"/>
                    <w:keepLines w:val="0"/>
                    <w:suppressLineNumbers w:val="0"/>
                    <w:spacing w:before="170" w:beforeAutospacing="0" w:after="0" w:afterAutospacing="0" w:line="221" w:lineRule="auto"/>
                    <w:ind w:left="389"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7"/>
                      <w:sz w:val="21"/>
                      <w:szCs w:val="21"/>
                      <w:highlight w:val="none"/>
                    </w:rPr>
                    <w:t>不少于1次/月</w:t>
                  </w:r>
                </w:p>
              </w:tc>
            </w:tr>
            <w:tr w14:paraId="65116D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07" w:hRule="atLeast"/>
              </w:trPr>
              <w:tc>
                <w:tcPr>
                  <w:tcW w:w="1294" w:type="dxa"/>
                  <w:tcBorders>
                    <w:tl2br w:val="nil"/>
                    <w:tr2bl w:val="nil"/>
                  </w:tcBorders>
                  <w:vAlign w:val="center"/>
                </w:tcPr>
                <w:p w14:paraId="6AC9333C">
                  <w:pPr>
                    <w:pStyle w:val="43"/>
                    <w:keepNext w:val="0"/>
                    <w:keepLines w:val="0"/>
                    <w:suppressLineNumbers w:val="0"/>
                    <w:spacing w:before="68" w:beforeAutospacing="0" w:after="0" w:afterAutospacing="0" w:line="230" w:lineRule="auto"/>
                    <w:ind w:left="453" w:right="110" w:hanging="319"/>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表面放射性</w:t>
                  </w:r>
                  <w:r>
                    <w:rPr>
                      <w:rFonts w:hint="default" w:ascii="Times New Roman" w:hAnsi="Times New Roman" w:eastAsia="宋体" w:cs="Times New Roman"/>
                      <w:color w:val="auto"/>
                      <w:spacing w:val="-2"/>
                      <w:sz w:val="21"/>
                      <w:szCs w:val="21"/>
                      <w:highlight w:val="none"/>
                    </w:rPr>
                    <w:t>污染</w:t>
                  </w:r>
                </w:p>
              </w:tc>
              <w:tc>
                <w:tcPr>
                  <w:tcW w:w="5377" w:type="dxa"/>
                  <w:tcBorders>
                    <w:tl2br w:val="nil"/>
                    <w:tr2bl w:val="nil"/>
                  </w:tcBorders>
                  <w:vAlign w:val="center"/>
                </w:tcPr>
                <w:p w14:paraId="073B98F3">
                  <w:pPr>
                    <w:pStyle w:val="43"/>
                    <w:keepNext w:val="0"/>
                    <w:keepLines w:val="0"/>
                    <w:suppressLineNumbers w:val="0"/>
                    <w:spacing w:before="40" w:beforeAutospacing="0" w:after="0" w:afterAutospacing="0" w:line="233" w:lineRule="auto"/>
                    <w:ind w:left="170" w:right="164"/>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放射性核素操作台面、设备表面、墙壁和地</w:t>
                  </w:r>
                  <w:r>
                    <w:rPr>
                      <w:rFonts w:hint="default" w:ascii="Times New Roman" w:hAnsi="Times New Roman" w:eastAsia="宋体" w:cs="Times New Roman"/>
                      <w:color w:val="auto"/>
                      <w:spacing w:val="-1"/>
                      <w:sz w:val="21"/>
                      <w:szCs w:val="21"/>
                      <w:highlight w:val="none"/>
                    </w:rPr>
                    <w:t>面，给药后患者候诊室，核素治疗场所的设施、墙壁和地面等，放</w:t>
                  </w:r>
                  <w:r>
                    <w:rPr>
                      <w:rFonts w:hint="default" w:ascii="Times New Roman" w:hAnsi="Times New Roman" w:eastAsia="宋体" w:cs="Times New Roman"/>
                      <w:color w:val="auto"/>
                      <w:sz w:val="21"/>
                      <w:szCs w:val="21"/>
                      <w:highlight w:val="none"/>
                    </w:rPr>
                    <w:t>射性废物桶和包装袋表面，工作人员的手、</w:t>
                  </w:r>
                  <w:r>
                    <w:rPr>
                      <w:rFonts w:hint="default" w:ascii="Times New Roman" w:hAnsi="Times New Roman" w:eastAsia="宋体" w:cs="Times New Roman"/>
                      <w:color w:val="auto"/>
                      <w:spacing w:val="-1"/>
                      <w:sz w:val="21"/>
                      <w:szCs w:val="21"/>
                      <w:highlight w:val="none"/>
                    </w:rPr>
                    <w:t>皮肤暴露部</w:t>
                  </w:r>
                </w:p>
                <w:p w14:paraId="65CDFFAC">
                  <w:pPr>
                    <w:pStyle w:val="43"/>
                    <w:keepNext w:val="0"/>
                    <w:keepLines w:val="0"/>
                    <w:suppressLineNumbers w:val="0"/>
                    <w:spacing w:before="23" w:beforeAutospacing="0" w:after="0" w:afterAutospacing="0" w:line="209" w:lineRule="auto"/>
                    <w:ind w:left="1224" w:right="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分及工作服、手套、鞋、帽等。</w:t>
                  </w:r>
                </w:p>
              </w:tc>
              <w:tc>
                <w:tcPr>
                  <w:tcW w:w="2384" w:type="dxa"/>
                  <w:tcBorders>
                    <w:tl2br w:val="nil"/>
                    <w:tr2bl w:val="nil"/>
                  </w:tcBorders>
                  <w:vAlign w:val="center"/>
                </w:tcPr>
                <w:p w14:paraId="637B2D9A">
                  <w:pPr>
                    <w:pStyle w:val="43"/>
                    <w:keepNext w:val="0"/>
                    <w:keepLines w:val="0"/>
                    <w:suppressLineNumbers w:val="0"/>
                    <w:spacing w:before="179" w:beforeAutospacing="0" w:after="0" w:afterAutospacing="0" w:line="233" w:lineRule="auto"/>
                    <w:ind w:left="205" w:right="196"/>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每次工作结束（出现放射性药物洒落</w:t>
                  </w:r>
                  <w:r>
                    <w:rPr>
                      <w:rFonts w:hint="default" w:ascii="Times New Roman" w:hAnsi="Times New Roman" w:eastAsia="宋体" w:cs="Times New Roman"/>
                      <w:color w:val="auto"/>
                      <w:spacing w:val="-3"/>
                      <w:sz w:val="21"/>
                      <w:szCs w:val="21"/>
                      <w:highlight w:val="none"/>
                    </w:rPr>
                    <w:t>应及时进行监测）</w:t>
                  </w:r>
                </w:p>
              </w:tc>
            </w:tr>
          </w:tbl>
          <w:p w14:paraId="7AEFAD9D">
            <w:pPr>
              <w:pStyle w:val="43"/>
              <w:keepNext w:val="0"/>
              <w:keepLines w:val="0"/>
              <w:suppressLineNumbers w:val="0"/>
              <w:spacing w:before="195" w:beforeAutospacing="0" w:after="0" w:afterAutospacing="0" w:line="220" w:lineRule="auto"/>
              <w:ind w:left="602"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8.3 环境监测</w:t>
            </w:r>
          </w:p>
          <w:p w14:paraId="6F66A0FD">
            <w:pPr>
              <w:pStyle w:val="43"/>
              <w:keepNext w:val="0"/>
              <w:keepLines w:val="0"/>
              <w:suppressLineNumbers w:val="0"/>
              <w:spacing w:before="212" w:beforeAutospacing="0" w:after="0" w:afterAutospacing="0" w:line="371" w:lineRule="auto"/>
              <w:ind w:left="118" w:right="208" w:firstLine="482"/>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开展核医学相关活动的机构应自行或委托有能力的监测机构对工作场所周围环</w:t>
            </w:r>
            <w:r>
              <w:rPr>
                <w:rFonts w:hint="default" w:ascii="Times New Roman" w:hAnsi="Times New Roman" w:eastAsia="宋体" w:cs="Times New Roman"/>
                <w:color w:val="auto"/>
                <w:spacing w:val="12"/>
                <w:highlight w:val="none"/>
              </w:rPr>
              <w:t xml:space="preserve"> </w:t>
            </w:r>
            <w:r>
              <w:rPr>
                <w:rFonts w:hint="default" w:ascii="Times New Roman" w:hAnsi="Times New Roman" w:eastAsia="宋体" w:cs="Times New Roman"/>
                <w:color w:val="auto"/>
                <w:spacing w:val="-3"/>
                <w:highlight w:val="none"/>
              </w:rPr>
              <w:t>境的辐射水平进行监测，监测频次应不少于</w:t>
            </w:r>
            <w:r>
              <w:rPr>
                <w:rFonts w:hint="default" w:ascii="Times New Roman" w:hAnsi="Times New Roman" w:eastAsia="宋体" w:cs="Times New Roman"/>
                <w:color w:val="auto"/>
                <w:spacing w:val="-3"/>
                <w:highlight w:val="none"/>
                <w:lang w:val="en-US" w:eastAsia="zh-CN"/>
              </w:rPr>
              <w:t>1</w:t>
            </w:r>
            <w:r>
              <w:rPr>
                <w:rFonts w:hint="default" w:ascii="Times New Roman" w:hAnsi="Times New Roman" w:eastAsia="宋体" w:cs="Times New Roman"/>
                <w:color w:val="auto"/>
                <w:spacing w:val="-3"/>
                <w:highlight w:val="none"/>
              </w:rPr>
              <w:t>次/年。</w:t>
            </w:r>
          </w:p>
          <w:p w14:paraId="49B3E6BB">
            <w:pPr>
              <w:pStyle w:val="43"/>
              <w:keepNext w:val="0"/>
              <w:keepLines w:val="0"/>
              <w:suppressLineNumbers w:val="0"/>
              <w:spacing w:before="36" w:beforeAutospacing="0" w:after="0" w:afterAutospacing="0" w:line="219" w:lineRule="auto"/>
              <w:ind w:left="602" w:right="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2"/>
                <w:highlight w:val="none"/>
              </w:rPr>
              <w:t>8.4 个人剂量监测</w:t>
            </w:r>
          </w:p>
          <w:p w14:paraId="6E7D0558">
            <w:pPr>
              <w:pStyle w:val="43"/>
              <w:keepNext w:val="0"/>
              <w:keepLines w:val="0"/>
              <w:suppressLineNumbers w:val="0"/>
              <w:spacing w:before="216" w:beforeAutospacing="0" w:after="0" w:afterAutospacing="0" w:line="302" w:lineRule="auto"/>
              <w:ind w:left="118" w:right="212" w:firstLine="484"/>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spacing w:val="-1"/>
                <w:highlight w:val="none"/>
              </w:rPr>
              <w:t>8.4.1 核医学工作场所的工作人员应佩戴个人剂量计，对个人外照射剂量进行监</w:t>
            </w:r>
            <w:r>
              <w:rPr>
                <w:rFonts w:hint="default" w:ascii="Times New Roman" w:hAnsi="Times New Roman" w:eastAsia="宋体" w:cs="Times New Roman"/>
                <w:color w:val="auto"/>
                <w:spacing w:val="-12"/>
                <w:highlight w:val="none"/>
              </w:rPr>
              <w:t>测。</w:t>
            </w:r>
          </w:p>
          <w:p w14:paraId="65693ACD">
            <w:pPr>
              <w:pStyle w:val="43"/>
              <w:keepNext w:val="0"/>
              <w:keepLines w:val="0"/>
              <w:suppressLineNumbers w:val="0"/>
              <w:spacing w:before="213" w:beforeAutospacing="0" w:after="0" w:afterAutospacing="0" w:line="360" w:lineRule="auto"/>
              <w:ind w:left="128" w:right="107" w:firstLine="469"/>
              <w:jc w:val="both"/>
              <w:rPr>
                <w:rFonts w:hint="default" w:ascii="Times New Roman" w:hAnsi="Times New Roman" w:eastAsia="宋体" w:cs="Times New Roman"/>
                <w:color w:val="auto"/>
                <w:spacing w:val="-11"/>
                <w:highlight w:val="none"/>
              </w:rPr>
            </w:pPr>
            <w:r>
              <w:rPr>
                <w:rFonts w:hint="default" w:ascii="Times New Roman" w:hAnsi="Times New Roman" w:eastAsia="宋体" w:cs="Times New Roman"/>
                <w:color w:val="auto"/>
                <w:spacing w:val="-1"/>
                <w:highlight w:val="none"/>
              </w:rPr>
              <w:t>8.4.2 对于操作大量气态和挥发性放射性物质的工作人员，应根据场所的放射性</w:t>
            </w:r>
            <w:r>
              <w:rPr>
                <w:rFonts w:hint="default" w:ascii="Times New Roman" w:hAnsi="Times New Roman" w:eastAsia="宋体" w:cs="Times New Roman"/>
                <w:color w:val="auto"/>
                <w:spacing w:val="1"/>
                <w:highlight w:val="none"/>
              </w:rPr>
              <w:t>气溶胶浓度开展内照射评价，当怀疑其体内受到放射性污染时，应进行体内放射性</w:t>
            </w:r>
            <w:r>
              <w:rPr>
                <w:rFonts w:hint="default" w:ascii="Times New Roman" w:hAnsi="Times New Roman" w:eastAsia="宋体" w:cs="Times New Roman"/>
                <w:color w:val="auto"/>
                <w:spacing w:val="-11"/>
                <w:highlight w:val="none"/>
              </w:rPr>
              <w:t>监测。</w:t>
            </w:r>
          </w:p>
          <w:p w14:paraId="40AB4AE0">
            <w:pPr>
              <w:pStyle w:val="43"/>
              <w:keepNext w:val="0"/>
              <w:keepLines w:val="0"/>
              <w:suppressLineNumbers w:val="0"/>
              <w:spacing w:before="198" w:beforeAutospacing="0" w:after="0" w:afterAutospacing="0" w:line="219" w:lineRule="auto"/>
              <w:ind w:left="602" w:right="0"/>
              <w:jc w:val="both"/>
              <w:rPr>
                <w:rFonts w:hint="default" w:ascii="Times New Roman" w:hAnsi="Times New Roman" w:eastAsia="宋体" w:cs="Times New Roman"/>
                <w:color w:val="auto"/>
                <w:spacing w:val="-3"/>
                <w:highlight w:val="none"/>
              </w:rPr>
            </w:pPr>
            <w:r>
              <w:rPr>
                <w:rFonts w:hint="default" w:ascii="Times New Roman" w:hAnsi="Times New Roman" w:eastAsia="宋体" w:cs="Times New Roman"/>
                <w:color w:val="auto"/>
                <w:spacing w:val="-1"/>
                <w:highlight w:val="none"/>
              </w:rPr>
              <w:t>8.4.3 个人剂量档案应按照要求妥善保存，监测</w:t>
            </w:r>
            <w:r>
              <w:rPr>
                <w:rFonts w:hint="default" w:ascii="Times New Roman" w:hAnsi="Times New Roman" w:eastAsia="宋体" w:cs="Times New Roman"/>
                <w:color w:val="auto"/>
                <w:spacing w:val="-2"/>
                <w:highlight w:val="none"/>
              </w:rPr>
              <w:t>数据异常时，及时进行调查。</w:t>
            </w:r>
          </w:p>
          <w:p w14:paraId="30EA51A2">
            <w:pPr>
              <w:pStyle w:val="43"/>
              <w:keepNext w:val="0"/>
              <w:keepLines w:val="0"/>
              <w:suppressLineNumbers w:val="0"/>
              <w:spacing w:before="213" w:beforeAutospacing="0" w:after="0" w:afterAutospacing="0" w:line="360" w:lineRule="auto"/>
              <w:ind w:left="0" w:right="107"/>
              <w:jc w:val="both"/>
              <w:rPr>
                <w:rFonts w:hint="default" w:ascii="Times New Roman" w:hAnsi="Times New Roman" w:eastAsia="宋体" w:cs="Times New Roman"/>
                <w:b/>
                <w:bCs/>
                <w:color w:val="auto"/>
                <w:spacing w:val="-3"/>
                <w:highlight w:val="none"/>
                <w:lang w:val="en-US" w:eastAsia="zh-CN"/>
              </w:rPr>
            </w:pPr>
            <w:r>
              <w:rPr>
                <w:rFonts w:hint="default" w:ascii="Times New Roman" w:hAnsi="Times New Roman" w:eastAsia="宋体" w:cs="Times New Roman"/>
                <w:b/>
                <w:bCs/>
                <w:color w:val="auto"/>
                <w:spacing w:val="-3"/>
                <w:highlight w:val="none"/>
                <w:lang w:val="en-US" w:eastAsia="zh-CN"/>
              </w:rPr>
              <w:t>7.4 非放射性评价标准</w:t>
            </w:r>
          </w:p>
          <w:p w14:paraId="74C9A63D">
            <w:pPr>
              <w:pStyle w:val="43"/>
              <w:keepNext w:val="0"/>
              <w:keepLines w:val="0"/>
              <w:numPr>
                <w:ilvl w:val="0"/>
                <w:numId w:val="0"/>
              </w:numPr>
              <w:suppressLineNumbers w:val="0"/>
              <w:spacing w:before="0" w:beforeLines="0" w:beforeAutospacing="0" w:after="0" w:afterLines="0" w:afterAutospacing="0" w:line="360" w:lineRule="auto"/>
              <w:ind w:left="0" w:right="0"/>
              <w:jc w:val="both"/>
              <w:rPr>
                <w:rFonts w:hint="default" w:ascii="Times New Roman" w:hAnsi="Times New Roman" w:eastAsia="宋体" w:cs="Times New Roman"/>
                <w:b/>
                <w:bCs/>
                <w:color w:val="auto"/>
                <w:sz w:val="24"/>
                <w:szCs w:val="22"/>
                <w:highlight w:val="none"/>
                <w:lang w:val="en-US" w:eastAsia="zh-CN"/>
              </w:rPr>
            </w:pPr>
            <w:r>
              <w:rPr>
                <w:rFonts w:hint="default" w:ascii="Times New Roman" w:hAnsi="Times New Roman" w:eastAsia="宋体" w:cs="Times New Roman"/>
                <w:b/>
                <w:bCs/>
                <w:color w:val="auto"/>
                <w:spacing w:val="-3"/>
                <w:highlight w:val="none"/>
                <w:lang w:val="en-US" w:eastAsia="zh-CN"/>
              </w:rPr>
              <w:t xml:space="preserve">7.4.1 </w:t>
            </w:r>
            <w:r>
              <w:rPr>
                <w:rFonts w:hint="default" w:ascii="Times New Roman" w:hAnsi="Times New Roman" w:eastAsia="宋体" w:cs="Times New Roman"/>
                <w:b/>
                <w:bCs/>
                <w:color w:val="auto"/>
                <w:sz w:val="24"/>
                <w:szCs w:val="22"/>
                <w:highlight w:val="none"/>
                <w:lang w:val="en-US" w:eastAsia="zh-CN"/>
              </w:rPr>
              <w:t>噪声</w:t>
            </w:r>
          </w:p>
          <w:p w14:paraId="409C64E2">
            <w:pPr>
              <w:pStyle w:val="43"/>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lang w:val="en-US" w:eastAsia="zh-CN"/>
              </w:rPr>
            </w:pPr>
            <w:r>
              <w:rPr>
                <w:rFonts w:hint="default" w:ascii="Times New Roman" w:hAnsi="Times New Roman" w:eastAsia="宋体" w:cs="Times New Roman"/>
                <w:color w:val="auto"/>
                <w:sz w:val="24"/>
                <w:szCs w:val="22"/>
                <w:highlight w:val="none"/>
                <w:lang w:val="en-US" w:eastAsia="zh-CN"/>
              </w:rPr>
              <w:t>施工期：执行</w:t>
            </w:r>
            <w:r>
              <w:rPr>
                <w:rFonts w:hint="default" w:ascii="Times New Roman" w:hAnsi="Times New Roman" w:eastAsia="宋体" w:cs="Times New Roman"/>
                <w:color w:val="auto"/>
                <w:sz w:val="24"/>
                <w:szCs w:val="22"/>
                <w:highlight w:val="none"/>
              </w:rPr>
              <w:t>《</w:t>
            </w:r>
            <w:r>
              <w:rPr>
                <w:rFonts w:hint="default" w:ascii="Times New Roman" w:hAnsi="Times New Roman" w:cs="Times New Roman"/>
                <w:color w:val="auto"/>
                <w:sz w:val="24"/>
                <w:szCs w:val="22"/>
                <w:highlight w:val="none"/>
                <w:lang w:eastAsia="zh-CN"/>
              </w:rPr>
              <w:t>建筑施工噪声排放标准</w:t>
            </w:r>
            <w:r>
              <w:rPr>
                <w:rFonts w:hint="default" w:ascii="Times New Roman" w:hAnsi="Times New Roman" w:eastAsia="宋体" w:cs="Times New Roman"/>
                <w:color w:val="auto"/>
                <w:sz w:val="24"/>
                <w:szCs w:val="22"/>
                <w:highlight w:val="none"/>
              </w:rPr>
              <w:t>》（GB12523-</w:t>
            </w:r>
            <w:r>
              <w:rPr>
                <w:rFonts w:hint="default" w:ascii="Times New Roman" w:hAnsi="Times New Roman" w:cs="Times New Roman"/>
                <w:color w:val="auto"/>
                <w:sz w:val="24"/>
                <w:szCs w:val="22"/>
                <w:highlight w:val="none"/>
                <w:lang w:val="en-US" w:eastAsia="zh-CN"/>
              </w:rPr>
              <w:t>2025</w:t>
            </w:r>
            <w:r>
              <w:rPr>
                <w:rFonts w:hint="default" w:ascii="Times New Roman" w:hAnsi="Times New Roman" w:eastAsia="宋体" w:cs="Times New Roman"/>
                <w:color w:val="auto"/>
                <w:sz w:val="24"/>
                <w:szCs w:val="22"/>
                <w:highlight w:val="none"/>
              </w:rPr>
              <w:t>）</w:t>
            </w:r>
            <w:r>
              <w:rPr>
                <w:rFonts w:hint="default" w:ascii="Times New Roman" w:hAnsi="Times New Roman" w:eastAsia="宋体" w:cs="Times New Roman"/>
                <w:color w:val="auto"/>
                <w:sz w:val="24"/>
                <w:szCs w:val="22"/>
                <w:highlight w:val="none"/>
                <w:lang w:eastAsia="zh-CN"/>
              </w:rPr>
              <w:t>，</w:t>
            </w:r>
            <w:r>
              <w:rPr>
                <w:rFonts w:hint="default" w:ascii="Times New Roman" w:hAnsi="Times New Roman" w:eastAsia="宋体" w:cs="Times New Roman"/>
                <w:color w:val="auto"/>
                <w:sz w:val="24"/>
                <w:szCs w:val="22"/>
                <w:highlight w:val="none"/>
              </w:rPr>
              <w:t>建筑施工场界</w:t>
            </w:r>
            <w:r>
              <w:rPr>
                <w:rFonts w:hint="default" w:ascii="Times New Roman" w:hAnsi="Times New Roman" w:eastAsia="宋体" w:cs="Times New Roman"/>
                <w:color w:val="auto"/>
                <w:sz w:val="24"/>
                <w:szCs w:val="22"/>
                <w:highlight w:val="none"/>
                <w:lang w:val="en-US" w:eastAsia="zh-CN"/>
              </w:rPr>
              <w:t>噪声</w:t>
            </w:r>
            <w:r>
              <w:rPr>
                <w:rFonts w:hint="default" w:ascii="Times New Roman" w:hAnsi="Times New Roman" w:eastAsia="宋体" w:cs="Times New Roman"/>
                <w:color w:val="auto"/>
                <w:sz w:val="24"/>
                <w:szCs w:val="22"/>
                <w:highlight w:val="none"/>
              </w:rPr>
              <w:t>昼间不得超过70</w:t>
            </w:r>
            <w:r>
              <w:rPr>
                <w:rFonts w:hint="default" w:ascii="Times New Roman" w:hAnsi="Times New Roman" w:eastAsia="宋体" w:cs="Times New Roman"/>
                <w:color w:val="auto"/>
                <w:sz w:val="24"/>
                <w:szCs w:val="22"/>
                <w:highlight w:val="none"/>
                <w:lang w:val="en-US" w:eastAsia="zh-CN"/>
              </w:rPr>
              <w:t>dB（A）</w:t>
            </w:r>
            <w:r>
              <w:rPr>
                <w:rFonts w:hint="default" w:ascii="Times New Roman" w:hAnsi="Times New Roman" w:eastAsia="宋体" w:cs="Times New Roman"/>
                <w:color w:val="auto"/>
                <w:sz w:val="24"/>
                <w:szCs w:val="22"/>
                <w:highlight w:val="none"/>
                <w:lang w:eastAsia="zh-CN"/>
              </w:rPr>
              <w:t>，</w:t>
            </w:r>
            <w:r>
              <w:rPr>
                <w:rFonts w:hint="default" w:ascii="Times New Roman" w:hAnsi="Times New Roman" w:eastAsia="宋体" w:cs="Times New Roman"/>
                <w:color w:val="auto"/>
                <w:sz w:val="24"/>
                <w:szCs w:val="22"/>
                <w:highlight w:val="none"/>
              </w:rPr>
              <w:t>夜间不得超过55</w:t>
            </w:r>
            <w:r>
              <w:rPr>
                <w:rFonts w:hint="default" w:ascii="Times New Roman" w:hAnsi="Times New Roman" w:eastAsia="宋体" w:cs="Times New Roman"/>
                <w:color w:val="auto"/>
                <w:sz w:val="24"/>
                <w:szCs w:val="22"/>
                <w:highlight w:val="none"/>
                <w:lang w:val="en-US" w:eastAsia="zh-CN"/>
              </w:rPr>
              <w:t>dB（A）</w:t>
            </w:r>
            <w:r>
              <w:rPr>
                <w:rFonts w:hint="default" w:ascii="Times New Roman" w:hAnsi="Times New Roman" w:eastAsia="宋体" w:cs="Times New Roman"/>
                <w:color w:val="auto"/>
                <w:sz w:val="24"/>
                <w:szCs w:val="22"/>
                <w:highlight w:val="none"/>
                <w:lang w:eastAsia="zh-CN"/>
              </w:rPr>
              <w:t>。</w:t>
            </w:r>
          </w:p>
          <w:p w14:paraId="56F3E432">
            <w:pPr>
              <w:pStyle w:val="43"/>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lang w:val="en-US" w:eastAsia="zh-CN"/>
              </w:rPr>
              <w:t>运营期：执行</w:t>
            </w:r>
            <w:r>
              <w:rPr>
                <w:rFonts w:hint="default" w:ascii="Times New Roman" w:hAnsi="Times New Roman" w:eastAsia="宋体" w:cs="Times New Roman"/>
                <w:color w:val="auto"/>
                <w:sz w:val="24"/>
                <w:szCs w:val="22"/>
                <w:highlight w:val="none"/>
                <w:lang w:val="en-US" w:eastAsia="en-US"/>
              </w:rPr>
              <w:t>《工业企业厂界环境噪声排放标准》(GB12348-2008)中1类标准</w:t>
            </w:r>
            <w:r>
              <w:rPr>
                <w:rFonts w:hint="default" w:ascii="Times New Roman" w:hAnsi="Times New Roman" w:eastAsia="宋体" w:cs="Times New Roman"/>
                <w:color w:val="auto"/>
                <w:sz w:val="24"/>
                <w:szCs w:val="22"/>
                <w:highlight w:val="none"/>
                <w:lang w:val="en-US" w:eastAsia="zh-CN"/>
              </w:rPr>
              <w:t>，</w:t>
            </w:r>
            <w:r>
              <w:rPr>
                <w:rFonts w:hint="default" w:ascii="Times New Roman" w:hAnsi="Times New Roman" w:eastAsia="宋体" w:cs="Times New Roman"/>
                <w:color w:val="auto"/>
                <w:sz w:val="24"/>
                <w:szCs w:val="22"/>
                <w:highlight w:val="none"/>
                <w:lang w:val="en-US" w:eastAsia="en-US"/>
              </w:rPr>
              <w:t>厂界</w:t>
            </w:r>
            <w:r>
              <w:rPr>
                <w:rFonts w:hint="default" w:ascii="Times New Roman" w:hAnsi="Times New Roman" w:eastAsia="宋体" w:cs="Times New Roman"/>
                <w:color w:val="auto"/>
                <w:sz w:val="24"/>
                <w:szCs w:val="22"/>
                <w:highlight w:val="none"/>
                <w:lang w:val="en-US" w:eastAsia="zh-CN"/>
              </w:rPr>
              <w:t>噪声</w:t>
            </w:r>
            <w:r>
              <w:rPr>
                <w:rFonts w:hint="default" w:ascii="Times New Roman" w:hAnsi="Times New Roman" w:eastAsia="宋体" w:cs="Times New Roman"/>
                <w:color w:val="auto"/>
                <w:sz w:val="24"/>
                <w:szCs w:val="22"/>
                <w:highlight w:val="none"/>
              </w:rPr>
              <w:t>昼间不得超过</w:t>
            </w:r>
            <w:r>
              <w:rPr>
                <w:rFonts w:hint="default" w:ascii="Times New Roman" w:hAnsi="Times New Roman" w:eastAsia="宋体" w:cs="Times New Roman"/>
                <w:color w:val="auto"/>
                <w:sz w:val="24"/>
                <w:szCs w:val="22"/>
                <w:highlight w:val="none"/>
                <w:lang w:val="en-US" w:eastAsia="zh-CN"/>
              </w:rPr>
              <w:t>55dB（A）</w:t>
            </w:r>
            <w:r>
              <w:rPr>
                <w:rFonts w:hint="default" w:ascii="Times New Roman" w:hAnsi="Times New Roman" w:eastAsia="宋体" w:cs="Times New Roman"/>
                <w:color w:val="auto"/>
                <w:sz w:val="24"/>
                <w:szCs w:val="22"/>
                <w:highlight w:val="none"/>
                <w:lang w:eastAsia="zh-CN"/>
              </w:rPr>
              <w:t>，</w:t>
            </w:r>
            <w:r>
              <w:rPr>
                <w:rFonts w:hint="default" w:ascii="Times New Roman" w:hAnsi="Times New Roman" w:eastAsia="宋体" w:cs="Times New Roman"/>
                <w:color w:val="auto"/>
                <w:sz w:val="24"/>
                <w:szCs w:val="22"/>
                <w:highlight w:val="none"/>
              </w:rPr>
              <w:t>夜间不得超过</w:t>
            </w:r>
            <w:r>
              <w:rPr>
                <w:rFonts w:hint="default" w:ascii="Times New Roman" w:hAnsi="Times New Roman" w:eastAsia="宋体" w:cs="Times New Roman"/>
                <w:color w:val="auto"/>
                <w:sz w:val="24"/>
                <w:szCs w:val="22"/>
                <w:highlight w:val="none"/>
                <w:lang w:val="en-US" w:eastAsia="zh-CN"/>
              </w:rPr>
              <w:t>4</w:t>
            </w:r>
            <w:r>
              <w:rPr>
                <w:rFonts w:hint="default" w:ascii="Times New Roman" w:hAnsi="Times New Roman" w:eastAsia="宋体" w:cs="Times New Roman"/>
                <w:color w:val="auto"/>
                <w:sz w:val="24"/>
                <w:szCs w:val="22"/>
                <w:highlight w:val="none"/>
              </w:rPr>
              <w:t>5</w:t>
            </w:r>
            <w:r>
              <w:rPr>
                <w:rFonts w:hint="default" w:ascii="Times New Roman" w:hAnsi="Times New Roman" w:eastAsia="宋体" w:cs="Times New Roman"/>
                <w:color w:val="auto"/>
                <w:sz w:val="24"/>
                <w:szCs w:val="22"/>
                <w:highlight w:val="none"/>
                <w:lang w:val="en-US" w:eastAsia="zh-CN"/>
              </w:rPr>
              <w:t>dB（A）。</w:t>
            </w:r>
          </w:p>
          <w:p w14:paraId="5D9BDD55">
            <w:pPr>
              <w:pStyle w:val="43"/>
              <w:keepNext w:val="0"/>
              <w:keepLines w:val="0"/>
              <w:suppressLineNumbers w:val="0"/>
              <w:spacing w:before="213" w:beforeAutospacing="0" w:after="0" w:afterAutospacing="0" w:line="360" w:lineRule="auto"/>
              <w:ind w:left="0" w:right="107"/>
              <w:jc w:val="both"/>
              <w:rPr>
                <w:rFonts w:hint="default" w:ascii="Times New Roman" w:hAnsi="Times New Roman" w:eastAsia="宋体" w:cs="Times New Roman"/>
                <w:b/>
                <w:bCs/>
                <w:color w:val="auto"/>
                <w:spacing w:val="-3"/>
                <w:highlight w:val="none"/>
                <w:lang w:val="en-US" w:eastAsia="zh-CN"/>
              </w:rPr>
            </w:pPr>
            <w:r>
              <w:rPr>
                <w:rFonts w:hint="default" w:ascii="Times New Roman" w:hAnsi="Times New Roman" w:eastAsia="宋体" w:cs="Times New Roman"/>
                <w:b/>
                <w:bCs/>
                <w:color w:val="auto"/>
                <w:spacing w:val="-3"/>
                <w:highlight w:val="none"/>
                <w:lang w:val="en-US" w:eastAsia="zh-CN"/>
              </w:rPr>
              <w:t>7.4.2 废水</w:t>
            </w:r>
          </w:p>
          <w:p w14:paraId="69174DEF">
            <w:pPr>
              <w:pStyle w:val="43"/>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lang w:val="en-US" w:eastAsia="zh-CN"/>
              </w:rPr>
            </w:pPr>
            <w:r>
              <w:rPr>
                <w:rFonts w:hint="default" w:ascii="Times New Roman" w:hAnsi="Times New Roman" w:eastAsia="宋体" w:cs="Times New Roman"/>
                <w:color w:val="auto"/>
                <w:sz w:val="24"/>
                <w:szCs w:val="22"/>
                <w:highlight w:val="none"/>
                <w:lang w:val="en-US" w:eastAsia="zh-CN"/>
              </w:rPr>
              <w:t>医疗废水执行</w:t>
            </w:r>
            <w:r>
              <w:rPr>
                <w:rFonts w:hint="default" w:ascii="Times New Roman" w:hAnsi="Times New Roman" w:eastAsia="宋体" w:cs="Times New Roman"/>
                <w:color w:val="auto"/>
                <w:sz w:val="24"/>
                <w:szCs w:val="22"/>
                <w:highlight w:val="none"/>
                <w:lang w:val="en-US" w:eastAsia="en-US"/>
              </w:rPr>
              <w:t>《医疗机构水污染物排放标准》(GB18466-2005)中表2综合医疗机构和其他医疗机构水污染物排放限值中的预处理标准</w:t>
            </w:r>
            <w:r>
              <w:rPr>
                <w:rFonts w:hint="default" w:ascii="Times New Roman" w:hAnsi="Times New Roman" w:eastAsia="宋体" w:cs="Times New Roman"/>
                <w:color w:val="auto"/>
                <w:sz w:val="24"/>
                <w:szCs w:val="22"/>
                <w:highlight w:val="none"/>
                <w:lang w:val="en-US" w:eastAsia="zh-CN"/>
              </w:rPr>
              <w:t>。</w:t>
            </w:r>
          </w:p>
          <w:p w14:paraId="128F3567">
            <w:pPr>
              <w:pStyle w:val="43"/>
              <w:keepNext w:val="0"/>
              <w:keepLines w:val="0"/>
              <w:suppressLineNumbers w:val="0"/>
              <w:spacing w:before="213" w:beforeAutospacing="0" w:after="0" w:afterAutospacing="0" w:line="360" w:lineRule="auto"/>
              <w:ind w:left="0" w:right="107"/>
              <w:jc w:val="both"/>
              <w:rPr>
                <w:rFonts w:hint="default" w:ascii="Times New Roman" w:hAnsi="Times New Roman" w:eastAsia="宋体" w:cs="Times New Roman"/>
                <w:b/>
                <w:bCs/>
                <w:color w:val="auto"/>
                <w:spacing w:val="-3"/>
                <w:highlight w:val="none"/>
                <w:lang w:val="en-US" w:eastAsia="zh-CN"/>
              </w:rPr>
            </w:pPr>
            <w:r>
              <w:rPr>
                <w:rFonts w:hint="default" w:ascii="Times New Roman" w:hAnsi="Times New Roman" w:eastAsia="宋体" w:cs="Times New Roman"/>
                <w:b/>
                <w:bCs/>
                <w:color w:val="auto"/>
                <w:spacing w:val="-3"/>
                <w:highlight w:val="none"/>
                <w:lang w:val="en-US" w:eastAsia="zh-CN"/>
              </w:rPr>
              <w:t>7.4.3 废气</w:t>
            </w:r>
          </w:p>
          <w:p w14:paraId="61342627">
            <w:pPr>
              <w:pStyle w:val="43"/>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color w:val="auto"/>
                <w:szCs w:val="22"/>
                <w:highlight w:val="none"/>
                <w:lang w:eastAsia="zh-CN"/>
              </w:rPr>
            </w:pPr>
            <w:r>
              <w:rPr>
                <w:rFonts w:hint="default" w:ascii="Times New Roman" w:hAnsi="Times New Roman" w:eastAsia="宋体" w:cs="Times New Roman"/>
                <w:b w:val="0"/>
                <w:bCs/>
                <w:color w:val="auto"/>
                <w:szCs w:val="22"/>
                <w:highlight w:val="none"/>
                <w:lang w:eastAsia="zh-CN"/>
              </w:rPr>
              <w:t>《室内空气质量标准》（GB/T18883-2022）中规定：</w:t>
            </w:r>
          </w:p>
          <w:p w14:paraId="04D3F4FF">
            <w:pPr>
              <w:pStyle w:val="43"/>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color w:val="auto"/>
                <w:szCs w:val="22"/>
                <w:highlight w:val="none"/>
                <w:vertAlign w:val="superscript"/>
                <w:lang w:val="en-US" w:eastAsia="zh-CN"/>
              </w:rPr>
            </w:pPr>
            <w:r>
              <w:rPr>
                <w:rFonts w:hint="default" w:ascii="Times New Roman" w:hAnsi="Times New Roman" w:eastAsia="宋体" w:cs="Times New Roman"/>
                <w:b w:val="0"/>
                <w:bCs/>
                <w:color w:val="auto"/>
                <w:szCs w:val="22"/>
                <w:highlight w:val="none"/>
                <w:lang w:eastAsia="zh-CN"/>
              </w:rPr>
              <w:t>表</w:t>
            </w:r>
            <w:r>
              <w:rPr>
                <w:rFonts w:hint="default" w:ascii="Times New Roman" w:hAnsi="Times New Roman" w:eastAsia="宋体" w:cs="Times New Roman"/>
                <w:b w:val="0"/>
                <w:bCs/>
                <w:color w:val="auto"/>
                <w:szCs w:val="22"/>
                <w:highlight w:val="none"/>
                <w:lang w:val="en-US" w:eastAsia="zh-CN"/>
              </w:rPr>
              <w:t>1 室内空气质量指标及要求中规定：臭氧1小时浓度≤0.16mg/m</w:t>
            </w:r>
            <w:r>
              <w:rPr>
                <w:rFonts w:hint="default" w:ascii="Times New Roman" w:hAnsi="Times New Roman" w:eastAsia="宋体" w:cs="Times New Roman"/>
                <w:b w:val="0"/>
                <w:bCs/>
                <w:color w:val="auto"/>
                <w:szCs w:val="22"/>
                <w:highlight w:val="none"/>
                <w:vertAlign w:val="superscript"/>
                <w:lang w:val="en-US" w:eastAsia="zh-CN"/>
              </w:rPr>
              <w:t>3</w:t>
            </w:r>
            <w:r>
              <w:rPr>
                <w:rFonts w:hint="default" w:ascii="Times New Roman" w:hAnsi="Times New Roman" w:eastAsia="宋体" w:cs="Times New Roman"/>
                <w:b w:val="0"/>
                <w:bCs/>
                <w:color w:val="auto"/>
                <w:szCs w:val="22"/>
                <w:highlight w:val="none"/>
                <w:vertAlign w:val="baseline"/>
                <w:lang w:val="en-US" w:eastAsia="zh-CN"/>
              </w:rPr>
              <w:t>。</w:t>
            </w:r>
          </w:p>
          <w:p w14:paraId="79A4479C">
            <w:pPr>
              <w:pStyle w:val="43"/>
              <w:keepNext w:val="0"/>
              <w:keepLines w:val="0"/>
              <w:numPr>
                <w:ilvl w:val="0"/>
                <w:numId w:val="0"/>
              </w:numPr>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color w:val="auto"/>
                <w:szCs w:val="22"/>
                <w:highlight w:val="none"/>
                <w:u w:val="none"/>
                <w:lang w:eastAsia="zh-CN"/>
              </w:rPr>
            </w:pPr>
            <w:r>
              <w:rPr>
                <w:rFonts w:hint="default" w:ascii="Times New Roman" w:hAnsi="Times New Roman" w:eastAsia="宋体" w:cs="Times New Roman"/>
                <w:b w:val="0"/>
                <w:bCs/>
                <w:color w:val="auto"/>
                <w:szCs w:val="22"/>
                <w:highlight w:val="none"/>
                <w:u w:val="none"/>
                <w:lang w:eastAsia="zh-CN"/>
              </w:rPr>
              <w:t>《大气污染物综合排放标准》（GB16297-1996）中规定：</w:t>
            </w:r>
          </w:p>
          <w:p w14:paraId="055E66A3">
            <w:pPr>
              <w:pStyle w:val="43"/>
              <w:keepNext w:val="0"/>
              <w:keepLines w:val="0"/>
              <w:numPr>
                <w:ilvl w:val="0"/>
                <w:numId w:val="0"/>
              </w:numPr>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pacing w:val="-3"/>
                <w:highlight w:val="none"/>
                <w:lang w:val="en-US" w:eastAsia="zh-CN"/>
              </w:rPr>
            </w:pPr>
            <w:r>
              <w:rPr>
                <w:rFonts w:hint="default" w:ascii="Times New Roman" w:hAnsi="Times New Roman" w:eastAsia="宋体" w:cs="Times New Roman"/>
                <w:b w:val="0"/>
                <w:bCs/>
                <w:color w:val="auto"/>
                <w:szCs w:val="22"/>
                <w:highlight w:val="none"/>
                <w:lang w:eastAsia="zh-CN"/>
              </w:rPr>
              <w:t>表2</w:t>
            </w:r>
            <w:r>
              <w:rPr>
                <w:rFonts w:hint="default" w:ascii="Times New Roman" w:hAnsi="Times New Roman" w:eastAsia="宋体" w:cs="Times New Roman"/>
                <w:b w:val="0"/>
                <w:bCs/>
                <w:color w:val="auto"/>
                <w:szCs w:val="22"/>
                <w:highlight w:val="none"/>
                <w:lang w:val="en-US" w:eastAsia="zh-CN"/>
              </w:rPr>
              <w:t xml:space="preserve"> </w:t>
            </w:r>
            <w:r>
              <w:rPr>
                <w:rFonts w:hint="default" w:ascii="Times New Roman" w:hAnsi="Times New Roman" w:eastAsia="宋体" w:cs="Times New Roman"/>
                <w:b w:val="0"/>
                <w:bCs/>
                <w:color w:val="auto"/>
                <w:szCs w:val="22"/>
                <w:highlight w:val="none"/>
                <w:lang w:eastAsia="zh-CN"/>
              </w:rPr>
              <w:t>新污染源大气污染物排放限值中的氮氧化物无组织排放监控浓度限值为0.12mg/m</w:t>
            </w:r>
            <w:r>
              <w:rPr>
                <w:rFonts w:hint="default" w:ascii="Times New Roman" w:hAnsi="Times New Roman" w:eastAsia="宋体" w:cs="Times New Roman"/>
                <w:b w:val="0"/>
                <w:bCs/>
                <w:color w:val="auto"/>
                <w:szCs w:val="22"/>
                <w:highlight w:val="none"/>
                <w:vertAlign w:val="superscript"/>
                <w:lang w:eastAsia="zh-CN"/>
              </w:rPr>
              <w:t>3</w:t>
            </w:r>
            <w:r>
              <w:rPr>
                <w:rFonts w:hint="default" w:ascii="Times New Roman" w:hAnsi="Times New Roman" w:eastAsia="宋体" w:cs="Times New Roman"/>
                <w:b w:val="0"/>
                <w:bCs/>
                <w:color w:val="auto"/>
                <w:szCs w:val="22"/>
                <w:highlight w:val="none"/>
                <w:vertAlign w:val="baseline"/>
                <w:lang w:eastAsia="zh-CN"/>
              </w:rPr>
              <w:t>。</w:t>
            </w:r>
          </w:p>
        </w:tc>
      </w:tr>
    </w:tbl>
    <w:p w14:paraId="068FEC07">
      <w:pPr>
        <w:shd w:val="clear"/>
        <w:rPr>
          <w:rFonts w:hint="default" w:ascii="Times New Roman" w:hAnsi="Times New Roman" w:eastAsia="宋体" w:cs="Times New Roman"/>
          <w:color w:val="auto"/>
          <w:sz w:val="24"/>
          <w:highlight w:val="none"/>
        </w:rPr>
        <w:sectPr>
          <w:pgSz w:w="11910" w:h="16840"/>
          <w:pgMar w:top="1219" w:right="1185" w:bottom="1219" w:left="1100" w:header="0" w:footer="1417" w:gutter="0"/>
          <w:pgBorders>
            <w:top w:val="none" w:sz="0" w:space="0"/>
            <w:left w:val="none" w:sz="0" w:space="0"/>
            <w:bottom w:val="none" w:sz="0" w:space="0"/>
            <w:right w:val="none" w:sz="0" w:space="0"/>
          </w:pgBorders>
          <w:pgNumType w:fmt="decimal"/>
          <w:cols w:space="0" w:num="1"/>
        </w:sectPr>
      </w:pPr>
    </w:p>
    <w:p w14:paraId="1C2F0876">
      <w:pPr>
        <w:pStyle w:val="6"/>
        <w:shd w:val="clear"/>
        <w:rPr>
          <w:rFonts w:hint="default" w:ascii="Times New Roman" w:hAnsi="Times New Roman" w:eastAsia="宋体" w:cs="Times New Roman"/>
          <w:color w:val="auto"/>
          <w:highlight w:val="none"/>
        </w:rPr>
      </w:pPr>
      <w:bookmarkStart w:id="15" w:name="_Toc14054"/>
      <w:r>
        <w:rPr>
          <w:rFonts w:hint="default" w:ascii="Times New Roman" w:hAnsi="Times New Roman" w:eastAsia="宋体" w:cs="Times New Roman"/>
          <w:color w:val="auto"/>
          <w:highlight w:val="none"/>
        </w:rPr>
        <w:t>表</w:t>
      </w:r>
      <w:r>
        <w:rPr>
          <w:rFonts w:hint="default" w:ascii="Times New Roman" w:hAnsi="Times New Roman" w:eastAsia="宋体" w:cs="Times New Roman"/>
          <w:color w:val="auto"/>
          <w:highlight w:val="none"/>
          <w:lang w:eastAsia="zh-CN"/>
        </w:rPr>
        <w:t>8</w:t>
      </w:r>
      <w:r>
        <w:rPr>
          <w:rFonts w:hint="default" w:ascii="Times New Roman" w:hAnsi="Times New Roman" w:eastAsia="宋体" w:cs="Times New Roman"/>
          <w:color w:val="auto"/>
          <w:highlight w:val="none"/>
        </w:rPr>
        <w:t xml:space="preserve"> 环境质量和辐射现状</w:t>
      </w:r>
      <w:bookmarkEnd w:id="15"/>
    </w:p>
    <w:tbl>
      <w:tblPr>
        <w:tblStyle w:val="23"/>
        <w:tblW w:w="0" w:type="auto"/>
        <w:tblInd w:w="1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4"/>
      </w:tblGrid>
      <w:tr w14:paraId="282B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7" w:hRule="atLeast"/>
        </w:trPr>
        <w:tc>
          <w:tcPr>
            <w:tcW w:w="9544" w:type="dxa"/>
          </w:tcPr>
          <w:p w14:paraId="6FC4598D">
            <w:pPr>
              <w:keepNext w:val="0"/>
              <w:keepLines w:val="0"/>
              <w:suppressLineNumbers w:val="0"/>
              <w:shd w:val="clear"/>
              <w:spacing w:before="0" w:beforeLines="50" w:beforeAutospacing="0" w:after="0" w:afterAutospacing="0" w:line="360" w:lineRule="auto"/>
              <w:ind w:left="0" w:right="0"/>
              <w:jc w:val="both"/>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8.1</w:t>
            </w:r>
            <w:r>
              <w:rPr>
                <w:rFonts w:hint="default" w:ascii="Times New Roman" w:hAnsi="Times New Roman" w:eastAsia="宋体" w:cs="Times New Roman"/>
                <w:b/>
                <w:bCs/>
                <w:color w:val="auto"/>
                <w:sz w:val="24"/>
                <w:szCs w:val="24"/>
                <w:highlight w:val="none"/>
              </w:rPr>
              <w:br w:type="page"/>
            </w:r>
            <w:r>
              <w:rPr>
                <w:rFonts w:hint="default" w:ascii="Times New Roman" w:hAnsi="Times New Roman" w:eastAsia="宋体" w:cs="Times New Roman"/>
                <w:b/>
                <w:bCs/>
                <w:color w:val="auto"/>
                <w:sz w:val="24"/>
                <w:szCs w:val="24"/>
                <w:highlight w:val="none"/>
              </w:rPr>
              <w:t>项目地理位置和场所描述</w:t>
            </w:r>
          </w:p>
          <w:p w14:paraId="0E3E61EC">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本项目涉源场所分布在肿瘤医院北院区核医学楼、</w:t>
            </w:r>
            <w:r>
              <w:rPr>
                <w:rFonts w:hint="eastAsia" w:cs="Times New Roman"/>
                <w:color w:val="auto"/>
                <w:sz w:val="24"/>
                <w:szCs w:val="24"/>
                <w:highlight w:val="none"/>
                <w:lang w:val="en-US" w:eastAsia="zh-CN"/>
              </w:rPr>
              <w:t>老院区综合楼一层介入手术2室。</w:t>
            </w:r>
            <w:r>
              <w:rPr>
                <w:rFonts w:hint="default" w:ascii="Times New Roman" w:hAnsi="Times New Roman" w:eastAsia="宋体" w:cs="Times New Roman"/>
                <w:color w:val="auto"/>
                <w:sz w:val="24"/>
                <w:szCs w:val="24"/>
                <w:highlight w:val="none"/>
                <w:lang w:val="en-US" w:eastAsia="zh-CN"/>
              </w:rPr>
              <w:t>北院区核医学楼中心坐标：东经87°34′20.580″，北纬43°51′52.784″</w:t>
            </w:r>
            <w:r>
              <w:rPr>
                <w:rFonts w:hint="eastAsia"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老院区综</w:t>
            </w:r>
            <w:r>
              <w:rPr>
                <w:rFonts w:hint="eastAsia" w:ascii="Times New Roman" w:hAnsi="Times New Roman" w:cs="Times New Roman"/>
                <w:color w:val="auto"/>
                <w:sz w:val="24"/>
                <w:szCs w:val="24"/>
                <w:highlight w:val="none"/>
                <w:lang w:val="en-US" w:eastAsia="zh-CN"/>
              </w:rPr>
              <w:t>合楼一层介入手术2室：E：87°34′18.0414″，N：43°51′42.0524″</w:t>
            </w:r>
            <w:r>
              <w:rPr>
                <w:rFonts w:hint="default" w:ascii="Times New Roman" w:hAnsi="Times New Roman" w:eastAsia="宋体" w:cs="Times New Roman"/>
                <w:color w:val="auto"/>
                <w:sz w:val="24"/>
                <w:szCs w:val="24"/>
                <w:highlight w:val="none"/>
                <w:lang w:val="en-US" w:eastAsia="zh-CN"/>
              </w:rPr>
              <w:t>各涉源场所周边的位置关系见前文“7.2保护目标”，项目周边关系及评价范围见图1-2。</w:t>
            </w:r>
          </w:p>
          <w:p w14:paraId="0962A527">
            <w:pPr>
              <w:keepNext w:val="0"/>
              <w:keepLines w:val="0"/>
              <w:suppressLineNumbers w:val="0"/>
              <w:shd w:val="clear"/>
              <w:spacing w:before="0" w:beforeLines="50" w:beforeAutospacing="0" w:after="0" w:afterAutospacing="0" w:line="360" w:lineRule="auto"/>
              <w:ind w:left="0" w:right="0"/>
              <w:jc w:val="both"/>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8.2辐射环境监测</w:t>
            </w:r>
          </w:p>
          <w:p w14:paraId="66A15013">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监测目的</w:t>
            </w:r>
          </w:p>
          <w:p w14:paraId="4AD23491">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本次监测目的为了解项目周围辐射环境水平。</w:t>
            </w:r>
          </w:p>
          <w:p w14:paraId="4A5B3A79">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rPr>
              <w:t>监测因子</w:t>
            </w:r>
          </w:p>
          <w:p w14:paraId="1F9F09C5">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γ剂量率</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α</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β表面污染</w:t>
            </w:r>
          </w:p>
          <w:p w14:paraId="78608E54">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rPr>
              <w:t>监测依据及方法</w:t>
            </w:r>
          </w:p>
          <w:p w14:paraId="07C67B6F">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《环境γ辐射剂量率测量技术规范》（HJ 1157-2021）；</w:t>
            </w:r>
          </w:p>
          <w:p w14:paraId="71F2C0F8">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《辐射环境监测技术规范》（HJ 61-2021）；</w:t>
            </w:r>
          </w:p>
          <w:p w14:paraId="65ECDE1C">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《表面污染测定 第1部分：β发射体（Eβmax&gt;0.15 MeV）和α发射体》（GB/T 14056.1-2008）。</w:t>
            </w:r>
          </w:p>
          <w:p w14:paraId="4C87B98F">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监测仪器</w:t>
            </w:r>
          </w:p>
          <w:p w14:paraId="05ED82D7">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监测仪器的参数详见表8-</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w:t>
            </w:r>
          </w:p>
          <w:p w14:paraId="0C825DA4">
            <w:pPr>
              <w:keepNext w:val="0"/>
              <w:keepLines w:val="0"/>
              <w:suppressLineNumbers w:val="0"/>
              <w:shd w:val="clear"/>
              <w:spacing w:before="183" w:beforeLines="0" w:beforeAutospacing="0" w:after="0" w:afterLines="0" w:afterAutospacing="0" w:line="360" w:lineRule="auto"/>
              <w:ind w:left="420" w:right="374"/>
              <w:jc w:val="center"/>
              <w:rPr>
                <w:rFonts w:hint="default" w:ascii="Times New Roman" w:hAnsi="Times New Roman" w:eastAsia="宋体" w:cs="Times New Roman"/>
                <w:b/>
                <w:color w:val="auto"/>
                <w:sz w:val="24"/>
                <w:szCs w:val="28"/>
                <w:highlight w:val="none"/>
                <w:lang w:eastAsia="zh-CN"/>
              </w:rPr>
            </w:pPr>
            <w:r>
              <w:rPr>
                <w:rFonts w:hint="default" w:ascii="Times New Roman" w:hAnsi="Times New Roman" w:eastAsia="宋体" w:cs="Times New Roman"/>
                <w:b/>
                <w:color w:val="auto"/>
                <w:sz w:val="24"/>
                <w:szCs w:val="28"/>
                <w:highlight w:val="none"/>
              </w:rPr>
              <w:t>表8-</w:t>
            </w:r>
            <w:r>
              <w:rPr>
                <w:rFonts w:hint="default" w:ascii="Times New Roman" w:hAnsi="Times New Roman" w:eastAsia="宋体" w:cs="Times New Roman"/>
                <w:b/>
                <w:color w:val="auto"/>
                <w:sz w:val="24"/>
                <w:szCs w:val="28"/>
                <w:highlight w:val="none"/>
                <w:lang w:val="en-US" w:eastAsia="zh-CN"/>
              </w:rPr>
              <w:t xml:space="preserve">1 </w:t>
            </w:r>
            <w:r>
              <w:rPr>
                <w:rFonts w:hint="default" w:ascii="Times New Roman" w:hAnsi="Times New Roman" w:eastAsia="宋体" w:cs="Times New Roman"/>
                <w:b/>
                <w:color w:val="auto"/>
                <w:sz w:val="24"/>
                <w:szCs w:val="28"/>
                <w:highlight w:val="none"/>
              </w:rPr>
              <w:t xml:space="preserve"> 监测仪器</w:t>
            </w:r>
            <w:r>
              <w:rPr>
                <w:rFonts w:hint="default" w:ascii="Times New Roman" w:hAnsi="Times New Roman" w:eastAsia="宋体" w:cs="Times New Roman"/>
                <w:b/>
                <w:color w:val="auto"/>
                <w:sz w:val="24"/>
                <w:szCs w:val="28"/>
                <w:highlight w:val="none"/>
                <w:lang w:eastAsia="zh-CN"/>
              </w:rPr>
              <w:t>参数一览表</w:t>
            </w:r>
          </w:p>
          <w:tbl>
            <w:tblPr>
              <w:tblStyle w:val="22"/>
              <w:tblW w:w="89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5"/>
              <w:gridCol w:w="855"/>
              <w:gridCol w:w="1258"/>
              <w:gridCol w:w="2420"/>
              <w:gridCol w:w="2289"/>
              <w:gridCol w:w="1209"/>
            </w:tblGrid>
            <w:tr w14:paraId="60E6D6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16" w:type="pct"/>
                  <w:noWrap w:val="0"/>
                  <w:vAlign w:val="center"/>
                </w:tcPr>
                <w:p w14:paraId="715ACDFD">
                  <w:pPr>
                    <w:keepNext w:val="0"/>
                    <w:keepLines w:val="0"/>
                    <w:suppressLineNumbers w:val="0"/>
                    <w:shd w:val="clear" w:color="auto" w:fill="auto"/>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仪器</w:t>
                  </w:r>
                </w:p>
                <w:p w14:paraId="37119D7F">
                  <w:pPr>
                    <w:keepNext w:val="0"/>
                    <w:keepLines w:val="0"/>
                    <w:suppressLineNumbers w:val="0"/>
                    <w:shd w:val="clear" w:color="auto" w:fill="auto"/>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rPr>
                    <w:t>名称</w:t>
                  </w:r>
                </w:p>
              </w:tc>
              <w:tc>
                <w:tcPr>
                  <w:tcW w:w="477" w:type="pct"/>
                  <w:noWrap w:val="0"/>
                  <w:vAlign w:val="center"/>
                </w:tcPr>
                <w:p w14:paraId="45112A85">
                  <w:pPr>
                    <w:keepNext w:val="0"/>
                    <w:keepLines w:val="0"/>
                    <w:suppressLineNumbers w:val="0"/>
                    <w:shd w:val="clear" w:color="auto" w:fill="auto"/>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仪器</w:t>
                  </w:r>
                </w:p>
                <w:p w14:paraId="223A9F86">
                  <w:pPr>
                    <w:keepNext w:val="0"/>
                    <w:keepLines w:val="0"/>
                    <w:suppressLineNumbers w:val="0"/>
                    <w:shd w:val="clear" w:color="auto" w:fill="auto"/>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rPr>
                    <w:t>型号</w:t>
                  </w:r>
                </w:p>
              </w:tc>
              <w:tc>
                <w:tcPr>
                  <w:tcW w:w="702" w:type="pct"/>
                  <w:noWrap w:val="0"/>
                  <w:vAlign w:val="center"/>
                </w:tcPr>
                <w:p w14:paraId="4C3DD377">
                  <w:pPr>
                    <w:keepNext w:val="0"/>
                    <w:keepLines w:val="0"/>
                    <w:suppressLineNumbers w:val="0"/>
                    <w:shd w:val="clear" w:color="auto" w:fill="auto"/>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rPr>
                    <w:t>仪器编号</w:t>
                  </w:r>
                </w:p>
              </w:tc>
              <w:tc>
                <w:tcPr>
                  <w:tcW w:w="1351" w:type="pct"/>
                  <w:noWrap w:val="0"/>
                  <w:vAlign w:val="center"/>
                </w:tcPr>
                <w:p w14:paraId="0FC2BE33">
                  <w:pPr>
                    <w:keepNext w:val="0"/>
                    <w:keepLines w:val="0"/>
                    <w:suppressLineNumbers w:val="0"/>
                    <w:shd w:val="clear" w:color="auto" w:fill="auto"/>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仪器参数</w:t>
                  </w:r>
                </w:p>
              </w:tc>
              <w:tc>
                <w:tcPr>
                  <w:tcW w:w="1277" w:type="pct"/>
                  <w:noWrap w:val="0"/>
                  <w:vAlign w:val="center"/>
                </w:tcPr>
                <w:p w14:paraId="0426CD71">
                  <w:pPr>
                    <w:keepNext w:val="0"/>
                    <w:keepLines w:val="0"/>
                    <w:suppressLineNumbers w:val="0"/>
                    <w:shd w:val="clear" w:color="auto" w:fill="auto"/>
                    <w:adjustRightInd w:val="0"/>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计量</w:t>
                  </w:r>
                  <w:r>
                    <w:rPr>
                      <w:rFonts w:hint="default" w:ascii="Times New Roman" w:hAnsi="Times New Roman" w:cs="Times New Roman"/>
                      <w:color w:val="auto"/>
                      <w:sz w:val="21"/>
                      <w:szCs w:val="21"/>
                      <w:highlight w:val="none"/>
                    </w:rPr>
                    <w:t>单位/</w:t>
                  </w:r>
                </w:p>
                <w:p w14:paraId="1A2D6D0A">
                  <w:pPr>
                    <w:keepNext w:val="0"/>
                    <w:keepLines w:val="0"/>
                    <w:suppressLineNumbers w:val="0"/>
                    <w:shd w:val="clear" w:color="auto" w:fill="auto"/>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rPr>
                    <w:t>证书编号</w:t>
                  </w:r>
                </w:p>
              </w:tc>
              <w:tc>
                <w:tcPr>
                  <w:tcW w:w="674" w:type="pct"/>
                  <w:noWrap w:val="0"/>
                  <w:vAlign w:val="center"/>
                </w:tcPr>
                <w:p w14:paraId="4627A383">
                  <w:pPr>
                    <w:keepNext w:val="0"/>
                    <w:keepLines w:val="0"/>
                    <w:suppressLineNumbers w:val="0"/>
                    <w:shd w:val="clear" w:color="auto" w:fill="auto"/>
                    <w:adjustRightInd w:val="0"/>
                    <w:snapToGrid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rPr>
                    <w:t>有效日期</w:t>
                  </w:r>
                </w:p>
              </w:tc>
            </w:tr>
            <w:tr w14:paraId="1C26F3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516" w:type="pct"/>
                  <w:noWrap w:val="0"/>
                  <w:vAlign w:val="center"/>
                </w:tcPr>
                <w:p w14:paraId="515B05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便携式X、γ辐射</w:t>
                  </w:r>
                  <w:r>
                    <w:rPr>
                      <w:rFonts w:hint="eastAsia" w:ascii="Times New Roman" w:hAnsi="Times New Roman" w:eastAsia="宋体" w:cs="Times New Roman"/>
                      <w:color w:val="auto"/>
                      <w:sz w:val="21"/>
                      <w:szCs w:val="21"/>
                      <w:highlight w:val="none"/>
                      <w:lang w:val="en-US" w:eastAsia="zh-CN"/>
                    </w:rPr>
                    <w:t>剂</w:t>
                  </w:r>
                  <w:r>
                    <w:rPr>
                      <w:rFonts w:hint="default" w:ascii="Times New Roman" w:hAnsi="Times New Roman" w:eastAsia="宋体" w:cs="Times New Roman"/>
                      <w:color w:val="auto"/>
                      <w:sz w:val="21"/>
                      <w:szCs w:val="21"/>
                      <w:highlight w:val="none"/>
                    </w:rPr>
                    <w:t>量率仪</w:t>
                  </w:r>
                </w:p>
              </w:tc>
              <w:tc>
                <w:tcPr>
                  <w:tcW w:w="477" w:type="pct"/>
                  <w:noWrap w:val="0"/>
                  <w:vAlign w:val="center"/>
                </w:tcPr>
                <w:p w14:paraId="020A93DF">
                  <w:pPr>
                    <w:keepNext w:val="0"/>
                    <w:keepLines w:val="0"/>
                    <w:suppressLineNumbers w:val="0"/>
                    <w:spacing w:before="0" w:beforeAutospacing="0" w:after="0" w:afterAutospacing="0"/>
                    <w:ind w:left="0" w:right="0"/>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cs="Times New Roman"/>
                      <w:color w:val="auto"/>
                      <w:sz w:val="21"/>
                      <w:szCs w:val="21"/>
                      <w:highlight w:val="none"/>
                    </w:rPr>
                    <w:t>RJ32-3602P</w:t>
                  </w:r>
                </w:p>
              </w:tc>
              <w:tc>
                <w:tcPr>
                  <w:tcW w:w="702" w:type="pct"/>
                  <w:noWrap w:val="0"/>
                  <w:vAlign w:val="center"/>
                </w:tcPr>
                <w:p w14:paraId="1CC418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shd w:val="clear" w:color="auto" w:fill="FFFFFF"/>
                      <w:lang w:val="en-US" w:eastAsia="zh-CN" w:bidi="ar-SA"/>
                    </w:rPr>
                  </w:pPr>
                  <w:r>
                    <w:rPr>
                      <w:rFonts w:hint="default" w:ascii="Times New Roman" w:hAnsi="Times New Roman" w:eastAsia="宋体" w:cs="Times New Roman"/>
                      <w:bCs/>
                      <w:color w:val="auto"/>
                      <w:kern w:val="0"/>
                      <w:sz w:val="21"/>
                      <w:szCs w:val="21"/>
                      <w:highlight w:val="none"/>
                      <w:lang w:bidi="ar"/>
                    </w:rPr>
                    <w:t>XCJC-YQ-023</w:t>
                  </w:r>
                </w:p>
              </w:tc>
              <w:tc>
                <w:tcPr>
                  <w:tcW w:w="1351" w:type="pct"/>
                  <w:noWrap w:val="0"/>
                  <w:vAlign w:val="center"/>
                </w:tcPr>
                <w:p w14:paraId="1E47D2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sz w:val="21"/>
                      <w:szCs w:val="21"/>
                      <w:highlight w:val="none"/>
                      <w:lang w:eastAsia="zh-CN" w:bidi="ar"/>
                    </w:rPr>
                    <w:t>能量响应：20KeV～3.0MeV；探测器剂量率范围：1n</w:t>
                  </w:r>
                  <w:r>
                    <w:rPr>
                      <w:rFonts w:hint="default" w:ascii="Times New Roman" w:hAnsi="Times New Roman" w:eastAsia="宋体" w:cs="Times New Roman"/>
                      <w:color w:val="auto"/>
                      <w:kern w:val="0"/>
                      <w:sz w:val="21"/>
                      <w:szCs w:val="21"/>
                      <w:highlight w:val="none"/>
                    </w:rPr>
                    <w:t>S</w:t>
                  </w:r>
                  <w:r>
                    <w:rPr>
                      <w:rFonts w:hint="default" w:ascii="Times New Roman" w:hAnsi="Times New Roman" w:eastAsia="宋体" w:cs="Times New Roman"/>
                      <w:color w:val="auto"/>
                      <w:kern w:val="0"/>
                      <w:sz w:val="21"/>
                      <w:szCs w:val="21"/>
                      <w:highlight w:val="none"/>
                      <w:lang w:val="en-US" w:eastAsia="zh-CN"/>
                    </w:rPr>
                    <w:t>v</w:t>
                  </w:r>
                  <w:r>
                    <w:rPr>
                      <w:rFonts w:hint="default" w:ascii="Times New Roman" w:hAnsi="Times New Roman" w:eastAsia="宋体" w:cs="Times New Roman"/>
                      <w:bCs/>
                      <w:color w:val="auto"/>
                      <w:sz w:val="21"/>
                      <w:szCs w:val="21"/>
                      <w:highlight w:val="none"/>
                      <w:lang w:eastAsia="zh-CN" w:bidi="ar"/>
                    </w:rPr>
                    <w:t>/h～150m</w:t>
                  </w:r>
                  <w:r>
                    <w:rPr>
                      <w:rFonts w:hint="default" w:ascii="Times New Roman" w:hAnsi="Times New Roman" w:eastAsia="宋体" w:cs="Times New Roman"/>
                      <w:color w:val="auto"/>
                      <w:kern w:val="0"/>
                      <w:sz w:val="21"/>
                      <w:szCs w:val="21"/>
                      <w:highlight w:val="none"/>
                    </w:rPr>
                    <w:t>S</w:t>
                  </w:r>
                  <w:r>
                    <w:rPr>
                      <w:rFonts w:hint="default" w:ascii="Times New Roman" w:hAnsi="Times New Roman" w:eastAsia="宋体" w:cs="Times New Roman"/>
                      <w:color w:val="auto"/>
                      <w:kern w:val="0"/>
                      <w:sz w:val="21"/>
                      <w:szCs w:val="21"/>
                      <w:highlight w:val="none"/>
                      <w:lang w:val="en-US" w:eastAsia="zh-CN"/>
                    </w:rPr>
                    <w:t>v</w:t>
                  </w:r>
                  <w:r>
                    <w:rPr>
                      <w:rFonts w:hint="default" w:ascii="Times New Roman" w:hAnsi="Times New Roman" w:eastAsia="宋体" w:cs="Times New Roman"/>
                      <w:bCs/>
                      <w:color w:val="auto"/>
                      <w:sz w:val="21"/>
                      <w:szCs w:val="21"/>
                      <w:highlight w:val="none"/>
                      <w:lang w:eastAsia="zh-CN" w:bidi="ar"/>
                    </w:rPr>
                    <w:t>/h</w:t>
                  </w:r>
                </w:p>
              </w:tc>
              <w:tc>
                <w:tcPr>
                  <w:tcW w:w="1277" w:type="pct"/>
                  <w:noWrap w:val="0"/>
                  <w:vAlign w:val="center"/>
                </w:tcPr>
                <w:p w14:paraId="450134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北京市计量检测科学研究院HD26U-UK177401</w:t>
                  </w:r>
                </w:p>
              </w:tc>
              <w:tc>
                <w:tcPr>
                  <w:tcW w:w="674" w:type="pct"/>
                  <w:noWrap w:val="0"/>
                  <w:vAlign w:val="center"/>
                </w:tcPr>
                <w:p w14:paraId="46F1D00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bidi="ar"/>
                    </w:rPr>
                    <w:t>202</w:t>
                  </w:r>
                  <w:r>
                    <w:rPr>
                      <w:rFonts w:hint="default" w:ascii="Times New Roman" w:hAnsi="Times New Roman" w:eastAsia="宋体" w:cs="Times New Roman"/>
                      <w:bCs/>
                      <w:color w:val="auto"/>
                      <w:kern w:val="0"/>
                      <w:sz w:val="21"/>
                      <w:szCs w:val="21"/>
                      <w:highlight w:val="none"/>
                      <w:lang w:val="en-US" w:eastAsia="zh-CN" w:bidi="ar"/>
                    </w:rPr>
                    <w:t>6</w:t>
                  </w:r>
                  <w:r>
                    <w:rPr>
                      <w:rFonts w:hint="default" w:ascii="Times New Roman" w:hAnsi="Times New Roman" w:eastAsia="宋体" w:cs="Times New Roman"/>
                      <w:bCs/>
                      <w:color w:val="auto"/>
                      <w:kern w:val="0"/>
                      <w:sz w:val="21"/>
                      <w:szCs w:val="21"/>
                      <w:highlight w:val="none"/>
                      <w:lang w:bidi="ar"/>
                    </w:rPr>
                    <w:t>.0</w:t>
                  </w:r>
                  <w:r>
                    <w:rPr>
                      <w:rFonts w:hint="default" w:ascii="Times New Roman" w:hAnsi="Times New Roman" w:eastAsia="宋体" w:cs="Times New Roman"/>
                      <w:bCs/>
                      <w:color w:val="auto"/>
                      <w:kern w:val="0"/>
                      <w:sz w:val="21"/>
                      <w:szCs w:val="21"/>
                      <w:highlight w:val="none"/>
                      <w:lang w:val="en-US" w:eastAsia="zh-CN" w:bidi="ar"/>
                    </w:rPr>
                    <w:t>3</w:t>
                  </w:r>
                  <w:r>
                    <w:rPr>
                      <w:rFonts w:hint="default" w:ascii="Times New Roman" w:hAnsi="Times New Roman" w:eastAsia="宋体" w:cs="Times New Roman"/>
                      <w:bCs/>
                      <w:color w:val="auto"/>
                      <w:kern w:val="0"/>
                      <w:sz w:val="21"/>
                      <w:szCs w:val="21"/>
                      <w:highlight w:val="none"/>
                      <w:lang w:bidi="ar"/>
                    </w:rPr>
                    <w:t>.</w:t>
                  </w:r>
                  <w:r>
                    <w:rPr>
                      <w:rFonts w:hint="default" w:ascii="Times New Roman" w:hAnsi="Times New Roman" w:eastAsia="宋体" w:cs="Times New Roman"/>
                      <w:bCs/>
                      <w:color w:val="auto"/>
                      <w:kern w:val="0"/>
                      <w:sz w:val="21"/>
                      <w:szCs w:val="21"/>
                      <w:highlight w:val="none"/>
                      <w:lang w:val="en-US" w:eastAsia="zh-CN" w:bidi="ar"/>
                    </w:rPr>
                    <w:t>26</w:t>
                  </w:r>
                  <w:r>
                    <w:rPr>
                      <w:rFonts w:hint="default" w:ascii="Times New Roman" w:hAnsi="Times New Roman" w:eastAsia="宋体" w:cs="Times New Roman"/>
                      <w:bCs/>
                      <w:color w:val="auto"/>
                      <w:kern w:val="0"/>
                      <w:sz w:val="21"/>
                      <w:szCs w:val="21"/>
                      <w:highlight w:val="none"/>
                      <w:lang w:bidi="ar"/>
                    </w:rPr>
                    <w:t>～202</w:t>
                  </w:r>
                  <w:r>
                    <w:rPr>
                      <w:rFonts w:hint="default" w:ascii="Times New Roman" w:hAnsi="Times New Roman" w:eastAsia="宋体" w:cs="Times New Roman"/>
                      <w:bCs/>
                      <w:color w:val="auto"/>
                      <w:kern w:val="0"/>
                      <w:sz w:val="21"/>
                      <w:szCs w:val="21"/>
                      <w:highlight w:val="none"/>
                      <w:lang w:val="en-US" w:eastAsia="zh-CN" w:bidi="ar"/>
                    </w:rPr>
                    <w:t>7</w:t>
                  </w:r>
                  <w:r>
                    <w:rPr>
                      <w:rFonts w:hint="default" w:ascii="Times New Roman" w:hAnsi="Times New Roman" w:eastAsia="宋体" w:cs="Times New Roman"/>
                      <w:bCs/>
                      <w:color w:val="auto"/>
                      <w:kern w:val="0"/>
                      <w:sz w:val="21"/>
                      <w:szCs w:val="21"/>
                      <w:highlight w:val="none"/>
                      <w:lang w:bidi="ar"/>
                    </w:rPr>
                    <w:t>.0</w:t>
                  </w:r>
                  <w:r>
                    <w:rPr>
                      <w:rFonts w:hint="default" w:ascii="Times New Roman" w:hAnsi="Times New Roman" w:eastAsia="宋体" w:cs="Times New Roman"/>
                      <w:bCs/>
                      <w:color w:val="auto"/>
                      <w:kern w:val="0"/>
                      <w:sz w:val="21"/>
                      <w:szCs w:val="21"/>
                      <w:highlight w:val="none"/>
                      <w:lang w:val="en-US" w:eastAsia="zh-CN" w:bidi="ar"/>
                    </w:rPr>
                    <w:t>3.25</w:t>
                  </w:r>
                </w:p>
              </w:tc>
            </w:tr>
            <w:tr w14:paraId="18AC9C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4" w:hRule="atLeast"/>
                <w:jc w:val="center"/>
              </w:trPr>
              <w:tc>
                <w:tcPr>
                  <w:tcW w:w="516" w:type="pct"/>
                  <w:noWrap w:val="0"/>
                  <w:vAlign w:val="center"/>
                </w:tcPr>
                <w:p w14:paraId="487A98B7">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color w:val="auto"/>
                      <w:kern w:val="0"/>
                      <w:sz w:val="21"/>
                      <w:szCs w:val="21"/>
                      <w:highlight w:val="none"/>
                      <w:lang w:eastAsia="zh-CN"/>
                    </w:rPr>
                    <w:t>α、β表面污染检测仪</w:t>
                  </w:r>
                </w:p>
              </w:tc>
              <w:tc>
                <w:tcPr>
                  <w:tcW w:w="477" w:type="pct"/>
                  <w:noWrap w:val="0"/>
                  <w:vAlign w:val="center"/>
                </w:tcPr>
                <w:p w14:paraId="5A419573">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b w:val="0"/>
                      <w:color w:val="auto"/>
                      <w:kern w:val="0"/>
                      <w:sz w:val="21"/>
                      <w:szCs w:val="21"/>
                      <w:highlight w:val="none"/>
                      <w:lang w:eastAsia="zh-CN"/>
                    </w:rPr>
                    <w:t>BG9611</w:t>
                  </w:r>
                </w:p>
              </w:tc>
              <w:tc>
                <w:tcPr>
                  <w:tcW w:w="702" w:type="pct"/>
                  <w:noWrap w:val="0"/>
                  <w:vAlign w:val="center"/>
                </w:tcPr>
                <w:p w14:paraId="094156D9">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b w:val="0"/>
                      <w:color w:val="auto"/>
                      <w:kern w:val="0"/>
                      <w:sz w:val="21"/>
                      <w:szCs w:val="21"/>
                      <w:highlight w:val="none"/>
                      <w:lang w:eastAsia="zh-CN"/>
                    </w:rPr>
                    <w:t>XCJC-YQ-028</w:t>
                  </w:r>
                </w:p>
              </w:tc>
              <w:tc>
                <w:tcPr>
                  <w:tcW w:w="1351" w:type="pct"/>
                  <w:noWrap w:val="0"/>
                  <w:vAlign w:val="center"/>
                </w:tcPr>
                <w:p w14:paraId="611AA5C5">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2"/>
                      <w:highlight w:val="none"/>
                      <w:lang w:val="en-US" w:eastAsia="zh-CN" w:bidi="ar-SA"/>
                    </w:rPr>
                  </w:pPr>
                  <w:r>
                    <w:rPr>
                      <w:rFonts w:hint="default" w:ascii="Times New Roman" w:hAnsi="Times New Roman" w:eastAsia="宋体" w:cs="Times New Roman"/>
                      <w:b w:val="0"/>
                      <w:color w:val="auto"/>
                      <w:kern w:val="0"/>
                      <w:sz w:val="20"/>
                      <w:szCs w:val="20"/>
                      <w:highlight w:val="none"/>
                      <w:lang w:eastAsia="zh-CN"/>
                    </w:rPr>
                    <w:t>探测器面积：27</w:t>
                  </w:r>
                  <w:r>
                    <w:rPr>
                      <w:rFonts w:hint="eastAsia" w:ascii="Times New Roman" w:hAnsi="Times New Roman" w:eastAsia="宋体" w:cs="Times New Roman"/>
                      <w:b w:val="0"/>
                      <w:color w:val="auto"/>
                      <w:kern w:val="0"/>
                      <w:sz w:val="20"/>
                      <w:szCs w:val="20"/>
                      <w:highlight w:val="none"/>
                      <w:lang w:eastAsia="zh-CN"/>
                    </w:rPr>
                    <w:t>cm</w:t>
                  </w:r>
                  <w:r>
                    <w:rPr>
                      <w:rFonts w:hint="eastAsia" w:ascii="Times New Roman" w:hAnsi="Times New Roman" w:eastAsia="宋体" w:cs="Times New Roman"/>
                      <w:b w:val="0"/>
                      <w:color w:val="auto"/>
                      <w:kern w:val="0"/>
                      <w:sz w:val="20"/>
                      <w:szCs w:val="20"/>
                      <w:highlight w:val="none"/>
                      <w:vertAlign w:val="superscript"/>
                      <w:lang w:val="en-US" w:eastAsia="zh-CN"/>
                    </w:rPr>
                    <w:t>2</w:t>
                  </w:r>
                  <w:r>
                    <w:rPr>
                      <w:rFonts w:hint="default" w:ascii="Times New Roman" w:hAnsi="Times New Roman" w:eastAsia="宋体" w:cs="Times New Roman"/>
                      <w:b w:val="0"/>
                      <w:color w:val="auto"/>
                      <w:kern w:val="0"/>
                      <w:sz w:val="20"/>
                      <w:szCs w:val="20"/>
                      <w:highlight w:val="none"/>
                      <w:lang w:eastAsia="zh-CN"/>
                    </w:rPr>
                    <w:t>；探测效率：α≥30%（对</w:t>
                  </w:r>
                  <w:r>
                    <w:rPr>
                      <w:rFonts w:hint="default" w:ascii="Times New Roman" w:hAnsi="Times New Roman" w:eastAsia="宋体" w:cs="Times New Roman"/>
                      <w:b w:val="0"/>
                      <w:color w:val="auto"/>
                      <w:kern w:val="0"/>
                      <w:sz w:val="20"/>
                      <w:szCs w:val="20"/>
                      <w:highlight w:val="none"/>
                      <w:vertAlign w:val="superscript"/>
                      <w:lang w:eastAsia="zh-CN"/>
                    </w:rPr>
                    <w:t>239</w:t>
                  </w:r>
                  <w:r>
                    <w:rPr>
                      <w:rFonts w:hint="default" w:ascii="Times New Roman" w:hAnsi="Times New Roman" w:eastAsia="宋体" w:cs="Times New Roman"/>
                      <w:b w:val="0"/>
                      <w:color w:val="auto"/>
                      <w:kern w:val="0"/>
                      <w:sz w:val="20"/>
                      <w:szCs w:val="20"/>
                      <w:highlight w:val="none"/>
                      <w:lang w:eastAsia="zh-CN"/>
                    </w:rPr>
                    <w:t>Pu）；β≥20%（对</w:t>
                  </w:r>
                  <w:r>
                    <w:rPr>
                      <w:rFonts w:hint="default" w:ascii="Times New Roman" w:hAnsi="Times New Roman" w:eastAsia="宋体" w:cs="Times New Roman"/>
                      <w:b w:val="0"/>
                      <w:color w:val="auto"/>
                      <w:kern w:val="0"/>
                      <w:sz w:val="20"/>
                      <w:szCs w:val="20"/>
                      <w:highlight w:val="none"/>
                      <w:vertAlign w:val="superscript"/>
                      <w:lang w:eastAsia="zh-CN"/>
                    </w:rPr>
                    <w:t>204</w:t>
                  </w:r>
                  <w:r>
                    <w:rPr>
                      <w:rFonts w:hint="default" w:ascii="Times New Roman" w:hAnsi="Times New Roman" w:eastAsia="宋体" w:cs="Times New Roman"/>
                      <w:b w:val="0"/>
                      <w:color w:val="auto"/>
                      <w:kern w:val="0"/>
                      <w:sz w:val="20"/>
                      <w:szCs w:val="20"/>
                      <w:highlight w:val="none"/>
                      <w:lang w:eastAsia="zh-CN"/>
                    </w:rPr>
                    <w:t>Tl）；灵敏度：α表面活度响应：7cps·s</w:t>
                  </w:r>
                  <w:r>
                    <w:rPr>
                      <w:rFonts w:hint="default" w:ascii="Times New Roman" w:hAnsi="Times New Roman" w:eastAsia="宋体" w:cs="Times New Roman"/>
                      <w:b w:val="0"/>
                      <w:color w:val="auto"/>
                      <w:kern w:val="0"/>
                      <w:sz w:val="20"/>
                      <w:szCs w:val="20"/>
                      <w:highlight w:val="none"/>
                      <w:vertAlign w:val="superscript"/>
                      <w:lang w:eastAsia="zh-CN"/>
                    </w:rPr>
                    <w:t>-1</w:t>
                  </w:r>
                  <w:r>
                    <w:rPr>
                      <w:rFonts w:hint="default" w:ascii="Times New Roman" w:hAnsi="Times New Roman" w:eastAsia="宋体" w:cs="Times New Roman"/>
                      <w:b w:val="0"/>
                      <w:color w:val="auto"/>
                      <w:kern w:val="0"/>
                      <w:sz w:val="20"/>
                      <w:szCs w:val="20"/>
                      <w:highlight w:val="none"/>
                      <w:lang w:eastAsia="zh-CN"/>
                    </w:rPr>
                    <w:t>，Bq/</w:t>
                  </w:r>
                  <w:r>
                    <w:rPr>
                      <w:rFonts w:hint="eastAsia" w:ascii="Times New Roman" w:hAnsi="Times New Roman" w:eastAsia="宋体" w:cs="Times New Roman"/>
                      <w:b w:val="0"/>
                      <w:color w:val="auto"/>
                      <w:kern w:val="0"/>
                      <w:sz w:val="20"/>
                      <w:szCs w:val="20"/>
                      <w:highlight w:val="none"/>
                      <w:lang w:eastAsia="zh-CN"/>
                    </w:rPr>
                    <w:t>cm</w:t>
                  </w:r>
                  <w:r>
                    <w:rPr>
                      <w:rFonts w:hint="eastAsia" w:ascii="Times New Roman" w:hAnsi="Times New Roman" w:eastAsia="宋体" w:cs="Times New Roman"/>
                      <w:b w:val="0"/>
                      <w:color w:val="auto"/>
                      <w:kern w:val="0"/>
                      <w:sz w:val="20"/>
                      <w:szCs w:val="20"/>
                      <w:highlight w:val="none"/>
                      <w:vertAlign w:val="superscript"/>
                      <w:lang w:val="en-US" w:eastAsia="zh-CN"/>
                    </w:rPr>
                    <w:t>2</w:t>
                  </w:r>
                  <w:r>
                    <w:rPr>
                      <w:rFonts w:hint="default" w:ascii="Times New Roman" w:hAnsi="Times New Roman" w:eastAsia="宋体" w:cs="Times New Roman"/>
                      <w:b w:val="0"/>
                      <w:color w:val="auto"/>
                      <w:kern w:val="0"/>
                      <w:sz w:val="20"/>
                      <w:szCs w:val="20"/>
                      <w:highlight w:val="none"/>
                      <w:lang w:eastAsia="zh-CN"/>
                    </w:rPr>
                    <w:t>；β表面活度响应：7cps·s</w:t>
                  </w:r>
                  <w:r>
                    <w:rPr>
                      <w:rFonts w:hint="default" w:ascii="Times New Roman" w:hAnsi="Times New Roman" w:eastAsia="宋体" w:cs="Times New Roman"/>
                      <w:b w:val="0"/>
                      <w:color w:val="auto"/>
                      <w:kern w:val="0"/>
                      <w:sz w:val="20"/>
                      <w:szCs w:val="20"/>
                      <w:highlight w:val="none"/>
                      <w:vertAlign w:val="superscript"/>
                      <w:lang w:eastAsia="zh-CN"/>
                    </w:rPr>
                    <w:t>-1</w:t>
                  </w:r>
                  <w:r>
                    <w:rPr>
                      <w:rFonts w:hint="default" w:ascii="Times New Roman" w:hAnsi="Times New Roman" w:eastAsia="宋体" w:cs="Times New Roman"/>
                      <w:b w:val="0"/>
                      <w:color w:val="auto"/>
                      <w:kern w:val="0"/>
                      <w:sz w:val="20"/>
                      <w:szCs w:val="20"/>
                      <w:highlight w:val="none"/>
                      <w:lang w:eastAsia="zh-CN"/>
                    </w:rPr>
                    <w:t>，Bq/</w:t>
                  </w:r>
                  <w:r>
                    <w:rPr>
                      <w:rFonts w:hint="eastAsia" w:ascii="Times New Roman" w:hAnsi="Times New Roman" w:eastAsia="宋体" w:cs="Times New Roman"/>
                      <w:b w:val="0"/>
                      <w:color w:val="auto"/>
                      <w:kern w:val="0"/>
                      <w:sz w:val="20"/>
                      <w:szCs w:val="20"/>
                      <w:highlight w:val="none"/>
                      <w:lang w:eastAsia="zh-CN"/>
                    </w:rPr>
                    <w:t>cm</w:t>
                  </w:r>
                  <w:r>
                    <w:rPr>
                      <w:rFonts w:hint="eastAsia" w:ascii="Times New Roman" w:hAnsi="Times New Roman" w:eastAsia="宋体" w:cs="Times New Roman"/>
                      <w:b w:val="0"/>
                      <w:color w:val="auto"/>
                      <w:kern w:val="0"/>
                      <w:sz w:val="20"/>
                      <w:szCs w:val="20"/>
                      <w:highlight w:val="none"/>
                      <w:vertAlign w:val="superscript"/>
                      <w:lang w:val="en-US" w:eastAsia="zh-CN"/>
                    </w:rPr>
                    <w:t>2</w:t>
                  </w:r>
                  <w:r>
                    <w:rPr>
                      <w:rFonts w:hint="default" w:ascii="Times New Roman" w:hAnsi="Times New Roman" w:eastAsia="宋体" w:cs="Times New Roman"/>
                      <w:b w:val="0"/>
                      <w:color w:val="auto"/>
                      <w:kern w:val="0"/>
                      <w:sz w:val="20"/>
                      <w:szCs w:val="20"/>
                      <w:highlight w:val="none"/>
                      <w:lang w:eastAsia="zh-CN"/>
                    </w:rPr>
                    <w:t>；</w:t>
                  </w:r>
                </w:p>
              </w:tc>
              <w:tc>
                <w:tcPr>
                  <w:tcW w:w="1277" w:type="pct"/>
                  <w:noWrap w:val="0"/>
                  <w:vAlign w:val="center"/>
                </w:tcPr>
                <w:p w14:paraId="30131818">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color w:val="auto"/>
                      <w:kern w:val="0"/>
                      <w:sz w:val="24"/>
                      <w:szCs w:val="22"/>
                      <w:highlight w:val="none"/>
                      <w:lang w:val="en-US" w:eastAsia="zh-CN" w:bidi="ar-SA"/>
                    </w:rPr>
                  </w:pPr>
                  <w:r>
                    <w:rPr>
                      <w:rFonts w:hint="default" w:ascii="Times New Roman" w:hAnsi="Times New Roman" w:eastAsia="宋体" w:cs="Times New Roman"/>
                      <w:b w:val="0"/>
                      <w:color w:val="auto"/>
                      <w:kern w:val="0"/>
                      <w:sz w:val="21"/>
                      <w:szCs w:val="21"/>
                      <w:highlight w:val="none"/>
                      <w:lang w:val="en-US" w:eastAsia="zh-CN"/>
                    </w:rPr>
                    <w:t>深圳市计量质量检测研究院JZ2512072253</w:t>
                  </w:r>
                </w:p>
              </w:tc>
              <w:tc>
                <w:tcPr>
                  <w:tcW w:w="674" w:type="pct"/>
                  <w:noWrap w:val="0"/>
                  <w:vAlign w:val="center"/>
                </w:tcPr>
                <w:p w14:paraId="4EF433FB">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 w:val="0"/>
                      <w:color w:val="auto"/>
                      <w:kern w:val="0"/>
                      <w:sz w:val="21"/>
                      <w:szCs w:val="21"/>
                      <w:highlight w:val="none"/>
                      <w:lang w:val="en-US" w:eastAsia="zh-CN"/>
                    </w:rPr>
                  </w:pPr>
                  <w:r>
                    <w:rPr>
                      <w:rFonts w:hint="default" w:ascii="Times New Roman" w:hAnsi="Times New Roman" w:eastAsia="宋体" w:cs="Times New Roman"/>
                      <w:b w:val="0"/>
                      <w:color w:val="auto"/>
                      <w:kern w:val="0"/>
                      <w:sz w:val="21"/>
                      <w:szCs w:val="21"/>
                      <w:highlight w:val="none"/>
                      <w:lang w:val="en-US" w:eastAsia="zh-CN"/>
                    </w:rPr>
                    <w:t>2025.12.07</w:t>
                  </w:r>
                </w:p>
                <w:p w14:paraId="65289CB9">
                  <w:pPr>
                    <w:keepNext w:val="0"/>
                    <w:keepLines w:val="0"/>
                    <w:suppressLineNumbers w:val="0"/>
                    <w:autoSpaceDE w:val="0"/>
                    <w:autoSpaceDN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 w:val="0"/>
                      <w:color w:val="auto"/>
                      <w:kern w:val="0"/>
                      <w:sz w:val="21"/>
                      <w:szCs w:val="21"/>
                      <w:highlight w:val="none"/>
                      <w:lang w:val="en-US" w:eastAsia="zh-CN"/>
                    </w:rPr>
                    <w:t>～</w:t>
                  </w:r>
                  <w:r>
                    <w:rPr>
                      <w:rFonts w:hint="default" w:ascii="Times New Roman" w:hAnsi="Times New Roman" w:eastAsia="宋体" w:cs="Times New Roman"/>
                      <w:b w:val="0"/>
                      <w:color w:val="auto"/>
                      <w:kern w:val="0"/>
                      <w:sz w:val="21"/>
                      <w:szCs w:val="21"/>
                      <w:highlight w:val="none"/>
                      <w:lang w:val="en-US" w:eastAsia="zh-CN"/>
                    </w:rPr>
                    <w:br w:type="textWrapping"/>
                  </w:r>
                  <w:r>
                    <w:rPr>
                      <w:rFonts w:hint="default" w:ascii="Times New Roman" w:hAnsi="Times New Roman" w:eastAsia="宋体" w:cs="Times New Roman"/>
                      <w:b w:val="0"/>
                      <w:color w:val="auto"/>
                      <w:kern w:val="0"/>
                      <w:sz w:val="21"/>
                      <w:szCs w:val="21"/>
                      <w:highlight w:val="none"/>
                      <w:lang w:val="en-US" w:eastAsia="zh-CN"/>
                    </w:rPr>
                    <w:t>2026.12.06</w:t>
                  </w:r>
                </w:p>
              </w:tc>
            </w:tr>
          </w:tbl>
          <w:p w14:paraId="78FF05C7">
            <w:pPr>
              <w:pStyle w:val="9"/>
              <w:keepNext w:val="0"/>
              <w:keepLines w:val="0"/>
              <w:suppressLineNumbers w:val="0"/>
              <w:spacing w:before="0" w:beforeAutospacing="0" w:after="0" w:afterAutospacing="0"/>
              <w:jc w:val="both"/>
              <w:rPr>
                <w:rFonts w:hint="default" w:ascii="Times New Roman" w:hAnsi="Times New Roman" w:eastAsia="宋体" w:cs="Times New Roman"/>
                <w:b/>
                <w:color w:val="auto"/>
                <w:sz w:val="24"/>
                <w:szCs w:val="28"/>
                <w:highlight w:val="none"/>
                <w:lang w:eastAsia="zh-CN"/>
              </w:rPr>
            </w:pPr>
          </w:p>
          <w:p w14:paraId="5827FB47">
            <w:pPr>
              <w:pStyle w:val="12"/>
              <w:keepNext w:val="0"/>
              <w:keepLines w:val="0"/>
              <w:numPr>
                <w:ilvl w:val="0"/>
                <w:numId w:val="0"/>
              </w:numPr>
              <w:suppressLineNumbers w:val="0"/>
              <w:shd w:val="clear"/>
              <w:spacing w:before="0" w:beforeAutospacing="0" w:after="0" w:afterAutospacing="0" w:line="60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监测单位</w:t>
            </w:r>
          </w:p>
          <w:p w14:paraId="31A3F701">
            <w:pPr>
              <w:pStyle w:val="12"/>
              <w:keepNext w:val="0"/>
              <w:keepLines w:val="0"/>
              <w:suppressLineNumbers w:val="0"/>
              <w:shd w:val="clear"/>
              <w:spacing w:before="0" w:beforeAutospacing="0" w:after="0" w:afterAutospacing="0" w:line="60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乌鲁木齐星辰汇峰环保科技</w:t>
            </w:r>
            <w:r>
              <w:rPr>
                <w:rFonts w:hint="default" w:ascii="Times New Roman" w:hAnsi="Times New Roman" w:eastAsia="宋体" w:cs="Times New Roman"/>
                <w:color w:val="auto"/>
                <w:highlight w:val="none"/>
                <w:lang w:eastAsia="zh-CN"/>
              </w:rPr>
              <w:t>有限公司</w:t>
            </w:r>
            <w:r>
              <w:rPr>
                <w:rFonts w:hint="default" w:ascii="Times New Roman" w:hAnsi="Times New Roman" w:eastAsia="宋体" w:cs="Times New Roman"/>
                <w:color w:val="auto"/>
                <w:highlight w:val="none"/>
              </w:rPr>
              <w:t>。</w:t>
            </w:r>
          </w:p>
          <w:p w14:paraId="75B0463E">
            <w:pPr>
              <w:pStyle w:val="12"/>
              <w:keepNext w:val="0"/>
              <w:keepLines w:val="0"/>
              <w:suppressLineNumbers w:val="0"/>
              <w:shd w:val="clear"/>
              <w:spacing w:before="0" w:beforeAutospacing="0" w:after="0" w:afterAutospacing="0" w:line="60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监测时间及条件</w:t>
            </w:r>
          </w:p>
          <w:p w14:paraId="268610B5">
            <w:pPr>
              <w:pStyle w:val="12"/>
              <w:keepNext w:val="0"/>
              <w:keepLines w:val="0"/>
              <w:suppressLineNumbers w:val="0"/>
              <w:shd w:val="clear"/>
              <w:spacing w:before="0" w:beforeAutospacing="0" w:after="0" w:afterAutospacing="0" w:line="60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2026年</w:t>
            </w:r>
            <w:r>
              <w:rPr>
                <w:rFonts w:hint="eastAsia" w:cs="Times New Roman"/>
                <w:color w:val="auto"/>
                <w:highlight w:val="none"/>
                <w:lang w:val="en-US" w:eastAsia="zh-CN"/>
              </w:rPr>
              <w:t>10</w:t>
            </w:r>
            <w:r>
              <w:rPr>
                <w:rFonts w:hint="default" w:ascii="Times New Roman" w:hAnsi="Times New Roman" w:cs="Times New Roman"/>
                <w:color w:val="auto"/>
                <w:highlight w:val="none"/>
                <w:lang w:val="en-US" w:eastAsia="zh-CN"/>
              </w:rPr>
              <w:t>月</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日</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天气晴</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气温</w:t>
            </w:r>
            <w:r>
              <w:rPr>
                <w:rFonts w:hint="eastAsia" w:cs="Times New Roman"/>
                <w:color w:val="auto"/>
                <w:highlight w:val="none"/>
                <w:lang w:val="en-US" w:eastAsia="zh-CN"/>
              </w:rPr>
              <w:t>18.2</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相对湿度</w:t>
            </w: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6.4</w:t>
            </w:r>
            <w:r>
              <w:rPr>
                <w:rFonts w:hint="default" w:ascii="Times New Roman" w:hAnsi="Times New Roman" w:eastAsia="宋体" w:cs="Times New Roman"/>
                <w:color w:val="auto"/>
                <w:highlight w:val="none"/>
              </w:rPr>
              <w:t>%</w:t>
            </w:r>
          </w:p>
          <w:p w14:paraId="24ECCA9A">
            <w:pPr>
              <w:pStyle w:val="12"/>
              <w:keepNext w:val="0"/>
              <w:keepLines w:val="0"/>
              <w:suppressLineNumbers w:val="0"/>
              <w:shd w:val="clear"/>
              <w:spacing w:before="0" w:beforeAutospacing="0" w:after="0" w:afterAutospacing="0" w:line="60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质量保证措施</w:t>
            </w:r>
          </w:p>
          <w:p w14:paraId="208D24F8">
            <w:pPr>
              <w:pStyle w:val="32"/>
              <w:keepNext w:val="0"/>
              <w:keepLines w:val="0"/>
              <w:suppressLineNumbers w:val="0"/>
              <w:shd w:val="clear"/>
              <w:spacing w:before="0" w:beforeAutospacing="0" w:after="0" w:afterAutospacing="0" w:line="600" w:lineRule="auto"/>
              <w:ind w:left="0" w:right="0" w:firstLine="448" w:firstLineChars="200"/>
              <w:jc w:val="both"/>
              <w:rPr>
                <w:rFonts w:hint="default" w:ascii="Times New Roman" w:hAnsi="Times New Roman" w:eastAsia="宋体" w:cs="Times New Roman"/>
                <w:color w:val="auto"/>
                <w:spacing w:val="-8"/>
                <w:highlight w:val="none"/>
              </w:rPr>
            </w:pPr>
            <w:r>
              <w:rPr>
                <w:rFonts w:hint="default" w:ascii="Times New Roman" w:hAnsi="Times New Roman" w:eastAsia="宋体" w:cs="Times New Roman"/>
                <w:color w:val="auto"/>
                <w:spacing w:val="-8"/>
                <w:highlight w:val="none"/>
                <w:lang w:val="en-US" w:eastAsia="zh-CN"/>
              </w:rPr>
              <w:t xml:space="preserve">①合理布设监测点位，保证各监测点位布设的科学性和可比性。 </w:t>
            </w:r>
          </w:p>
          <w:p w14:paraId="4E046878">
            <w:pPr>
              <w:pStyle w:val="32"/>
              <w:keepNext w:val="0"/>
              <w:keepLines w:val="0"/>
              <w:suppressLineNumbers w:val="0"/>
              <w:shd w:val="clear"/>
              <w:spacing w:before="0" w:beforeAutospacing="0" w:after="0" w:afterAutospacing="0" w:line="600" w:lineRule="auto"/>
              <w:ind w:left="0" w:right="0" w:firstLine="448" w:firstLineChars="200"/>
              <w:jc w:val="both"/>
              <w:rPr>
                <w:rFonts w:hint="default" w:ascii="Times New Roman" w:hAnsi="Times New Roman" w:eastAsia="宋体" w:cs="Times New Roman"/>
                <w:color w:val="auto"/>
                <w:spacing w:val="-8"/>
                <w:highlight w:val="none"/>
              </w:rPr>
            </w:pPr>
            <w:r>
              <w:rPr>
                <w:rFonts w:hint="default" w:ascii="Times New Roman" w:hAnsi="Times New Roman" w:eastAsia="宋体" w:cs="Times New Roman"/>
                <w:color w:val="auto"/>
                <w:spacing w:val="-8"/>
                <w:highlight w:val="none"/>
                <w:lang w:val="en-US" w:eastAsia="zh-CN"/>
              </w:rPr>
              <w:t xml:space="preserve">②监测方法采用国家有关部门颁布的标准，监测人员经考核并持有合格证书上岗。 </w:t>
            </w:r>
          </w:p>
          <w:p w14:paraId="20342F7B">
            <w:pPr>
              <w:pStyle w:val="32"/>
              <w:keepNext w:val="0"/>
              <w:keepLines w:val="0"/>
              <w:suppressLineNumbers w:val="0"/>
              <w:shd w:val="clear"/>
              <w:spacing w:before="0" w:beforeAutospacing="0" w:after="0" w:afterAutospacing="0" w:line="600" w:lineRule="auto"/>
              <w:ind w:left="0" w:right="0" w:firstLine="448" w:firstLineChars="200"/>
              <w:jc w:val="both"/>
              <w:rPr>
                <w:rFonts w:hint="default" w:ascii="Times New Roman" w:hAnsi="Times New Roman" w:eastAsia="宋体" w:cs="Times New Roman"/>
                <w:color w:val="auto"/>
                <w:spacing w:val="-8"/>
                <w:highlight w:val="none"/>
              </w:rPr>
            </w:pPr>
            <w:r>
              <w:rPr>
                <w:rFonts w:hint="default" w:ascii="Times New Roman" w:hAnsi="Times New Roman" w:eastAsia="宋体" w:cs="Times New Roman"/>
                <w:color w:val="auto"/>
                <w:spacing w:val="-8"/>
                <w:highlight w:val="none"/>
                <w:lang w:val="en-US" w:eastAsia="zh-CN"/>
              </w:rPr>
              <w:t xml:space="preserve">③监测仪器每年定期经计量部门检定，检定合格后方可使用。 </w:t>
            </w:r>
          </w:p>
          <w:p w14:paraId="55BB399E">
            <w:pPr>
              <w:pStyle w:val="32"/>
              <w:keepNext w:val="0"/>
              <w:keepLines w:val="0"/>
              <w:suppressLineNumbers w:val="0"/>
              <w:shd w:val="clear"/>
              <w:spacing w:before="0" w:beforeAutospacing="0" w:after="0" w:afterAutospacing="0" w:line="600" w:lineRule="auto"/>
              <w:ind w:left="0" w:right="0" w:firstLine="448" w:firstLineChars="200"/>
              <w:jc w:val="both"/>
              <w:rPr>
                <w:rFonts w:hint="default" w:ascii="Times New Roman" w:hAnsi="Times New Roman" w:eastAsia="宋体" w:cs="Times New Roman"/>
                <w:color w:val="auto"/>
                <w:spacing w:val="-8"/>
                <w:highlight w:val="none"/>
              </w:rPr>
            </w:pPr>
            <w:r>
              <w:rPr>
                <w:rFonts w:hint="default" w:ascii="Times New Roman" w:hAnsi="Times New Roman" w:eastAsia="宋体" w:cs="Times New Roman"/>
                <w:color w:val="auto"/>
                <w:spacing w:val="-8"/>
                <w:highlight w:val="none"/>
                <w:lang w:val="en-US" w:eastAsia="zh-CN"/>
              </w:rPr>
              <w:t xml:space="preserve">④每次测量前、后均检查仪器的工作状态是否正常。 </w:t>
            </w:r>
          </w:p>
          <w:p w14:paraId="183D461D">
            <w:pPr>
              <w:pStyle w:val="32"/>
              <w:keepNext w:val="0"/>
              <w:keepLines w:val="0"/>
              <w:suppressLineNumbers w:val="0"/>
              <w:shd w:val="clear"/>
              <w:spacing w:before="0" w:beforeAutospacing="0" w:after="0" w:afterAutospacing="0" w:line="600" w:lineRule="auto"/>
              <w:ind w:left="0" w:right="0" w:firstLine="448" w:firstLineChars="200"/>
              <w:jc w:val="both"/>
              <w:rPr>
                <w:rFonts w:hint="default" w:ascii="Times New Roman" w:hAnsi="Times New Roman" w:eastAsia="宋体" w:cs="Times New Roman"/>
                <w:color w:val="auto"/>
                <w:spacing w:val="-8"/>
                <w:highlight w:val="none"/>
              </w:rPr>
            </w:pPr>
            <w:r>
              <w:rPr>
                <w:rFonts w:hint="default" w:ascii="Times New Roman" w:hAnsi="Times New Roman" w:eastAsia="宋体" w:cs="Times New Roman"/>
                <w:color w:val="auto"/>
                <w:spacing w:val="-8"/>
                <w:highlight w:val="none"/>
                <w:lang w:val="en-US" w:eastAsia="zh-CN"/>
              </w:rPr>
              <w:t xml:space="preserve">⑤由专业人员按操作规程操作仪器，并做好记录。 </w:t>
            </w:r>
          </w:p>
          <w:p w14:paraId="0A36C8DE">
            <w:pPr>
              <w:pStyle w:val="32"/>
              <w:keepNext w:val="0"/>
              <w:keepLines w:val="0"/>
              <w:suppressLineNumbers w:val="0"/>
              <w:shd w:val="clear"/>
              <w:spacing w:before="0" w:beforeAutospacing="0" w:after="0" w:afterAutospacing="0" w:line="600" w:lineRule="auto"/>
              <w:ind w:left="0" w:right="0" w:firstLine="448" w:firstLineChars="200"/>
              <w:jc w:val="both"/>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pacing w:val="-8"/>
                <w:highlight w:val="none"/>
                <w:lang w:val="en-US" w:eastAsia="zh-CN"/>
              </w:rPr>
              <w:t>⑥监测报告严格实行三级审核制度，经过校核、审核，最后由技术总负责人审定</w:t>
            </w:r>
            <w:r>
              <w:rPr>
                <w:rFonts w:hint="default" w:ascii="Times New Roman" w:hAnsi="Times New Roman" w:eastAsia="宋体" w:cs="Times New Roman"/>
                <w:color w:val="auto"/>
                <w:sz w:val="24"/>
                <w:szCs w:val="24"/>
                <w:highlight w:val="none"/>
                <w:lang w:eastAsia="zh-CN"/>
              </w:rPr>
              <w:t>。</w:t>
            </w:r>
          </w:p>
          <w:p w14:paraId="2F78B99F">
            <w:pPr>
              <w:pStyle w:val="32"/>
              <w:keepNext w:val="0"/>
              <w:keepLines w:val="0"/>
              <w:suppressLineNumbers w:val="0"/>
              <w:shd w:val="clear"/>
              <w:spacing w:before="0" w:beforeAutospacing="0" w:after="0" w:afterAutospacing="0" w:line="600" w:lineRule="auto"/>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监测点位</w:t>
            </w:r>
          </w:p>
          <w:p w14:paraId="4E917B3B">
            <w:pPr>
              <w:pStyle w:val="32"/>
              <w:keepNext w:val="0"/>
              <w:keepLines w:val="0"/>
              <w:suppressLineNumbers w:val="0"/>
              <w:shd w:val="clear"/>
              <w:spacing w:before="0" w:beforeAutospacing="0" w:after="0" w:afterAutospacing="0" w:line="600" w:lineRule="auto"/>
              <w:ind w:left="0" w:right="0" w:firstLine="448"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pacing w:val="-8"/>
                <w:highlight w:val="none"/>
                <w:lang w:val="en-US" w:eastAsia="zh-CN"/>
              </w:rPr>
              <w:t>为了解各工作场所的辐射环境现状，选择</w:t>
            </w:r>
            <w:r>
              <w:rPr>
                <w:rFonts w:hint="eastAsia" w:cs="Times New Roman"/>
                <w:color w:val="auto"/>
                <w:spacing w:val="-8"/>
                <w:highlight w:val="none"/>
                <w:lang w:val="en-US" w:eastAsia="zh-CN"/>
              </w:rPr>
              <w:t>现有核医学科工作场所及介入2室</w:t>
            </w:r>
            <w:r>
              <w:rPr>
                <w:rFonts w:hint="default" w:ascii="Times New Roman" w:hAnsi="Times New Roman" w:cs="Times New Roman"/>
                <w:color w:val="auto"/>
                <w:spacing w:val="-8"/>
                <w:highlight w:val="none"/>
                <w:lang w:val="en-US" w:eastAsia="zh-CN"/>
              </w:rPr>
              <w:t>设置</w:t>
            </w:r>
            <w:r>
              <w:rPr>
                <w:rFonts w:hint="default" w:ascii="Times New Roman" w:hAnsi="Times New Roman" w:eastAsia="宋体" w:cs="Times New Roman"/>
                <w:color w:val="auto"/>
                <w:spacing w:val="-8"/>
                <w:highlight w:val="none"/>
                <w:lang w:val="en-US" w:eastAsia="zh-CN"/>
              </w:rPr>
              <w:t>监测点位，以确保本项目辐射环境现状水平</w:t>
            </w:r>
            <w:r>
              <w:rPr>
                <w:rFonts w:hint="eastAsia" w:cs="Times New Roman"/>
                <w:color w:val="auto"/>
                <w:spacing w:val="-8"/>
                <w:highlight w:val="none"/>
                <w:lang w:val="en-US" w:eastAsia="zh-CN"/>
              </w:rPr>
              <w:t>处于</w:t>
            </w:r>
            <w:r>
              <w:rPr>
                <w:rFonts w:hint="default" w:ascii="Times New Roman" w:hAnsi="Times New Roman" w:eastAsia="宋体" w:cs="Times New Roman"/>
                <w:color w:val="auto"/>
                <w:spacing w:val="-8"/>
                <w:highlight w:val="none"/>
                <w:lang w:val="en-US" w:eastAsia="zh-CN"/>
              </w:rPr>
              <w:t>正常水平，确保项目正式运行后对周围环境的影响在标准范围内。</w:t>
            </w:r>
            <w:r>
              <w:rPr>
                <w:rFonts w:hint="default" w:ascii="Times New Roman" w:hAnsi="Times New Roman" w:eastAsia="宋体" w:cs="Times New Roman"/>
                <w:color w:val="auto"/>
                <w:sz w:val="24"/>
                <w:szCs w:val="24"/>
                <w:highlight w:val="none"/>
              </w:rPr>
              <w:t>根据项目的平面布置和周围环境情况布设监测点，监测点位见图</w:t>
            </w:r>
            <w:r>
              <w:rPr>
                <w:rFonts w:hint="default" w:ascii="Times New Roman" w:hAnsi="Times New Roman" w:eastAsia="宋体" w:cs="Times New Roman"/>
                <w:color w:val="auto"/>
                <w:sz w:val="24"/>
                <w:szCs w:val="24"/>
                <w:highlight w:val="none"/>
                <w:lang w:eastAsia="zh-CN"/>
              </w:rPr>
              <w:t>8</w:t>
            </w:r>
            <w:r>
              <w:rPr>
                <w:rFonts w:hint="default" w:ascii="Times New Roman" w:hAnsi="Times New Roman" w:eastAsia="宋体" w:cs="Times New Roman"/>
                <w:color w:val="auto"/>
                <w:sz w:val="24"/>
                <w:szCs w:val="24"/>
                <w:highlight w:val="none"/>
              </w:rPr>
              <w:t>-1</w:t>
            </w:r>
            <w:r>
              <w:rPr>
                <w:rFonts w:hint="eastAsia" w:cs="Times New Roman"/>
                <w:color w:val="auto"/>
                <w:sz w:val="24"/>
                <w:szCs w:val="24"/>
                <w:highlight w:val="none"/>
                <w:lang w:val="en-US" w:eastAsia="zh-CN"/>
              </w:rPr>
              <w:t>~图8-5。</w:t>
            </w:r>
          </w:p>
          <w:p w14:paraId="5282F56F">
            <w:pPr>
              <w:pStyle w:val="12"/>
              <w:keepNext w:val="0"/>
              <w:keepLines w:val="0"/>
              <w:suppressLineNumbers w:val="0"/>
              <w:shd w:val="clear"/>
              <w:spacing w:before="10" w:beforeAutospacing="0" w:after="0" w:afterAutospacing="0" w:line="360" w:lineRule="auto"/>
              <w:ind w:left="0" w:right="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图8-1  监测点位示意图</w:t>
            </w:r>
            <w:r>
              <w:rPr>
                <w:rFonts w:hint="eastAsia" w:cs="Times New Roman"/>
                <w:b/>
                <w:bCs/>
                <w:color w:val="auto"/>
                <w:highlight w:val="none"/>
                <w:lang w:val="en-US" w:eastAsia="zh-CN"/>
              </w:rPr>
              <w:t xml:space="preserve">  </w:t>
            </w:r>
            <w:r>
              <w:rPr>
                <w:rFonts w:hint="default" w:ascii="Times New Roman" w:hAnsi="Times New Roman" w:eastAsia="宋体" w:cs="Times New Roman"/>
                <w:b/>
                <w:bCs/>
                <w:color w:val="auto"/>
                <w:highlight w:val="none"/>
                <w:lang w:val="en-US" w:eastAsia="zh-CN"/>
              </w:rPr>
              <w:t>（核医学楼三层）</w:t>
            </w:r>
          </w:p>
          <w:p w14:paraId="4DA75061">
            <w:pPr>
              <w:pStyle w:val="12"/>
              <w:keepNext w:val="0"/>
              <w:keepLines w:val="0"/>
              <w:suppressLineNumbers w:val="0"/>
              <w:shd w:val="clear"/>
              <w:spacing w:before="10" w:beforeAutospacing="0" w:after="0" w:afterAutospacing="0" w:line="360" w:lineRule="auto"/>
              <w:ind w:left="0" w:right="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图8-</w:t>
            </w:r>
            <w:r>
              <w:rPr>
                <w:rFonts w:hint="eastAsia" w:cs="Times New Roman"/>
                <w:b/>
                <w:bCs/>
                <w:color w:val="auto"/>
                <w:highlight w:val="none"/>
                <w:lang w:val="en-US" w:eastAsia="zh-CN"/>
              </w:rPr>
              <w:t>2</w:t>
            </w:r>
            <w:r>
              <w:rPr>
                <w:rFonts w:hint="default" w:ascii="Times New Roman" w:hAnsi="Times New Roman" w:eastAsia="宋体" w:cs="Times New Roman"/>
                <w:b/>
                <w:bCs/>
                <w:color w:val="auto"/>
                <w:highlight w:val="none"/>
                <w:lang w:val="en-US" w:eastAsia="zh-CN"/>
              </w:rPr>
              <w:t xml:space="preserve">  监测点位示意图  监测点位示意图（核医学楼二层）</w:t>
            </w:r>
          </w:p>
          <w:p w14:paraId="6125C379">
            <w:pPr>
              <w:pStyle w:val="12"/>
              <w:keepNext w:val="0"/>
              <w:keepLines w:val="0"/>
              <w:suppressLineNumbers w:val="0"/>
              <w:shd w:val="clear"/>
              <w:spacing w:before="10" w:beforeAutospacing="0" w:after="0" w:afterAutospacing="0" w:line="360" w:lineRule="auto"/>
              <w:ind w:left="0" w:right="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图8-</w:t>
            </w:r>
            <w:r>
              <w:rPr>
                <w:rFonts w:hint="eastAsia" w:cs="Times New Roman"/>
                <w:b/>
                <w:bCs/>
                <w:color w:val="auto"/>
                <w:highlight w:val="none"/>
                <w:lang w:val="en-US" w:eastAsia="zh-CN"/>
              </w:rPr>
              <w:t>3</w:t>
            </w:r>
            <w:r>
              <w:rPr>
                <w:rFonts w:hint="default" w:ascii="Times New Roman" w:hAnsi="Times New Roman" w:eastAsia="宋体" w:cs="Times New Roman"/>
                <w:b/>
                <w:bCs/>
                <w:color w:val="auto"/>
                <w:highlight w:val="none"/>
                <w:lang w:val="en-US" w:eastAsia="zh-CN"/>
              </w:rPr>
              <w:t xml:space="preserve">  监测点位示意图  （核医学楼一层）</w:t>
            </w:r>
          </w:p>
          <w:p w14:paraId="617CCCC5">
            <w:pPr>
              <w:pStyle w:val="12"/>
              <w:keepNext w:val="0"/>
              <w:keepLines w:val="0"/>
              <w:suppressLineNumbers w:val="0"/>
              <w:shd w:val="clear"/>
              <w:spacing w:before="10" w:beforeAutospacing="0" w:after="0" w:afterAutospacing="0" w:line="360" w:lineRule="auto"/>
              <w:ind w:left="0" w:right="0"/>
              <w:jc w:val="center"/>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图8-</w:t>
            </w:r>
            <w:r>
              <w:rPr>
                <w:rFonts w:hint="eastAsia" w:cs="Times New Roman"/>
                <w:b/>
                <w:bCs/>
                <w:color w:val="auto"/>
                <w:highlight w:val="none"/>
                <w:lang w:val="en-US" w:eastAsia="zh-CN"/>
              </w:rPr>
              <w:t>4</w:t>
            </w:r>
            <w:r>
              <w:rPr>
                <w:rFonts w:hint="default" w:ascii="Times New Roman" w:hAnsi="Times New Roman" w:eastAsia="宋体" w:cs="Times New Roman"/>
                <w:b/>
                <w:bCs/>
                <w:color w:val="auto"/>
                <w:highlight w:val="none"/>
                <w:lang w:val="en-US" w:eastAsia="zh-CN"/>
              </w:rPr>
              <w:t xml:space="preserve">  监测点位示意图  核医学楼负一层）</w:t>
            </w:r>
          </w:p>
          <w:p w14:paraId="0384B8FF">
            <w:pPr>
              <w:pStyle w:val="12"/>
              <w:keepNext w:val="0"/>
              <w:keepLines w:val="0"/>
              <w:suppressLineNumbers w:val="0"/>
              <w:shd w:val="clear"/>
              <w:spacing w:before="10" w:beforeAutospacing="0" w:after="0" w:afterAutospacing="0" w:line="360" w:lineRule="auto"/>
              <w:ind w:left="0" w:right="0"/>
              <w:jc w:val="center"/>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lang w:val="en-US" w:eastAsia="zh-CN"/>
              </w:rPr>
              <w:t>图8-</w:t>
            </w:r>
            <w:r>
              <w:rPr>
                <w:rFonts w:hint="eastAsia" w:cs="Times New Roman"/>
                <w:b/>
                <w:bCs/>
                <w:color w:val="auto"/>
                <w:highlight w:val="none"/>
                <w:lang w:val="en-US" w:eastAsia="zh-CN"/>
              </w:rPr>
              <w:t>5</w:t>
            </w:r>
            <w:r>
              <w:rPr>
                <w:rFonts w:hint="default" w:ascii="Times New Roman" w:hAnsi="Times New Roman" w:eastAsia="宋体" w:cs="Times New Roman"/>
                <w:b/>
                <w:bCs/>
                <w:color w:val="auto"/>
                <w:highlight w:val="none"/>
                <w:lang w:val="en-US" w:eastAsia="zh-CN"/>
              </w:rPr>
              <w:t xml:space="preserve">  监测点位示意图  （综合楼）</w:t>
            </w:r>
          </w:p>
          <w:p w14:paraId="750D1D14">
            <w:pPr>
              <w:pStyle w:val="3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9</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监测结果</w:t>
            </w:r>
          </w:p>
          <w:p w14:paraId="269AEC73">
            <w:pPr>
              <w:pStyle w:val="3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对</w:t>
            </w:r>
            <w:r>
              <w:rPr>
                <w:rFonts w:hint="eastAsia" w:cs="Times New Roman"/>
                <w:color w:val="auto"/>
                <w:sz w:val="24"/>
                <w:highlight w:val="none"/>
                <w:lang w:val="en-US" w:eastAsia="zh-CN"/>
              </w:rPr>
              <w:t>现状</w:t>
            </w:r>
            <w:r>
              <w:rPr>
                <w:rFonts w:hint="default" w:ascii="Times New Roman" w:hAnsi="Times New Roman" w:cs="Times New Roman"/>
                <w:color w:val="auto"/>
                <w:sz w:val="24"/>
                <w:highlight w:val="none"/>
                <w:lang w:val="en-US" w:eastAsia="zh-CN"/>
              </w:rPr>
              <w:t>辐射工作场所</w:t>
            </w:r>
            <w:r>
              <w:rPr>
                <w:rFonts w:hint="default" w:ascii="Times New Roman" w:hAnsi="Times New Roman" w:eastAsia="宋体" w:cs="Times New Roman"/>
                <w:color w:val="auto"/>
                <w:sz w:val="24"/>
                <w:highlight w:val="none"/>
              </w:rPr>
              <w:t>周围辐射环境监测结果详见表8-2</w:t>
            </w:r>
            <w:r>
              <w:rPr>
                <w:rFonts w:hint="default" w:ascii="Times New Roman" w:hAnsi="Times New Roman" w:eastAsia="宋体" w:cs="Times New Roman"/>
                <w:color w:val="auto"/>
                <w:sz w:val="24"/>
                <w:highlight w:val="none"/>
                <w:lang w:eastAsia="zh-CN"/>
              </w:rPr>
              <w:t>及表</w:t>
            </w:r>
            <w:r>
              <w:rPr>
                <w:rFonts w:hint="default" w:ascii="Times New Roman" w:hAnsi="Times New Roman" w:eastAsia="宋体" w:cs="Times New Roman"/>
                <w:color w:val="auto"/>
                <w:sz w:val="24"/>
                <w:highlight w:val="none"/>
                <w:lang w:val="en-US" w:eastAsia="zh-CN"/>
              </w:rPr>
              <w:t>8-3</w:t>
            </w:r>
            <w:r>
              <w:rPr>
                <w:rFonts w:hint="default" w:ascii="Times New Roman" w:hAnsi="Times New Roman" w:eastAsia="宋体" w:cs="Times New Roman"/>
                <w:color w:val="auto"/>
                <w:sz w:val="24"/>
                <w:highlight w:val="none"/>
                <w:lang w:eastAsia="zh-CN"/>
              </w:rPr>
              <w:t>，监测报告见</w:t>
            </w:r>
            <w:r>
              <w:rPr>
                <w:rFonts w:hint="default" w:ascii="Times New Roman" w:hAnsi="Times New Roman" w:eastAsia="宋体" w:cs="Times New Roman"/>
                <w:b w:val="0"/>
                <w:bCs w:val="0"/>
                <w:color w:val="auto"/>
                <w:sz w:val="24"/>
                <w:highlight w:val="none"/>
                <w:lang w:eastAsia="zh-CN"/>
              </w:rPr>
              <w:t>附件</w:t>
            </w:r>
            <w:r>
              <w:rPr>
                <w:rFonts w:hint="default" w:ascii="Times New Roman" w:hAnsi="Times New Roman" w:cs="Times New Roman"/>
                <w:b w:val="0"/>
                <w:bCs w:val="0"/>
                <w:color w:val="auto"/>
                <w:sz w:val="24"/>
                <w:highlight w:val="none"/>
                <w:lang w:val="en-US" w:eastAsia="zh-CN"/>
              </w:rPr>
              <w:t>7</w:t>
            </w:r>
            <w:r>
              <w:rPr>
                <w:rFonts w:hint="default" w:ascii="Times New Roman" w:hAnsi="Times New Roman" w:eastAsia="宋体" w:cs="Times New Roman"/>
                <w:color w:val="auto"/>
                <w:sz w:val="24"/>
                <w:highlight w:val="none"/>
              </w:rPr>
              <w:t>。</w:t>
            </w:r>
          </w:p>
          <w:p w14:paraId="5E7832F3">
            <w:pPr>
              <w:keepNext w:val="0"/>
              <w:keepLines w:val="0"/>
              <w:suppressLineNumbers w:val="0"/>
              <w:tabs>
                <w:tab w:val="left" w:pos="2808"/>
                <w:tab w:val="center" w:pos="5152"/>
              </w:tabs>
              <w:spacing w:before="0" w:beforeAutospacing="0" w:after="0" w:afterAutospacing="0" w:line="360" w:lineRule="auto"/>
              <w:ind w:left="0" w:right="0"/>
              <w:jc w:val="center"/>
              <w:rPr>
                <w:rFonts w:hint="default" w:ascii="Times New Roman" w:hAnsi="Times New Roman" w:eastAsia="宋体" w:cs="Times New Roman"/>
                <w:b/>
                <w:bCs/>
                <w:color w:val="auto"/>
                <w:kern w:val="0"/>
                <w:sz w:val="24"/>
                <w:highlight w:val="none"/>
                <w:vertAlign w:val="superscript"/>
                <w:lang w:val="en-US" w:eastAsia="zh-CN"/>
              </w:rPr>
            </w:pPr>
            <w:r>
              <w:rPr>
                <w:rFonts w:hint="default" w:ascii="Times New Roman" w:hAnsi="Times New Roman" w:eastAsia="宋体" w:cs="Times New Roman"/>
                <w:b/>
                <w:bCs/>
                <w:color w:val="auto"/>
                <w:kern w:val="0"/>
                <w:sz w:val="24"/>
                <w:highlight w:val="none"/>
                <w:lang w:val="en-US" w:eastAsia="zh-CN"/>
              </w:rPr>
              <w:t>表</w:t>
            </w:r>
            <w:r>
              <w:rPr>
                <w:rFonts w:hint="eastAsia" w:ascii="Times New Roman" w:hAnsi="Times New Roman" w:eastAsia="宋体" w:cs="Times New Roman"/>
                <w:b/>
                <w:bCs/>
                <w:color w:val="auto"/>
                <w:kern w:val="0"/>
                <w:sz w:val="24"/>
                <w:highlight w:val="none"/>
                <w:lang w:val="en-US" w:eastAsia="zh-CN"/>
              </w:rPr>
              <w:t>8-2</w:t>
            </w:r>
            <w:r>
              <w:rPr>
                <w:rFonts w:hint="default" w:ascii="Times New Roman" w:hAnsi="Times New Roman" w:eastAsia="宋体" w:cs="Times New Roman"/>
                <w:b/>
                <w:bCs/>
                <w:color w:val="auto"/>
                <w:kern w:val="0"/>
                <w:sz w:val="24"/>
                <w:highlight w:val="none"/>
                <w:lang w:val="en-US" w:eastAsia="zh-CN"/>
              </w:rPr>
              <w:t xml:space="preserve"> </w:t>
            </w:r>
            <w:r>
              <w:rPr>
                <w:rFonts w:hint="default" w:ascii="Times New Roman" w:hAnsi="Times New Roman" w:eastAsia="宋体" w:cs="Times New Roman"/>
                <w:b/>
                <w:bCs/>
                <w:color w:val="auto"/>
                <w:kern w:val="0"/>
                <w:sz w:val="24"/>
                <w:highlight w:val="none"/>
              </w:rPr>
              <w:t xml:space="preserve"> </w:t>
            </w:r>
            <w:r>
              <w:rPr>
                <w:rFonts w:hint="default" w:ascii="Times New Roman" w:hAnsi="Times New Roman" w:eastAsia="宋体" w:cs="Times New Roman"/>
                <w:b/>
                <w:bCs/>
                <w:color w:val="auto"/>
                <w:kern w:val="0"/>
                <w:sz w:val="24"/>
                <w:highlight w:val="none"/>
                <w:lang w:val="en-US" w:eastAsia="zh-CN"/>
              </w:rPr>
              <w:t>γ</w:t>
            </w:r>
            <w:r>
              <w:rPr>
                <w:rFonts w:hint="default" w:ascii="Times New Roman" w:hAnsi="Times New Roman" w:eastAsia="宋体" w:cs="Times New Roman"/>
                <w:b/>
                <w:bCs/>
                <w:color w:val="auto"/>
                <w:kern w:val="0"/>
                <w:sz w:val="24"/>
                <w:highlight w:val="none"/>
              </w:rPr>
              <w:t>辐射剂量率监测结果</w:t>
            </w:r>
            <w:r>
              <w:rPr>
                <w:rFonts w:hint="default" w:ascii="Times New Roman" w:hAnsi="Times New Roman" w:eastAsia="宋体" w:cs="Times New Roman"/>
                <w:b/>
                <w:bCs/>
                <w:color w:val="auto"/>
                <w:kern w:val="0"/>
                <w:sz w:val="24"/>
                <w:highlight w:val="none"/>
                <w:vertAlign w:val="superscript"/>
                <w:lang w:val="en-US" w:eastAsia="zh-CN"/>
              </w:rPr>
              <w:t>[</w:t>
            </w:r>
            <w:r>
              <w:rPr>
                <w:rFonts w:hint="eastAsia" w:ascii="Times New Roman" w:hAnsi="Times New Roman" w:eastAsia="宋体" w:cs="Times New Roman"/>
                <w:b/>
                <w:bCs/>
                <w:color w:val="auto"/>
                <w:kern w:val="0"/>
                <w:sz w:val="24"/>
                <w:highlight w:val="none"/>
                <w:vertAlign w:val="superscript"/>
                <w:lang w:val="en-US" w:eastAsia="zh-CN"/>
              </w:rPr>
              <w:t>1</w:t>
            </w:r>
            <w:r>
              <w:rPr>
                <w:rFonts w:hint="default" w:ascii="Times New Roman" w:hAnsi="Times New Roman" w:eastAsia="宋体" w:cs="Times New Roman"/>
                <w:b/>
                <w:bCs/>
                <w:color w:val="auto"/>
                <w:kern w:val="0"/>
                <w:sz w:val="24"/>
                <w:highlight w:val="none"/>
                <w:vertAlign w:val="superscript"/>
                <w:lang w:val="en-US" w:eastAsia="zh-CN"/>
              </w:rPr>
              <w:t>]</w:t>
            </w:r>
          </w:p>
          <w:tbl>
            <w:tblPr>
              <w:tblStyle w:val="23"/>
              <w:tblW w:w="91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9"/>
              <w:gridCol w:w="4882"/>
              <w:gridCol w:w="2137"/>
              <w:gridCol w:w="1430"/>
            </w:tblGrid>
            <w:tr w14:paraId="19A77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749" w:type="dxa"/>
                  <w:tcBorders>
                    <w:tl2br w:val="nil"/>
                    <w:tr2bl w:val="nil"/>
                  </w:tcBorders>
                  <w:noWrap w:val="0"/>
                  <w:vAlign w:val="center"/>
                </w:tcPr>
                <w:p w14:paraId="19EF11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序号</w:t>
                  </w:r>
                </w:p>
              </w:tc>
              <w:tc>
                <w:tcPr>
                  <w:tcW w:w="4882" w:type="dxa"/>
                  <w:tcBorders>
                    <w:tl2br w:val="nil"/>
                    <w:tr2bl w:val="nil"/>
                  </w:tcBorders>
                  <w:noWrap w:val="0"/>
                  <w:vAlign w:val="center"/>
                </w:tcPr>
                <w:p w14:paraId="6962E0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点位描述</w:t>
                  </w:r>
                </w:p>
              </w:tc>
              <w:tc>
                <w:tcPr>
                  <w:tcW w:w="2137" w:type="dxa"/>
                  <w:tcBorders>
                    <w:tl2br w:val="nil"/>
                    <w:tr2bl w:val="nil"/>
                  </w:tcBorders>
                  <w:noWrap w:val="0"/>
                  <w:vAlign w:val="center"/>
                </w:tcPr>
                <w:p w14:paraId="357ED0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监测结果（μSv/h）</w:t>
                  </w:r>
                </w:p>
              </w:tc>
              <w:tc>
                <w:tcPr>
                  <w:tcW w:w="1430" w:type="dxa"/>
                  <w:tcBorders>
                    <w:tl2br w:val="nil"/>
                    <w:tr2bl w:val="nil"/>
                  </w:tcBorders>
                  <w:noWrap w:val="0"/>
                  <w:vAlign w:val="center"/>
                </w:tcPr>
                <w:p w14:paraId="4B290C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备注</w:t>
                  </w:r>
                </w:p>
              </w:tc>
            </w:tr>
            <w:tr w14:paraId="748145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198" w:type="dxa"/>
                  <w:gridSpan w:val="4"/>
                  <w:tcBorders>
                    <w:tl2br w:val="nil"/>
                    <w:tr2bl w:val="nil"/>
                  </w:tcBorders>
                  <w:noWrap w:val="0"/>
                  <w:vAlign w:val="center"/>
                </w:tcPr>
                <w:p w14:paraId="06892E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核医学楼三层</w:t>
                  </w:r>
                </w:p>
              </w:tc>
            </w:tr>
            <w:tr w14:paraId="3C2443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tcBorders>
                    <w:tl2br w:val="nil"/>
                    <w:tr2bl w:val="nil"/>
                  </w:tcBorders>
                  <w:noWrap w:val="0"/>
                  <w:vAlign w:val="center"/>
                </w:tcPr>
                <w:p w14:paraId="280ED9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w:t>
                  </w:r>
                </w:p>
              </w:tc>
              <w:tc>
                <w:tcPr>
                  <w:tcW w:w="4882" w:type="dxa"/>
                  <w:tcBorders>
                    <w:tl2br w:val="nil"/>
                    <w:tr2bl w:val="nil"/>
                  </w:tcBorders>
                  <w:noWrap w:val="0"/>
                  <w:vAlign w:val="center"/>
                </w:tcPr>
                <w:p w14:paraId="06AF17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拟新增核素病房1中央</w:t>
                  </w:r>
                </w:p>
              </w:tc>
              <w:tc>
                <w:tcPr>
                  <w:tcW w:w="2137" w:type="dxa"/>
                  <w:tcBorders>
                    <w:tl2br w:val="nil"/>
                    <w:tr2bl w:val="nil"/>
                  </w:tcBorders>
                  <w:noWrap w:val="0"/>
                  <w:vAlign w:val="center"/>
                </w:tcPr>
                <w:p w14:paraId="6E65B9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0.138</w:t>
                  </w:r>
                </w:p>
              </w:tc>
              <w:tc>
                <w:tcPr>
                  <w:tcW w:w="1430" w:type="dxa"/>
                  <w:tcBorders>
                    <w:tl2br w:val="nil"/>
                    <w:tr2bl w:val="nil"/>
                  </w:tcBorders>
                  <w:noWrap w:val="0"/>
                  <w:vAlign w:val="center"/>
                </w:tcPr>
                <w:p w14:paraId="6B09A5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21B7B0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tcBorders>
                    <w:tl2br w:val="nil"/>
                    <w:tr2bl w:val="nil"/>
                  </w:tcBorders>
                  <w:noWrap w:val="0"/>
                  <w:vAlign w:val="center"/>
                </w:tcPr>
                <w:p w14:paraId="76D71C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w:t>
                  </w:r>
                </w:p>
              </w:tc>
              <w:tc>
                <w:tcPr>
                  <w:tcW w:w="4882" w:type="dxa"/>
                  <w:tcBorders>
                    <w:tl2br w:val="nil"/>
                    <w:tr2bl w:val="nil"/>
                  </w:tcBorders>
                  <w:noWrap w:val="0"/>
                  <w:vAlign w:val="center"/>
                </w:tcPr>
                <w:p w14:paraId="51020B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拟新增核素病房2中央</w:t>
                  </w:r>
                </w:p>
              </w:tc>
              <w:tc>
                <w:tcPr>
                  <w:tcW w:w="2137" w:type="dxa"/>
                  <w:tcBorders>
                    <w:tl2br w:val="nil"/>
                    <w:tr2bl w:val="nil"/>
                  </w:tcBorders>
                  <w:noWrap w:val="0"/>
                  <w:vAlign w:val="center"/>
                </w:tcPr>
                <w:p w14:paraId="6BC230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0.139</w:t>
                  </w:r>
                </w:p>
              </w:tc>
              <w:tc>
                <w:tcPr>
                  <w:tcW w:w="1430" w:type="dxa"/>
                  <w:tcBorders>
                    <w:tl2br w:val="nil"/>
                    <w:tr2bl w:val="nil"/>
                  </w:tcBorders>
                  <w:noWrap w:val="0"/>
                  <w:vAlign w:val="center"/>
                </w:tcPr>
                <w:p w14:paraId="60AB9F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7237FE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74D1D1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w:t>
                  </w:r>
                </w:p>
              </w:tc>
              <w:tc>
                <w:tcPr>
                  <w:tcW w:w="4882" w:type="dxa"/>
                  <w:noWrap w:val="0"/>
                  <w:vAlign w:val="center"/>
                </w:tcPr>
                <w:p w14:paraId="5DF3A1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拟新增核素病房3中央</w:t>
                  </w:r>
                </w:p>
              </w:tc>
              <w:tc>
                <w:tcPr>
                  <w:tcW w:w="2137" w:type="dxa"/>
                  <w:noWrap w:val="0"/>
                  <w:vAlign w:val="center"/>
                </w:tcPr>
                <w:p w14:paraId="78596A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0.137</w:t>
                  </w:r>
                </w:p>
              </w:tc>
              <w:tc>
                <w:tcPr>
                  <w:tcW w:w="1430" w:type="dxa"/>
                  <w:noWrap w:val="0"/>
                  <w:vAlign w:val="center"/>
                </w:tcPr>
                <w:p w14:paraId="042A77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0AB1BE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63D7EB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4</w:t>
                  </w:r>
                </w:p>
              </w:tc>
              <w:tc>
                <w:tcPr>
                  <w:tcW w:w="4882" w:type="dxa"/>
                  <w:noWrap w:val="0"/>
                  <w:vAlign w:val="center"/>
                </w:tcPr>
                <w:p w14:paraId="6BA4CA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拟新增核素病房4中央</w:t>
                  </w:r>
                </w:p>
              </w:tc>
              <w:tc>
                <w:tcPr>
                  <w:tcW w:w="2137" w:type="dxa"/>
                  <w:noWrap w:val="0"/>
                  <w:vAlign w:val="center"/>
                </w:tcPr>
                <w:p w14:paraId="22232F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0.136</w:t>
                  </w:r>
                </w:p>
              </w:tc>
              <w:tc>
                <w:tcPr>
                  <w:tcW w:w="1430" w:type="dxa"/>
                  <w:noWrap w:val="0"/>
                  <w:vAlign w:val="center"/>
                </w:tcPr>
                <w:p w14:paraId="229C73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784621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72F946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5</w:t>
                  </w:r>
                </w:p>
              </w:tc>
              <w:tc>
                <w:tcPr>
                  <w:tcW w:w="4882" w:type="dxa"/>
                  <w:noWrap w:val="0"/>
                  <w:vAlign w:val="center"/>
                </w:tcPr>
                <w:p w14:paraId="30DBAB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拟新增核素病房5中央</w:t>
                  </w:r>
                </w:p>
              </w:tc>
              <w:tc>
                <w:tcPr>
                  <w:tcW w:w="2137" w:type="dxa"/>
                  <w:noWrap w:val="0"/>
                  <w:vAlign w:val="center"/>
                </w:tcPr>
                <w:p w14:paraId="7A6E7D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0.140</w:t>
                  </w:r>
                </w:p>
              </w:tc>
              <w:tc>
                <w:tcPr>
                  <w:tcW w:w="1430" w:type="dxa"/>
                  <w:noWrap w:val="0"/>
                  <w:vAlign w:val="center"/>
                </w:tcPr>
                <w:p w14:paraId="65C29F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7B603A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6C83E0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6</w:t>
                  </w:r>
                </w:p>
              </w:tc>
              <w:tc>
                <w:tcPr>
                  <w:tcW w:w="4882" w:type="dxa"/>
                  <w:noWrap w:val="0"/>
                  <w:vAlign w:val="center"/>
                </w:tcPr>
                <w:p w14:paraId="66BD31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拟新增核素病房6中央</w:t>
                  </w:r>
                </w:p>
              </w:tc>
              <w:tc>
                <w:tcPr>
                  <w:tcW w:w="2137" w:type="dxa"/>
                  <w:noWrap w:val="0"/>
                  <w:vAlign w:val="center"/>
                </w:tcPr>
                <w:p w14:paraId="0C42BD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0.141</w:t>
                  </w:r>
                </w:p>
              </w:tc>
              <w:tc>
                <w:tcPr>
                  <w:tcW w:w="1430" w:type="dxa"/>
                  <w:noWrap w:val="0"/>
                  <w:vAlign w:val="center"/>
                </w:tcPr>
                <w:p w14:paraId="0CE932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01D09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6E4B52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7</w:t>
                  </w:r>
                </w:p>
              </w:tc>
              <w:tc>
                <w:tcPr>
                  <w:tcW w:w="4882" w:type="dxa"/>
                  <w:noWrap w:val="0"/>
                  <w:vAlign w:val="center"/>
                </w:tcPr>
                <w:p w14:paraId="0A6786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拟新增核素病房7中央</w:t>
                  </w:r>
                </w:p>
              </w:tc>
              <w:tc>
                <w:tcPr>
                  <w:tcW w:w="2137" w:type="dxa"/>
                  <w:noWrap w:val="0"/>
                  <w:vAlign w:val="center"/>
                </w:tcPr>
                <w:p w14:paraId="53003B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0.134</w:t>
                  </w:r>
                </w:p>
              </w:tc>
              <w:tc>
                <w:tcPr>
                  <w:tcW w:w="1430" w:type="dxa"/>
                  <w:noWrap w:val="0"/>
                  <w:vAlign w:val="center"/>
                </w:tcPr>
                <w:p w14:paraId="25E187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43A2B6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232B99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8</w:t>
                  </w:r>
                </w:p>
              </w:tc>
              <w:tc>
                <w:tcPr>
                  <w:tcW w:w="4882" w:type="dxa"/>
                  <w:noWrap w:val="0"/>
                  <w:vAlign w:val="center"/>
                </w:tcPr>
                <w:p w14:paraId="7B8452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拟新增核素病房8中央</w:t>
                  </w:r>
                </w:p>
              </w:tc>
              <w:tc>
                <w:tcPr>
                  <w:tcW w:w="2137" w:type="dxa"/>
                  <w:noWrap w:val="0"/>
                  <w:vAlign w:val="center"/>
                </w:tcPr>
                <w:p w14:paraId="4F9318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0.128</w:t>
                  </w:r>
                </w:p>
              </w:tc>
              <w:tc>
                <w:tcPr>
                  <w:tcW w:w="1430" w:type="dxa"/>
                  <w:noWrap w:val="0"/>
                  <w:vAlign w:val="center"/>
                </w:tcPr>
                <w:p w14:paraId="7A20BB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7E8A2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3A5E0F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9</w:t>
                  </w:r>
                </w:p>
              </w:tc>
              <w:tc>
                <w:tcPr>
                  <w:tcW w:w="4882" w:type="dxa"/>
                  <w:noWrap w:val="0"/>
                  <w:vAlign w:val="center"/>
                </w:tcPr>
                <w:p w14:paraId="40BAEC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拟新增核素病房9中央</w:t>
                  </w:r>
                </w:p>
              </w:tc>
              <w:tc>
                <w:tcPr>
                  <w:tcW w:w="2137" w:type="dxa"/>
                  <w:noWrap w:val="0"/>
                  <w:vAlign w:val="center"/>
                </w:tcPr>
                <w:p w14:paraId="1DF97B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0.128</w:t>
                  </w:r>
                </w:p>
              </w:tc>
              <w:tc>
                <w:tcPr>
                  <w:tcW w:w="1430" w:type="dxa"/>
                  <w:noWrap w:val="0"/>
                  <w:vAlign w:val="center"/>
                </w:tcPr>
                <w:p w14:paraId="0BD352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36A4A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500952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10</w:t>
                  </w:r>
                </w:p>
              </w:tc>
              <w:tc>
                <w:tcPr>
                  <w:tcW w:w="4882" w:type="dxa"/>
                  <w:noWrap w:val="0"/>
                  <w:vAlign w:val="center"/>
                </w:tcPr>
                <w:p w14:paraId="36F62F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分碘室中央</w:t>
                  </w:r>
                </w:p>
              </w:tc>
              <w:tc>
                <w:tcPr>
                  <w:tcW w:w="2137" w:type="dxa"/>
                  <w:noWrap w:val="0"/>
                  <w:vAlign w:val="center"/>
                </w:tcPr>
                <w:p w14:paraId="6D23E1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0.133</w:t>
                  </w:r>
                </w:p>
              </w:tc>
              <w:tc>
                <w:tcPr>
                  <w:tcW w:w="1430" w:type="dxa"/>
                  <w:noWrap w:val="0"/>
                  <w:vAlign w:val="center"/>
                </w:tcPr>
                <w:p w14:paraId="154912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3B1140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0E13E9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11</w:t>
                  </w:r>
                </w:p>
              </w:tc>
              <w:tc>
                <w:tcPr>
                  <w:tcW w:w="4882" w:type="dxa"/>
                  <w:noWrap w:val="0"/>
                  <w:vAlign w:val="center"/>
                </w:tcPr>
                <w:p w14:paraId="35A317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服碘室中央</w:t>
                  </w:r>
                </w:p>
              </w:tc>
              <w:tc>
                <w:tcPr>
                  <w:tcW w:w="2137" w:type="dxa"/>
                  <w:noWrap w:val="0"/>
                  <w:vAlign w:val="center"/>
                </w:tcPr>
                <w:p w14:paraId="3012BF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0.129</w:t>
                  </w:r>
                </w:p>
              </w:tc>
              <w:tc>
                <w:tcPr>
                  <w:tcW w:w="1430" w:type="dxa"/>
                  <w:noWrap w:val="0"/>
                  <w:vAlign w:val="center"/>
                </w:tcPr>
                <w:p w14:paraId="30B998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C7342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73347A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12</w:t>
                  </w:r>
                </w:p>
              </w:tc>
              <w:tc>
                <w:tcPr>
                  <w:tcW w:w="4882" w:type="dxa"/>
                  <w:noWrap w:val="0"/>
                  <w:vAlign w:val="center"/>
                </w:tcPr>
                <w:p w14:paraId="33224A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注射室中央</w:t>
                  </w:r>
                </w:p>
              </w:tc>
              <w:tc>
                <w:tcPr>
                  <w:tcW w:w="2137" w:type="dxa"/>
                  <w:noWrap w:val="0"/>
                  <w:vAlign w:val="center"/>
                </w:tcPr>
                <w:p w14:paraId="5B5A1A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0.145</w:t>
                  </w:r>
                </w:p>
              </w:tc>
              <w:tc>
                <w:tcPr>
                  <w:tcW w:w="1430" w:type="dxa"/>
                  <w:noWrap w:val="0"/>
                  <w:vAlign w:val="center"/>
                </w:tcPr>
                <w:p w14:paraId="0542ED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2E5CC5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7E0F34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13</w:t>
                  </w:r>
                </w:p>
              </w:tc>
              <w:tc>
                <w:tcPr>
                  <w:tcW w:w="4882" w:type="dxa"/>
                  <w:noWrap w:val="0"/>
                  <w:vAlign w:val="center"/>
                </w:tcPr>
                <w:p w14:paraId="72C1D1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核素治疗区活动大厅中央</w:t>
                  </w:r>
                </w:p>
              </w:tc>
              <w:tc>
                <w:tcPr>
                  <w:tcW w:w="2137" w:type="dxa"/>
                  <w:noWrap w:val="0"/>
                  <w:vAlign w:val="center"/>
                </w:tcPr>
                <w:p w14:paraId="40A24D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0.127</w:t>
                  </w:r>
                </w:p>
              </w:tc>
              <w:tc>
                <w:tcPr>
                  <w:tcW w:w="1430" w:type="dxa"/>
                  <w:noWrap w:val="0"/>
                  <w:vAlign w:val="center"/>
                </w:tcPr>
                <w:p w14:paraId="35A884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4C4FA9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4FF4FE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14</w:t>
                  </w:r>
                </w:p>
              </w:tc>
              <w:tc>
                <w:tcPr>
                  <w:tcW w:w="4882" w:type="dxa"/>
                  <w:noWrap w:val="0"/>
                  <w:vAlign w:val="center"/>
                </w:tcPr>
                <w:p w14:paraId="085863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现有核素病房患者通道中央1#</w:t>
                  </w:r>
                </w:p>
              </w:tc>
              <w:tc>
                <w:tcPr>
                  <w:tcW w:w="2137" w:type="dxa"/>
                  <w:noWrap w:val="0"/>
                  <w:vAlign w:val="center"/>
                </w:tcPr>
                <w:p w14:paraId="76F0BE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0.142</w:t>
                  </w:r>
                </w:p>
              </w:tc>
              <w:tc>
                <w:tcPr>
                  <w:tcW w:w="1430" w:type="dxa"/>
                  <w:noWrap w:val="0"/>
                  <w:vAlign w:val="center"/>
                </w:tcPr>
                <w:p w14:paraId="44298D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568B2F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3375A8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15</w:t>
                  </w:r>
                </w:p>
              </w:tc>
              <w:tc>
                <w:tcPr>
                  <w:tcW w:w="4882" w:type="dxa"/>
                  <w:noWrap w:val="0"/>
                  <w:vAlign w:val="center"/>
                </w:tcPr>
                <w:p w14:paraId="1A6771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现有核素病房患者通道中央2#</w:t>
                  </w:r>
                </w:p>
              </w:tc>
              <w:tc>
                <w:tcPr>
                  <w:tcW w:w="2137" w:type="dxa"/>
                  <w:noWrap w:val="0"/>
                  <w:vAlign w:val="center"/>
                </w:tcPr>
                <w:p w14:paraId="023BA8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0.145</w:t>
                  </w:r>
                </w:p>
              </w:tc>
              <w:tc>
                <w:tcPr>
                  <w:tcW w:w="1430" w:type="dxa"/>
                  <w:noWrap w:val="0"/>
                  <w:vAlign w:val="center"/>
                </w:tcPr>
                <w:p w14:paraId="3E5DB2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3389BE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62AD71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16</w:t>
                  </w:r>
                </w:p>
              </w:tc>
              <w:tc>
                <w:tcPr>
                  <w:tcW w:w="4882" w:type="dxa"/>
                  <w:noWrap w:val="0"/>
                  <w:vAlign w:val="center"/>
                </w:tcPr>
                <w:p w14:paraId="200D22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现有核素病房患者通道中央3#</w:t>
                  </w:r>
                </w:p>
              </w:tc>
              <w:tc>
                <w:tcPr>
                  <w:tcW w:w="2137" w:type="dxa"/>
                  <w:noWrap w:val="0"/>
                  <w:vAlign w:val="center"/>
                </w:tcPr>
                <w:p w14:paraId="32D3C3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0.152</w:t>
                  </w:r>
                </w:p>
              </w:tc>
              <w:tc>
                <w:tcPr>
                  <w:tcW w:w="1430" w:type="dxa"/>
                  <w:noWrap w:val="0"/>
                  <w:vAlign w:val="center"/>
                </w:tcPr>
                <w:p w14:paraId="584A9E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3DE18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012EB8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17</w:t>
                  </w:r>
                </w:p>
              </w:tc>
              <w:tc>
                <w:tcPr>
                  <w:tcW w:w="4882" w:type="dxa"/>
                  <w:noWrap w:val="0"/>
                  <w:vAlign w:val="center"/>
                </w:tcPr>
                <w:p w14:paraId="7B25F5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北侧患者通道中央1#</w:t>
                  </w:r>
                </w:p>
              </w:tc>
              <w:tc>
                <w:tcPr>
                  <w:tcW w:w="2137" w:type="dxa"/>
                  <w:noWrap w:val="0"/>
                  <w:vAlign w:val="center"/>
                </w:tcPr>
                <w:p w14:paraId="00C4B5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0.152</w:t>
                  </w:r>
                </w:p>
              </w:tc>
              <w:tc>
                <w:tcPr>
                  <w:tcW w:w="1430" w:type="dxa"/>
                  <w:noWrap w:val="0"/>
                  <w:vAlign w:val="center"/>
                </w:tcPr>
                <w:p w14:paraId="0DFC1E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2CCFA6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58E885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18</w:t>
                  </w:r>
                </w:p>
              </w:tc>
              <w:tc>
                <w:tcPr>
                  <w:tcW w:w="4882" w:type="dxa"/>
                  <w:noWrap w:val="0"/>
                  <w:vAlign w:val="center"/>
                </w:tcPr>
                <w:p w14:paraId="362994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北侧患者通道中央2#</w:t>
                  </w:r>
                </w:p>
              </w:tc>
              <w:tc>
                <w:tcPr>
                  <w:tcW w:w="2137" w:type="dxa"/>
                  <w:noWrap w:val="0"/>
                  <w:vAlign w:val="center"/>
                </w:tcPr>
                <w:p w14:paraId="6AF978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0.144</w:t>
                  </w:r>
                </w:p>
              </w:tc>
              <w:tc>
                <w:tcPr>
                  <w:tcW w:w="1430" w:type="dxa"/>
                  <w:noWrap w:val="0"/>
                  <w:vAlign w:val="center"/>
                </w:tcPr>
                <w:p w14:paraId="60E0BC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A2E16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40DFCD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19</w:t>
                  </w:r>
                </w:p>
              </w:tc>
              <w:tc>
                <w:tcPr>
                  <w:tcW w:w="4882" w:type="dxa"/>
                  <w:noWrap w:val="0"/>
                  <w:vAlign w:val="center"/>
                </w:tcPr>
                <w:p w14:paraId="127DBC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北侧患者通道中央3#</w:t>
                  </w:r>
                </w:p>
              </w:tc>
              <w:tc>
                <w:tcPr>
                  <w:tcW w:w="2137" w:type="dxa"/>
                  <w:noWrap w:val="0"/>
                  <w:vAlign w:val="center"/>
                </w:tcPr>
                <w:p w14:paraId="60D14A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0.137</w:t>
                  </w:r>
                </w:p>
              </w:tc>
              <w:tc>
                <w:tcPr>
                  <w:tcW w:w="1430" w:type="dxa"/>
                  <w:noWrap w:val="0"/>
                  <w:vAlign w:val="center"/>
                </w:tcPr>
                <w:p w14:paraId="10A67E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313FCE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32C227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20</w:t>
                  </w:r>
                </w:p>
              </w:tc>
              <w:tc>
                <w:tcPr>
                  <w:tcW w:w="4882" w:type="dxa"/>
                  <w:noWrap w:val="0"/>
                  <w:vAlign w:val="center"/>
                </w:tcPr>
                <w:p w14:paraId="7A9E7A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南侧患者通道中央1#</w:t>
                  </w:r>
                </w:p>
              </w:tc>
              <w:tc>
                <w:tcPr>
                  <w:tcW w:w="2137" w:type="dxa"/>
                  <w:noWrap w:val="0"/>
                  <w:vAlign w:val="center"/>
                </w:tcPr>
                <w:p w14:paraId="2F9BC7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0.139</w:t>
                  </w:r>
                </w:p>
              </w:tc>
              <w:tc>
                <w:tcPr>
                  <w:tcW w:w="1430" w:type="dxa"/>
                  <w:noWrap w:val="0"/>
                  <w:vAlign w:val="center"/>
                </w:tcPr>
                <w:p w14:paraId="3C7B08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1FE313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4B868D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21</w:t>
                  </w:r>
                </w:p>
              </w:tc>
              <w:tc>
                <w:tcPr>
                  <w:tcW w:w="4882" w:type="dxa"/>
                  <w:noWrap w:val="0"/>
                  <w:vAlign w:val="center"/>
                </w:tcPr>
                <w:p w14:paraId="24289E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南侧患者通道中央2#</w:t>
                  </w:r>
                </w:p>
              </w:tc>
              <w:tc>
                <w:tcPr>
                  <w:tcW w:w="2137" w:type="dxa"/>
                  <w:noWrap w:val="0"/>
                  <w:vAlign w:val="center"/>
                </w:tcPr>
                <w:p w14:paraId="3DB5CE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0.141</w:t>
                  </w:r>
                </w:p>
              </w:tc>
              <w:tc>
                <w:tcPr>
                  <w:tcW w:w="1430" w:type="dxa"/>
                  <w:noWrap w:val="0"/>
                  <w:vAlign w:val="center"/>
                </w:tcPr>
                <w:p w14:paraId="6AD3F5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31B2BD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198" w:type="dxa"/>
                  <w:gridSpan w:val="4"/>
                  <w:noWrap w:val="0"/>
                  <w:vAlign w:val="center"/>
                </w:tcPr>
                <w:p w14:paraId="14B7A9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核医学楼二层</w:t>
                  </w:r>
                </w:p>
              </w:tc>
            </w:tr>
            <w:tr w14:paraId="4B76F4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199F84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22</w:t>
                  </w:r>
                </w:p>
              </w:tc>
              <w:tc>
                <w:tcPr>
                  <w:tcW w:w="4882" w:type="dxa"/>
                  <w:noWrap w:val="0"/>
                  <w:vAlign w:val="center"/>
                </w:tcPr>
                <w:p w14:paraId="1FFD61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注射室1中央</w:t>
                  </w:r>
                </w:p>
              </w:tc>
              <w:tc>
                <w:tcPr>
                  <w:tcW w:w="2137" w:type="dxa"/>
                  <w:noWrap w:val="0"/>
                  <w:vAlign w:val="center"/>
                </w:tcPr>
                <w:p w14:paraId="6E664B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0.122</w:t>
                  </w:r>
                </w:p>
              </w:tc>
              <w:tc>
                <w:tcPr>
                  <w:tcW w:w="1430" w:type="dxa"/>
                  <w:noWrap w:val="0"/>
                  <w:vAlign w:val="center"/>
                </w:tcPr>
                <w:p w14:paraId="349A9F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233F3F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137B8D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23</w:t>
                  </w:r>
                </w:p>
              </w:tc>
              <w:tc>
                <w:tcPr>
                  <w:tcW w:w="4882" w:type="dxa"/>
                  <w:noWrap w:val="0"/>
                  <w:vAlign w:val="center"/>
                </w:tcPr>
                <w:p w14:paraId="00572A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注射室2中央</w:t>
                  </w:r>
                </w:p>
              </w:tc>
              <w:tc>
                <w:tcPr>
                  <w:tcW w:w="2137" w:type="dxa"/>
                  <w:noWrap w:val="0"/>
                  <w:vAlign w:val="center"/>
                </w:tcPr>
                <w:p w14:paraId="49F18E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0.125</w:t>
                  </w:r>
                </w:p>
              </w:tc>
              <w:tc>
                <w:tcPr>
                  <w:tcW w:w="1430" w:type="dxa"/>
                  <w:noWrap w:val="0"/>
                  <w:vAlign w:val="center"/>
                </w:tcPr>
                <w:p w14:paraId="61E4D7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1FD437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13E1AB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24</w:t>
                  </w:r>
                </w:p>
              </w:tc>
              <w:tc>
                <w:tcPr>
                  <w:tcW w:w="4882" w:type="dxa"/>
                  <w:noWrap w:val="0"/>
                  <w:vAlign w:val="center"/>
                </w:tcPr>
                <w:p w14:paraId="3FFB61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PET候诊大厅中央</w:t>
                  </w:r>
                </w:p>
              </w:tc>
              <w:tc>
                <w:tcPr>
                  <w:tcW w:w="2137" w:type="dxa"/>
                  <w:noWrap w:val="0"/>
                  <w:vAlign w:val="center"/>
                </w:tcPr>
                <w:p w14:paraId="72A9B4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0.123</w:t>
                  </w:r>
                </w:p>
              </w:tc>
              <w:tc>
                <w:tcPr>
                  <w:tcW w:w="1430" w:type="dxa"/>
                  <w:noWrap w:val="0"/>
                  <w:vAlign w:val="center"/>
                </w:tcPr>
                <w:p w14:paraId="1C1D62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735415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31F94D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25</w:t>
                  </w:r>
                </w:p>
              </w:tc>
              <w:tc>
                <w:tcPr>
                  <w:tcW w:w="4882" w:type="dxa"/>
                  <w:noWrap w:val="0"/>
                  <w:vAlign w:val="center"/>
                </w:tcPr>
                <w:p w14:paraId="628F04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北侧患者通道中央1#</w:t>
                  </w:r>
                </w:p>
              </w:tc>
              <w:tc>
                <w:tcPr>
                  <w:tcW w:w="2137" w:type="dxa"/>
                  <w:noWrap w:val="0"/>
                  <w:vAlign w:val="center"/>
                </w:tcPr>
                <w:p w14:paraId="1523B0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0.120</w:t>
                  </w:r>
                </w:p>
              </w:tc>
              <w:tc>
                <w:tcPr>
                  <w:tcW w:w="1430" w:type="dxa"/>
                  <w:noWrap w:val="0"/>
                  <w:vAlign w:val="center"/>
                </w:tcPr>
                <w:p w14:paraId="1E55DB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5F086C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330D4C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26</w:t>
                  </w:r>
                </w:p>
              </w:tc>
              <w:tc>
                <w:tcPr>
                  <w:tcW w:w="4882" w:type="dxa"/>
                  <w:noWrap w:val="0"/>
                  <w:vAlign w:val="center"/>
                </w:tcPr>
                <w:p w14:paraId="7D7778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北侧患者通道中央2#</w:t>
                  </w:r>
                </w:p>
              </w:tc>
              <w:tc>
                <w:tcPr>
                  <w:tcW w:w="2137" w:type="dxa"/>
                  <w:noWrap w:val="0"/>
                  <w:vAlign w:val="center"/>
                </w:tcPr>
                <w:p w14:paraId="0D613E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0.121</w:t>
                  </w:r>
                </w:p>
              </w:tc>
              <w:tc>
                <w:tcPr>
                  <w:tcW w:w="1430" w:type="dxa"/>
                  <w:noWrap w:val="0"/>
                  <w:vAlign w:val="center"/>
                </w:tcPr>
                <w:p w14:paraId="780A75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7A3C84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0F8CDA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27</w:t>
                  </w:r>
                </w:p>
              </w:tc>
              <w:tc>
                <w:tcPr>
                  <w:tcW w:w="4882" w:type="dxa"/>
                  <w:noWrap w:val="0"/>
                  <w:vAlign w:val="center"/>
                </w:tcPr>
                <w:p w14:paraId="0A3353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东侧过道中央1#</w:t>
                  </w:r>
                </w:p>
              </w:tc>
              <w:tc>
                <w:tcPr>
                  <w:tcW w:w="2137" w:type="dxa"/>
                  <w:noWrap w:val="0"/>
                  <w:vAlign w:val="center"/>
                </w:tcPr>
                <w:p w14:paraId="1D1CF2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0.111</w:t>
                  </w:r>
                </w:p>
              </w:tc>
              <w:tc>
                <w:tcPr>
                  <w:tcW w:w="1430" w:type="dxa"/>
                  <w:noWrap w:val="0"/>
                  <w:vAlign w:val="center"/>
                </w:tcPr>
                <w:p w14:paraId="3C6CC7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4B9538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4C38D5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28</w:t>
                  </w:r>
                </w:p>
              </w:tc>
              <w:tc>
                <w:tcPr>
                  <w:tcW w:w="4882" w:type="dxa"/>
                  <w:noWrap w:val="0"/>
                  <w:vAlign w:val="center"/>
                </w:tcPr>
                <w:p w14:paraId="6E3A70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东侧过道中央2#</w:t>
                  </w:r>
                </w:p>
              </w:tc>
              <w:tc>
                <w:tcPr>
                  <w:tcW w:w="2137" w:type="dxa"/>
                  <w:noWrap w:val="0"/>
                  <w:vAlign w:val="center"/>
                </w:tcPr>
                <w:p w14:paraId="3817FB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0.122</w:t>
                  </w:r>
                </w:p>
              </w:tc>
              <w:tc>
                <w:tcPr>
                  <w:tcW w:w="1430" w:type="dxa"/>
                  <w:noWrap w:val="0"/>
                  <w:vAlign w:val="center"/>
                </w:tcPr>
                <w:p w14:paraId="7764C7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E642D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49" w:type="dxa"/>
                  <w:noWrap w:val="0"/>
                  <w:vAlign w:val="center"/>
                </w:tcPr>
                <w:p w14:paraId="6F27C5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29</w:t>
                  </w:r>
                </w:p>
              </w:tc>
              <w:tc>
                <w:tcPr>
                  <w:tcW w:w="4882" w:type="dxa"/>
                  <w:noWrap w:val="0"/>
                  <w:vAlign w:val="center"/>
                </w:tcPr>
                <w:p w14:paraId="74CF40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南侧患者通道中央1#</w:t>
                  </w:r>
                </w:p>
              </w:tc>
              <w:tc>
                <w:tcPr>
                  <w:tcW w:w="2137" w:type="dxa"/>
                  <w:noWrap w:val="0"/>
                  <w:vAlign w:val="center"/>
                </w:tcPr>
                <w:p w14:paraId="0DF562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0.122</w:t>
                  </w:r>
                </w:p>
              </w:tc>
              <w:tc>
                <w:tcPr>
                  <w:tcW w:w="1430" w:type="dxa"/>
                  <w:noWrap w:val="0"/>
                  <w:vAlign w:val="center"/>
                </w:tcPr>
                <w:p w14:paraId="03FAE2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1E21A2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17CB7B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30</w:t>
                  </w:r>
                </w:p>
              </w:tc>
              <w:tc>
                <w:tcPr>
                  <w:tcW w:w="4882" w:type="dxa"/>
                  <w:noWrap w:val="0"/>
                  <w:vAlign w:val="center"/>
                </w:tcPr>
                <w:p w14:paraId="1ABABF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南侧患者通道中央2#</w:t>
                  </w:r>
                </w:p>
              </w:tc>
              <w:tc>
                <w:tcPr>
                  <w:tcW w:w="2137" w:type="dxa"/>
                  <w:noWrap w:val="0"/>
                  <w:vAlign w:val="center"/>
                </w:tcPr>
                <w:p w14:paraId="61E3F9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0.124</w:t>
                  </w:r>
                </w:p>
              </w:tc>
              <w:tc>
                <w:tcPr>
                  <w:tcW w:w="1430" w:type="dxa"/>
                  <w:noWrap w:val="0"/>
                  <w:vAlign w:val="center"/>
                </w:tcPr>
                <w:p w14:paraId="7654EB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07DF50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198" w:type="dxa"/>
                  <w:gridSpan w:val="4"/>
                  <w:noWrap w:val="0"/>
                  <w:vAlign w:val="center"/>
                </w:tcPr>
                <w:p w14:paraId="1ED1E9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核医学楼一层</w:t>
                  </w:r>
                </w:p>
              </w:tc>
            </w:tr>
            <w:tr w14:paraId="2A92E2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5A9A00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31</w:t>
                  </w:r>
                </w:p>
              </w:tc>
              <w:tc>
                <w:tcPr>
                  <w:tcW w:w="4882" w:type="dxa"/>
                  <w:noWrap w:val="0"/>
                  <w:vAlign w:val="center"/>
                </w:tcPr>
                <w:p w14:paraId="12F11D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分碘室（</w:t>
                  </w:r>
                  <w:r>
                    <w:rPr>
                      <w:rFonts w:hint="default" w:ascii="Times New Roman" w:hAnsi="Times New Roman" w:eastAsia="宋体" w:cs="Times New Roman"/>
                      <w:b w:val="0"/>
                      <w:bCs/>
                      <w:color w:val="auto"/>
                      <w:sz w:val="21"/>
                      <w:szCs w:val="21"/>
                      <w:lang w:val="en-US" w:eastAsia="zh-CN"/>
                    </w:rPr>
                    <w:t>注射室1</w:t>
                  </w:r>
                  <w:r>
                    <w:rPr>
                      <w:rFonts w:hint="eastAsia" w:ascii="Times New Roman" w:hAnsi="Times New Roman" w:eastAsia="宋体" w:cs="Times New Roman"/>
                      <w:b w:val="0"/>
                      <w:bCs/>
                      <w:color w:val="auto"/>
                      <w:sz w:val="21"/>
                      <w:szCs w:val="21"/>
                      <w:lang w:val="en-US" w:eastAsia="zh-CN"/>
                    </w:rPr>
                    <w:t>）</w:t>
                  </w:r>
                  <w:r>
                    <w:rPr>
                      <w:rFonts w:hint="default" w:ascii="Times New Roman" w:hAnsi="Times New Roman" w:eastAsia="宋体" w:cs="Times New Roman"/>
                      <w:b w:val="0"/>
                      <w:bCs/>
                      <w:color w:val="auto"/>
                      <w:sz w:val="21"/>
                      <w:szCs w:val="21"/>
                      <w:lang w:val="en-US" w:eastAsia="zh-CN"/>
                    </w:rPr>
                    <w:t>中央</w:t>
                  </w:r>
                </w:p>
              </w:tc>
              <w:tc>
                <w:tcPr>
                  <w:tcW w:w="2137" w:type="dxa"/>
                  <w:noWrap w:val="0"/>
                  <w:vAlign w:val="center"/>
                </w:tcPr>
                <w:p w14:paraId="7A42A4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0.123</w:t>
                  </w:r>
                </w:p>
              </w:tc>
              <w:tc>
                <w:tcPr>
                  <w:tcW w:w="1430" w:type="dxa"/>
                  <w:noWrap w:val="0"/>
                  <w:vAlign w:val="center"/>
                </w:tcPr>
                <w:p w14:paraId="7FF68D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1C20E6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454E17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32</w:t>
                  </w:r>
                </w:p>
              </w:tc>
              <w:tc>
                <w:tcPr>
                  <w:tcW w:w="4882" w:type="dxa"/>
                  <w:noWrap w:val="0"/>
                  <w:vAlign w:val="center"/>
                </w:tcPr>
                <w:p w14:paraId="5CF725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注射室2中央</w:t>
                  </w:r>
                </w:p>
              </w:tc>
              <w:tc>
                <w:tcPr>
                  <w:tcW w:w="2137" w:type="dxa"/>
                  <w:noWrap w:val="0"/>
                  <w:vAlign w:val="center"/>
                </w:tcPr>
                <w:p w14:paraId="306D4D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0.119</w:t>
                  </w:r>
                </w:p>
              </w:tc>
              <w:tc>
                <w:tcPr>
                  <w:tcW w:w="1430" w:type="dxa"/>
                  <w:noWrap w:val="0"/>
                  <w:vAlign w:val="center"/>
                </w:tcPr>
                <w:p w14:paraId="750020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1226CE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35EEB9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33</w:t>
                  </w:r>
                </w:p>
              </w:tc>
              <w:tc>
                <w:tcPr>
                  <w:tcW w:w="4882" w:type="dxa"/>
                  <w:noWrap w:val="0"/>
                  <w:vAlign w:val="center"/>
                </w:tcPr>
                <w:p w14:paraId="3D8588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SPECT候诊大厅中央</w:t>
                  </w:r>
                </w:p>
              </w:tc>
              <w:tc>
                <w:tcPr>
                  <w:tcW w:w="2137" w:type="dxa"/>
                  <w:noWrap w:val="0"/>
                  <w:vAlign w:val="center"/>
                </w:tcPr>
                <w:p w14:paraId="530A8B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0.120</w:t>
                  </w:r>
                </w:p>
              </w:tc>
              <w:tc>
                <w:tcPr>
                  <w:tcW w:w="1430" w:type="dxa"/>
                  <w:noWrap w:val="0"/>
                  <w:vAlign w:val="center"/>
                </w:tcPr>
                <w:p w14:paraId="5AC782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7FE998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4CC92B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34</w:t>
                  </w:r>
                </w:p>
              </w:tc>
              <w:tc>
                <w:tcPr>
                  <w:tcW w:w="4882" w:type="dxa"/>
                  <w:noWrap w:val="0"/>
                  <w:vAlign w:val="center"/>
                </w:tcPr>
                <w:p w14:paraId="169615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北侧患者通道中央</w:t>
                  </w:r>
                </w:p>
              </w:tc>
              <w:tc>
                <w:tcPr>
                  <w:tcW w:w="2137" w:type="dxa"/>
                  <w:noWrap w:val="0"/>
                  <w:vAlign w:val="center"/>
                </w:tcPr>
                <w:p w14:paraId="7094B2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0.122</w:t>
                  </w:r>
                </w:p>
              </w:tc>
              <w:tc>
                <w:tcPr>
                  <w:tcW w:w="1430" w:type="dxa"/>
                  <w:noWrap w:val="0"/>
                  <w:vAlign w:val="center"/>
                </w:tcPr>
                <w:p w14:paraId="10A3D3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20E250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1A3264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35</w:t>
                  </w:r>
                </w:p>
              </w:tc>
              <w:tc>
                <w:tcPr>
                  <w:tcW w:w="4882" w:type="dxa"/>
                  <w:noWrap w:val="0"/>
                  <w:vAlign w:val="center"/>
                </w:tcPr>
                <w:p w14:paraId="5050C0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东侧过道中央</w:t>
                  </w:r>
                </w:p>
              </w:tc>
              <w:tc>
                <w:tcPr>
                  <w:tcW w:w="2137" w:type="dxa"/>
                  <w:noWrap w:val="0"/>
                  <w:vAlign w:val="center"/>
                </w:tcPr>
                <w:p w14:paraId="09F92D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0.123</w:t>
                  </w:r>
                </w:p>
              </w:tc>
              <w:tc>
                <w:tcPr>
                  <w:tcW w:w="1430" w:type="dxa"/>
                  <w:noWrap w:val="0"/>
                  <w:vAlign w:val="center"/>
                </w:tcPr>
                <w:p w14:paraId="5C7450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1193F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1A79AB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36</w:t>
                  </w:r>
                </w:p>
              </w:tc>
              <w:tc>
                <w:tcPr>
                  <w:tcW w:w="4882" w:type="dxa"/>
                  <w:noWrap w:val="0"/>
                  <w:vAlign w:val="center"/>
                </w:tcPr>
                <w:p w14:paraId="48D883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南侧患者通道中央</w:t>
                  </w:r>
                </w:p>
              </w:tc>
              <w:tc>
                <w:tcPr>
                  <w:tcW w:w="2137" w:type="dxa"/>
                  <w:noWrap w:val="0"/>
                  <w:vAlign w:val="center"/>
                </w:tcPr>
                <w:p w14:paraId="287635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0.126</w:t>
                  </w:r>
                </w:p>
              </w:tc>
              <w:tc>
                <w:tcPr>
                  <w:tcW w:w="1430" w:type="dxa"/>
                  <w:noWrap w:val="0"/>
                  <w:vAlign w:val="center"/>
                </w:tcPr>
                <w:p w14:paraId="5C3D0B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7A2BB0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59D2B7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37</w:t>
                  </w:r>
                </w:p>
              </w:tc>
              <w:tc>
                <w:tcPr>
                  <w:tcW w:w="4882" w:type="dxa"/>
                  <w:noWrap w:val="0"/>
                  <w:vAlign w:val="center"/>
                </w:tcPr>
                <w:p w14:paraId="7B9491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医护通道通道中央</w:t>
                  </w:r>
                </w:p>
              </w:tc>
              <w:tc>
                <w:tcPr>
                  <w:tcW w:w="2137" w:type="dxa"/>
                  <w:noWrap w:val="0"/>
                  <w:vAlign w:val="center"/>
                </w:tcPr>
                <w:p w14:paraId="3C46A0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0.126</w:t>
                  </w:r>
                </w:p>
              </w:tc>
              <w:tc>
                <w:tcPr>
                  <w:tcW w:w="1430" w:type="dxa"/>
                  <w:noWrap w:val="0"/>
                  <w:vAlign w:val="center"/>
                </w:tcPr>
                <w:p w14:paraId="7E85E6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24D535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198" w:type="dxa"/>
                  <w:gridSpan w:val="4"/>
                  <w:noWrap w:val="0"/>
                  <w:vAlign w:val="center"/>
                </w:tcPr>
                <w:p w14:paraId="1159CB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核医学楼负一层</w:t>
                  </w:r>
                </w:p>
              </w:tc>
            </w:tr>
            <w:tr w14:paraId="625B8C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749" w:type="dxa"/>
                  <w:noWrap w:val="0"/>
                  <w:vAlign w:val="center"/>
                </w:tcPr>
                <w:p w14:paraId="189D96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38</w:t>
                  </w:r>
                </w:p>
              </w:tc>
              <w:tc>
                <w:tcPr>
                  <w:tcW w:w="4882" w:type="dxa"/>
                  <w:noWrap w:val="0"/>
                  <w:vAlign w:val="center"/>
                </w:tcPr>
                <w:p w14:paraId="297E3D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回旋加速器室中央</w:t>
                  </w:r>
                </w:p>
              </w:tc>
              <w:tc>
                <w:tcPr>
                  <w:tcW w:w="2137" w:type="dxa"/>
                  <w:noWrap w:val="0"/>
                  <w:vAlign w:val="center"/>
                </w:tcPr>
                <w:p w14:paraId="4E2194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0.112</w:t>
                  </w:r>
                </w:p>
              </w:tc>
              <w:tc>
                <w:tcPr>
                  <w:tcW w:w="1430" w:type="dxa"/>
                  <w:noWrap w:val="0"/>
                  <w:vAlign w:val="center"/>
                </w:tcPr>
                <w:p w14:paraId="51C2D2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799AC6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2D469A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39</w:t>
                  </w:r>
                </w:p>
              </w:tc>
              <w:tc>
                <w:tcPr>
                  <w:tcW w:w="4882" w:type="dxa"/>
                  <w:noWrap w:val="0"/>
                  <w:vAlign w:val="center"/>
                </w:tcPr>
                <w:p w14:paraId="007A8A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热室中央</w:t>
                  </w:r>
                </w:p>
              </w:tc>
              <w:tc>
                <w:tcPr>
                  <w:tcW w:w="2137" w:type="dxa"/>
                  <w:noWrap w:val="0"/>
                  <w:vAlign w:val="center"/>
                </w:tcPr>
                <w:p w14:paraId="2075B3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0.127</w:t>
                  </w:r>
                </w:p>
              </w:tc>
              <w:tc>
                <w:tcPr>
                  <w:tcW w:w="1430" w:type="dxa"/>
                  <w:noWrap w:val="0"/>
                  <w:vAlign w:val="center"/>
                </w:tcPr>
                <w:p w14:paraId="0EE49A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F60E2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7176D9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40</w:t>
                  </w:r>
                </w:p>
              </w:tc>
              <w:tc>
                <w:tcPr>
                  <w:tcW w:w="4882" w:type="dxa"/>
                  <w:noWrap w:val="0"/>
                  <w:vAlign w:val="center"/>
                </w:tcPr>
                <w:p w14:paraId="50A076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单光子药物生产车间中央</w:t>
                  </w:r>
                </w:p>
              </w:tc>
              <w:tc>
                <w:tcPr>
                  <w:tcW w:w="2137" w:type="dxa"/>
                  <w:noWrap w:val="0"/>
                  <w:vAlign w:val="center"/>
                </w:tcPr>
                <w:p w14:paraId="57797B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0.119</w:t>
                  </w:r>
                </w:p>
              </w:tc>
              <w:tc>
                <w:tcPr>
                  <w:tcW w:w="1430" w:type="dxa"/>
                  <w:noWrap w:val="0"/>
                  <w:vAlign w:val="center"/>
                </w:tcPr>
                <w:p w14:paraId="5238AC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258952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4F9E44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41</w:t>
                  </w:r>
                </w:p>
              </w:tc>
              <w:tc>
                <w:tcPr>
                  <w:tcW w:w="4882" w:type="dxa"/>
                  <w:noWrap w:val="0"/>
                  <w:vAlign w:val="center"/>
                </w:tcPr>
                <w:p w14:paraId="62EC9C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质控室中央</w:t>
                  </w:r>
                </w:p>
              </w:tc>
              <w:tc>
                <w:tcPr>
                  <w:tcW w:w="2137" w:type="dxa"/>
                  <w:noWrap w:val="0"/>
                  <w:vAlign w:val="center"/>
                </w:tcPr>
                <w:p w14:paraId="2155AF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0.127</w:t>
                  </w:r>
                </w:p>
              </w:tc>
              <w:tc>
                <w:tcPr>
                  <w:tcW w:w="1430" w:type="dxa"/>
                  <w:noWrap w:val="0"/>
                  <w:vAlign w:val="center"/>
                </w:tcPr>
                <w:p w14:paraId="299D93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2CCDEC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49" w:type="dxa"/>
                  <w:noWrap w:val="0"/>
                  <w:vAlign w:val="center"/>
                </w:tcPr>
                <w:p w14:paraId="2B582C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42</w:t>
                  </w:r>
                </w:p>
              </w:tc>
              <w:tc>
                <w:tcPr>
                  <w:tcW w:w="4882" w:type="dxa"/>
                  <w:noWrap w:val="0"/>
                  <w:vAlign w:val="center"/>
                </w:tcPr>
                <w:p w14:paraId="3C009D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北侧过道中央</w:t>
                  </w:r>
                </w:p>
              </w:tc>
              <w:tc>
                <w:tcPr>
                  <w:tcW w:w="2137" w:type="dxa"/>
                  <w:noWrap w:val="0"/>
                  <w:vAlign w:val="center"/>
                </w:tcPr>
                <w:p w14:paraId="2B9BB7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0.132</w:t>
                  </w:r>
                </w:p>
              </w:tc>
              <w:tc>
                <w:tcPr>
                  <w:tcW w:w="1430" w:type="dxa"/>
                  <w:noWrap w:val="0"/>
                  <w:vAlign w:val="center"/>
                </w:tcPr>
                <w:p w14:paraId="1F3AB4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32C7F1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4D9399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43</w:t>
                  </w:r>
                </w:p>
              </w:tc>
              <w:tc>
                <w:tcPr>
                  <w:tcW w:w="4882" w:type="dxa"/>
                  <w:noWrap w:val="0"/>
                  <w:vAlign w:val="center"/>
                </w:tcPr>
                <w:p w14:paraId="2D250B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东侧过道中央</w:t>
                  </w:r>
                </w:p>
              </w:tc>
              <w:tc>
                <w:tcPr>
                  <w:tcW w:w="2137" w:type="dxa"/>
                  <w:noWrap w:val="0"/>
                  <w:vAlign w:val="center"/>
                </w:tcPr>
                <w:p w14:paraId="162AE4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0.120</w:t>
                  </w:r>
                </w:p>
              </w:tc>
              <w:tc>
                <w:tcPr>
                  <w:tcW w:w="1430" w:type="dxa"/>
                  <w:noWrap w:val="0"/>
                  <w:vAlign w:val="center"/>
                </w:tcPr>
                <w:p w14:paraId="7721EB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528438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11D37D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44</w:t>
                  </w:r>
                </w:p>
              </w:tc>
              <w:tc>
                <w:tcPr>
                  <w:tcW w:w="4882" w:type="dxa"/>
                  <w:noWrap w:val="0"/>
                  <w:vAlign w:val="center"/>
                </w:tcPr>
                <w:p w14:paraId="4DDB47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南侧过道中央</w:t>
                  </w:r>
                </w:p>
              </w:tc>
              <w:tc>
                <w:tcPr>
                  <w:tcW w:w="2137" w:type="dxa"/>
                  <w:noWrap w:val="0"/>
                  <w:vAlign w:val="center"/>
                </w:tcPr>
                <w:p w14:paraId="646870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0.117</w:t>
                  </w:r>
                </w:p>
              </w:tc>
              <w:tc>
                <w:tcPr>
                  <w:tcW w:w="1430" w:type="dxa"/>
                  <w:noWrap w:val="0"/>
                  <w:vAlign w:val="center"/>
                </w:tcPr>
                <w:p w14:paraId="4233D7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CB2F4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54D421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45</w:t>
                  </w:r>
                </w:p>
              </w:tc>
              <w:tc>
                <w:tcPr>
                  <w:tcW w:w="4882" w:type="dxa"/>
                  <w:noWrap w:val="0"/>
                  <w:vAlign w:val="center"/>
                </w:tcPr>
                <w:p w14:paraId="6161E0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西侧过道中央</w:t>
                  </w:r>
                </w:p>
              </w:tc>
              <w:tc>
                <w:tcPr>
                  <w:tcW w:w="2137" w:type="dxa"/>
                  <w:noWrap w:val="0"/>
                  <w:vAlign w:val="center"/>
                </w:tcPr>
                <w:p w14:paraId="704001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0.111</w:t>
                  </w:r>
                </w:p>
              </w:tc>
              <w:tc>
                <w:tcPr>
                  <w:tcW w:w="1430" w:type="dxa"/>
                  <w:noWrap w:val="0"/>
                  <w:vAlign w:val="center"/>
                </w:tcPr>
                <w:p w14:paraId="57B76D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3AE151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9198" w:type="dxa"/>
                  <w:gridSpan w:val="4"/>
                  <w:noWrap w:val="0"/>
                  <w:vAlign w:val="center"/>
                </w:tcPr>
                <w:p w14:paraId="32FDAB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综合楼</w:t>
                  </w:r>
                </w:p>
              </w:tc>
            </w:tr>
            <w:tr w14:paraId="683950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66284A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46</w:t>
                  </w:r>
                </w:p>
              </w:tc>
              <w:tc>
                <w:tcPr>
                  <w:tcW w:w="4882" w:type="dxa"/>
                  <w:noWrap w:val="0"/>
                  <w:vAlign w:val="center"/>
                </w:tcPr>
                <w:p w14:paraId="274A1F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综合楼介入2室机房中央</w:t>
                  </w:r>
                </w:p>
              </w:tc>
              <w:tc>
                <w:tcPr>
                  <w:tcW w:w="2137" w:type="dxa"/>
                  <w:noWrap w:val="0"/>
                  <w:vAlign w:val="center"/>
                </w:tcPr>
                <w:p w14:paraId="102CC9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0.113</w:t>
                  </w:r>
                </w:p>
              </w:tc>
              <w:tc>
                <w:tcPr>
                  <w:tcW w:w="1430" w:type="dxa"/>
                  <w:noWrap w:val="0"/>
                  <w:vAlign w:val="center"/>
                </w:tcPr>
                <w:p w14:paraId="55616C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4C708D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2105F9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47</w:t>
                  </w:r>
                </w:p>
              </w:tc>
              <w:tc>
                <w:tcPr>
                  <w:tcW w:w="4882" w:type="dxa"/>
                  <w:noWrap w:val="0"/>
                  <w:vAlign w:val="center"/>
                </w:tcPr>
                <w:p w14:paraId="3B6D16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综合楼介入2室控制室中央</w:t>
                  </w:r>
                </w:p>
              </w:tc>
              <w:tc>
                <w:tcPr>
                  <w:tcW w:w="2137" w:type="dxa"/>
                  <w:noWrap w:val="0"/>
                  <w:vAlign w:val="center"/>
                </w:tcPr>
                <w:p w14:paraId="046EBA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0.110</w:t>
                  </w:r>
                </w:p>
              </w:tc>
              <w:tc>
                <w:tcPr>
                  <w:tcW w:w="1430" w:type="dxa"/>
                  <w:noWrap w:val="0"/>
                  <w:vAlign w:val="center"/>
                </w:tcPr>
                <w:p w14:paraId="40BC5C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452BF0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0C8B29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48</w:t>
                  </w:r>
                </w:p>
              </w:tc>
              <w:tc>
                <w:tcPr>
                  <w:tcW w:w="4882" w:type="dxa"/>
                  <w:noWrap w:val="0"/>
                  <w:vAlign w:val="center"/>
                </w:tcPr>
                <w:p w14:paraId="439145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综合楼介入2室患者通道中央</w:t>
                  </w:r>
                </w:p>
              </w:tc>
              <w:tc>
                <w:tcPr>
                  <w:tcW w:w="2137" w:type="dxa"/>
                  <w:noWrap w:val="0"/>
                  <w:vAlign w:val="center"/>
                </w:tcPr>
                <w:p w14:paraId="2F47C5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0.112</w:t>
                  </w:r>
                </w:p>
              </w:tc>
              <w:tc>
                <w:tcPr>
                  <w:tcW w:w="1430" w:type="dxa"/>
                  <w:noWrap w:val="0"/>
                  <w:vAlign w:val="center"/>
                </w:tcPr>
                <w:p w14:paraId="0E0823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4BAB8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26A1B3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49</w:t>
                  </w:r>
                </w:p>
              </w:tc>
              <w:tc>
                <w:tcPr>
                  <w:tcW w:w="4882" w:type="dxa"/>
                  <w:noWrap w:val="0"/>
                  <w:vAlign w:val="center"/>
                </w:tcPr>
                <w:p w14:paraId="6868E1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综合楼介入2室医护通道中央地面</w:t>
                  </w:r>
                </w:p>
              </w:tc>
              <w:tc>
                <w:tcPr>
                  <w:tcW w:w="2137" w:type="dxa"/>
                  <w:noWrap w:val="0"/>
                  <w:vAlign w:val="center"/>
                </w:tcPr>
                <w:p w14:paraId="5CA4F6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0.109</w:t>
                  </w:r>
                </w:p>
              </w:tc>
              <w:tc>
                <w:tcPr>
                  <w:tcW w:w="1430" w:type="dxa"/>
                  <w:noWrap w:val="0"/>
                  <w:vAlign w:val="center"/>
                </w:tcPr>
                <w:p w14:paraId="1B8DDC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C7231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47689A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50</w:t>
                  </w:r>
                </w:p>
              </w:tc>
              <w:tc>
                <w:tcPr>
                  <w:tcW w:w="4882" w:type="dxa"/>
                  <w:noWrap w:val="0"/>
                  <w:vAlign w:val="center"/>
                </w:tcPr>
                <w:p w14:paraId="6F5855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项目区东侧</w:t>
                  </w:r>
                </w:p>
              </w:tc>
              <w:tc>
                <w:tcPr>
                  <w:tcW w:w="2137" w:type="dxa"/>
                  <w:noWrap w:val="0"/>
                  <w:vAlign w:val="center"/>
                </w:tcPr>
                <w:p w14:paraId="0D2EC7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0.113</w:t>
                  </w:r>
                </w:p>
              </w:tc>
              <w:tc>
                <w:tcPr>
                  <w:tcW w:w="1430" w:type="dxa"/>
                  <w:noWrap w:val="0"/>
                  <w:vAlign w:val="center"/>
                </w:tcPr>
                <w:p w14:paraId="29A81E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0F1B6A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7E8E2C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51</w:t>
                  </w:r>
                </w:p>
              </w:tc>
              <w:tc>
                <w:tcPr>
                  <w:tcW w:w="4882" w:type="dxa"/>
                  <w:noWrap w:val="0"/>
                  <w:vAlign w:val="center"/>
                </w:tcPr>
                <w:p w14:paraId="463727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项目区南侧</w:t>
                  </w:r>
                </w:p>
              </w:tc>
              <w:tc>
                <w:tcPr>
                  <w:tcW w:w="2137" w:type="dxa"/>
                  <w:noWrap w:val="0"/>
                  <w:vAlign w:val="center"/>
                </w:tcPr>
                <w:p w14:paraId="52B3D6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0.100</w:t>
                  </w:r>
                </w:p>
              </w:tc>
              <w:tc>
                <w:tcPr>
                  <w:tcW w:w="1430" w:type="dxa"/>
                  <w:noWrap w:val="0"/>
                  <w:vAlign w:val="center"/>
                </w:tcPr>
                <w:p w14:paraId="2F6CD0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75846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74DA757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52</w:t>
                  </w:r>
                </w:p>
              </w:tc>
              <w:tc>
                <w:tcPr>
                  <w:tcW w:w="4882" w:type="dxa"/>
                  <w:noWrap w:val="0"/>
                  <w:vAlign w:val="center"/>
                </w:tcPr>
                <w:p w14:paraId="718510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项目区西侧</w:t>
                  </w:r>
                </w:p>
              </w:tc>
              <w:tc>
                <w:tcPr>
                  <w:tcW w:w="2137" w:type="dxa"/>
                  <w:noWrap w:val="0"/>
                  <w:vAlign w:val="center"/>
                </w:tcPr>
                <w:p w14:paraId="485595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0.109</w:t>
                  </w:r>
                </w:p>
              </w:tc>
              <w:tc>
                <w:tcPr>
                  <w:tcW w:w="1430" w:type="dxa"/>
                  <w:noWrap w:val="0"/>
                  <w:vAlign w:val="center"/>
                </w:tcPr>
                <w:p w14:paraId="61C2DB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5580E7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49" w:type="dxa"/>
                  <w:noWrap w:val="0"/>
                  <w:vAlign w:val="center"/>
                </w:tcPr>
                <w:p w14:paraId="395D74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53</w:t>
                  </w:r>
                </w:p>
              </w:tc>
              <w:tc>
                <w:tcPr>
                  <w:tcW w:w="4882" w:type="dxa"/>
                  <w:noWrap w:val="0"/>
                  <w:vAlign w:val="center"/>
                </w:tcPr>
                <w:p w14:paraId="3D2106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项目区北侧</w:t>
                  </w:r>
                </w:p>
              </w:tc>
              <w:tc>
                <w:tcPr>
                  <w:tcW w:w="2137" w:type="dxa"/>
                  <w:noWrap w:val="0"/>
                  <w:vAlign w:val="center"/>
                </w:tcPr>
                <w:p w14:paraId="009F96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0.105</w:t>
                  </w:r>
                </w:p>
              </w:tc>
              <w:tc>
                <w:tcPr>
                  <w:tcW w:w="1430" w:type="dxa"/>
                  <w:noWrap w:val="0"/>
                  <w:vAlign w:val="center"/>
                </w:tcPr>
                <w:p w14:paraId="330FDE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B01DF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49" w:type="dxa"/>
                  <w:noWrap w:val="0"/>
                  <w:vAlign w:val="center"/>
                </w:tcPr>
                <w:p w14:paraId="028746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54</w:t>
                  </w:r>
                </w:p>
              </w:tc>
              <w:tc>
                <w:tcPr>
                  <w:tcW w:w="4882" w:type="dxa"/>
                  <w:noWrap w:val="0"/>
                  <w:vAlign w:val="center"/>
                </w:tcPr>
                <w:p w14:paraId="65B657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新疆天文台大门口</w:t>
                  </w:r>
                </w:p>
              </w:tc>
              <w:tc>
                <w:tcPr>
                  <w:tcW w:w="2137" w:type="dxa"/>
                  <w:noWrap w:val="0"/>
                  <w:vAlign w:val="center"/>
                </w:tcPr>
                <w:p w14:paraId="4AFE30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0.107</w:t>
                  </w:r>
                </w:p>
              </w:tc>
              <w:tc>
                <w:tcPr>
                  <w:tcW w:w="1430" w:type="dxa"/>
                  <w:noWrap w:val="0"/>
                  <w:vAlign w:val="center"/>
                </w:tcPr>
                <w:p w14:paraId="62AE89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r w14:paraId="67948E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749" w:type="dxa"/>
                  <w:noWrap w:val="0"/>
                  <w:vAlign w:val="center"/>
                </w:tcPr>
                <w:p w14:paraId="1EB7E3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55</w:t>
                  </w:r>
                </w:p>
              </w:tc>
              <w:tc>
                <w:tcPr>
                  <w:tcW w:w="4882" w:type="dxa"/>
                  <w:noWrap w:val="0"/>
                  <w:vAlign w:val="center"/>
                </w:tcPr>
                <w:p w14:paraId="2B587B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瀚乐轩小区大门口</w:t>
                  </w:r>
                </w:p>
              </w:tc>
              <w:tc>
                <w:tcPr>
                  <w:tcW w:w="2137" w:type="dxa"/>
                  <w:noWrap w:val="0"/>
                  <w:vAlign w:val="center"/>
                </w:tcPr>
                <w:p w14:paraId="7F0EB2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0.128</w:t>
                  </w:r>
                </w:p>
              </w:tc>
              <w:tc>
                <w:tcPr>
                  <w:tcW w:w="1430" w:type="dxa"/>
                  <w:noWrap w:val="0"/>
                  <w:vAlign w:val="center"/>
                </w:tcPr>
                <w:p w14:paraId="383BAC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ind w:left="0" w:right="0"/>
                    <w:jc w:val="center"/>
                    <w:textAlignment w:val="auto"/>
                    <w:rPr>
                      <w:rFonts w:hint="default" w:ascii="Times New Roman" w:hAnsi="Times New Roman" w:eastAsia="宋体" w:cs="Times New Roman"/>
                      <w:b w:val="0"/>
                      <w:bCs/>
                      <w:color w:val="auto"/>
                      <w:sz w:val="21"/>
                      <w:szCs w:val="21"/>
                      <w:lang w:val="en-US" w:eastAsia="zh-CN"/>
                    </w:rPr>
                  </w:pPr>
                  <w:r>
                    <w:rPr>
                      <w:rFonts w:hint="default" w:ascii="Times New Roman" w:hAnsi="Times New Roman" w:eastAsia="宋体" w:cs="Times New Roman"/>
                      <w:b w:val="0"/>
                      <w:bCs/>
                      <w:color w:val="auto"/>
                      <w:sz w:val="21"/>
                      <w:szCs w:val="21"/>
                      <w:lang w:val="en-US" w:eastAsia="zh-CN"/>
                    </w:rPr>
                    <w:t>/</w:t>
                  </w:r>
                </w:p>
              </w:tc>
            </w:tr>
          </w:tbl>
          <w:p w14:paraId="34BF27C3">
            <w:pPr>
              <w:keepNext w:val="0"/>
              <w:keepLines w:val="0"/>
              <w:widowControl w:val="0"/>
              <w:suppressLineNumbers w:val="0"/>
              <w:spacing w:before="82" w:beforeLines="0" w:beforeAutospacing="0" w:after="0" w:afterLines="0" w:afterAutospacing="0" w:line="240" w:lineRule="auto"/>
              <w:ind w:left="0" w:right="0"/>
              <w:jc w:val="both"/>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spacing w:val="-1"/>
                <w:kern w:val="2"/>
                <w:sz w:val="18"/>
                <w:szCs w:val="18"/>
                <w:highlight w:val="none"/>
                <w:lang w:val="en-US" w:eastAsia="zh-CN" w:bidi="ar-SA"/>
              </w:rPr>
              <w:t>注：[</w:t>
            </w:r>
            <w:r>
              <w:rPr>
                <w:rFonts w:hint="eastAsia" w:ascii="Times New Roman" w:hAnsi="Times New Roman" w:eastAsia="宋体" w:cs="Times New Roman"/>
                <w:color w:val="auto"/>
                <w:spacing w:val="-1"/>
                <w:kern w:val="2"/>
                <w:sz w:val="18"/>
                <w:szCs w:val="18"/>
                <w:highlight w:val="none"/>
                <w:lang w:val="en-US" w:eastAsia="zh-CN" w:bidi="ar-SA"/>
              </w:rPr>
              <w:t>1</w:t>
            </w:r>
            <w:r>
              <w:rPr>
                <w:rFonts w:hint="default" w:ascii="Times New Roman" w:hAnsi="Times New Roman" w:eastAsia="宋体" w:cs="Times New Roman"/>
                <w:color w:val="auto"/>
                <w:spacing w:val="-1"/>
                <w:kern w:val="2"/>
                <w:sz w:val="18"/>
                <w:szCs w:val="18"/>
                <w:highlight w:val="none"/>
                <w:lang w:val="en-US" w:eastAsia="zh-CN" w:bidi="ar-SA"/>
              </w:rPr>
              <w:t>]监测结果未扣除宇宙射线响应值</w:t>
            </w:r>
            <w:r>
              <w:rPr>
                <w:rFonts w:hint="eastAsia" w:ascii="Times New Roman" w:hAnsi="Times New Roman" w:eastAsia="宋体" w:cs="Times New Roman"/>
                <w:color w:val="auto"/>
                <w:spacing w:val="-1"/>
                <w:kern w:val="2"/>
                <w:sz w:val="18"/>
                <w:szCs w:val="18"/>
                <w:highlight w:val="none"/>
                <w:lang w:val="en-US" w:eastAsia="zh-CN" w:bidi="ar-SA"/>
              </w:rPr>
              <w:t>；γ射线的辐射权重因子为1，则γ辐射剂量率监测结果1μSv/h=1μGy/h。</w:t>
            </w:r>
          </w:p>
          <w:p w14:paraId="74683B5E">
            <w:pPr>
              <w:keepNext w:val="0"/>
              <w:keepLines w:val="0"/>
              <w:pageBreakBefore w:val="0"/>
              <w:widowControl w:val="0"/>
              <w:suppressLineNumbers w:val="0"/>
              <w:kinsoku/>
              <w:wordWrap/>
              <w:overflowPunct/>
              <w:topLinePunct w:val="0"/>
              <w:autoSpaceDE/>
              <w:autoSpaceDN/>
              <w:bidi w:val="0"/>
              <w:adjustRightInd/>
              <w:snapToGrid w:val="0"/>
              <w:spacing w:before="312" w:beforeLines="100" w:beforeAutospacing="0" w:after="156" w:afterLines="50" w:afterAutospacing="0" w:line="0" w:lineRule="atLeast"/>
              <w:ind w:left="0" w:right="0"/>
              <w:jc w:val="center"/>
              <w:textAlignment w:val="auto"/>
              <w:rPr>
                <w:rFonts w:hint="eastAsia" w:ascii="Times New Roman" w:hAnsi="Times New Roman" w:eastAsia="宋体" w:cs="Times New Roman"/>
                <w:b/>
                <w:color w:val="auto"/>
                <w:sz w:val="24"/>
                <w:highlight w:val="none"/>
                <w:vertAlign w:val="superscript"/>
                <w:lang w:val="en-US" w:eastAsia="zh-CN"/>
              </w:rPr>
            </w:pPr>
            <w:r>
              <w:rPr>
                <w:rFonts w:hint="eastAsia" w:ascii="Times New Roman" w:hAnsi="Times New Roman" w:eastAsia="宋体" w:cs="Times New Roman"/>
                <w:b/>
                <w:color w:val="auto"/>
                <w:sz w:val="24"/>
                <w:highlight w:val="none"/>
                <w:lang w:val="en-US" w:eastAsia="zh-CN"/>
              </w:rPr>
              <w:t>表8-3  α、β表面污染监测结果</w:t>
            </w:r>
            <w:r>
              <w:rPr>
                <w:rFonts w:hint="eastAsia" w:ascii="Times New Roman" w:hAnsi="Times New Roman" w:eastAsia="宋体" w:cs="Times New Roman"/>
                <w:b/>
                <w:color w:val="auto"/>
                <w:sz w:val="24"/>
                <w:highlight w:val="none"/>
                <w:vertAlign w:val="superscript"/>
                <w:lang w:val="en-US" w:eastAsia="zh-CN"/>
              </w:rPr>
              <w:t>[2]</w:t>
            </w:r>
          </w:p>
          <w:tbl>
            <w:tblPr>
              <w:tblStyle w:val="22"/>
              <w:tblW w:w="9317"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07"/>
              <w:gridCol w:w="4135"/>
              <w:gridCol w:w="1802"/>
              <w:gridCol w:w="1913"/>
              <w:gridCol w:w="760"/>
            </w:tblGrid>
            <w:tr w14:paraId="34340C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54" w:hRule="atLeast"/>
              </w:trPr>
              <w:tc>
                <w:tcPr>
                  <w:tcW w:w="379" w:type="pct"/>
                  <w:tcBorders>
                    <w:tl2br w:val="nil"/>
                    <w:tr2bl w:val="nil"/>
                  </w:tcBorders>
                  <w:noWrap w:val="0"/>
                  <w:vAlign w:val="center"/>
                </w:tcPr>
                <w:p w14:paraId="0FDEF8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序号</w:t>
                  </w:r>
                </w:p>
              </w:tc>
              <w:tc>
                <w:tcPr>
                  <w:tcW w:w="2219" w:type="pct"/>
                  <w:tcBorders>
                    <w:tl2br w:val="nil"/>
                    <w:tr2bl w:val="nil"/>
                  </w:tcBorders>
                  <w:noWrap w:val="0"/>
                  <w:vAlign w:val="center"/>
                </w:tcPr>
                <w:p w14:paraId="0FCE62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点位描述</w:t>
                  </w:r>
                </w:p>
              </w:tc>
              <w:tc>
                <w:tcPr>
                  <w:tcW w:w="967" w:type="pct"/>
                  <w:tcBorders>
                    <w:tl2br w:val="nil"/>
                    <w:tr2bl w:val="nil"/>
                  </w:tcBorders>
                  <w:noWrap/>
                  <w:vAlign w:val="center"/>
                </w:tcPr>
                <w:p w14:paraId="376786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α表面污染（Bq/cm</w:t>
                  </w:r>
                  <w:r>
                    <w:rPr>
                      <w:rFonts w:hint="default" w:ascii="Times New Roman" w:hAnsi="Times New Roman" w:eastAsia="宋体" w:cs="Times New Roman"/>
                      <w:color w:val="auto"/>
                      <w:spacing w:val="-1"/>
                      <w:kern w:val="2"/>
                      <w:sz w:val="21"/>
                      <w:szCs w:val="21"/>
                      <w:highlight w:val="none"/>
                      <w:vertAlign w:val="superscript"/>
                      <w:lang w:val="en-US" w:eastAsia="zh-CN" w:bidi="ar-SA"/>
                    </w:rPr>
                    <w:t>2</w:t>
                  </w: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c>
                <w:tcPr>
                  <w:tcW w:w="1026" w:type="pct"/>
                  <w:tcBorders>
                    <w:tl2br w:val="nil"/>
                    <w:tr2bl w:val="nil"/>
                  </w:tcBorders>
                  <w:noWrap/>
                  <w:vAlign w:val="center"/>
                </w:tcPr>
                <w:p w14:paraId="322C8A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β表面污染（Bq/cm</w:t>
                  </w:r>
                  <w:r>
                    <w:rPr>
                      <w:rFonts w:hint="default" w:ascii="Times New Roman" w:hAnsi="Times New Roman" w:eastAsia="宋体" w:cs="Times New Roman"/>
                      <w:color w:val="auto"/>
                      <w:spacing w:val="-1"/>
                      <w:kern w:val="2"/>
                      <w:sz w:val="21"/>
                      <w:szCs w:val="21"/>
                      <w:highlight w:val="none"/>
                      <w:vertAlign w:val="superscript"/>
                      <w:lang w:val="en-US" w:eastAsia="zh-CN" w:bidi="ar-SA"/>
                    </w:rPr>
                    <w:t>2</w:t>
                  </w: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c>
                <w:tcPr>
                  <w:tcW w:w="407" w:type="pct"/>
                  <w:tcBorders>
                    <w:tl2br w:val="nil"/>
                    <w:tr2bl w:val="nil"/>
                  </w:tcBorders>
                  <w:noWrap/>
                  <w:vAlign w:val="center"/>
                </w:tcPr>
                <w:p w14:paraId="794DDF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备注</w:t>
                  </w:r>
                </w:p>
              </w:tc>
            </w:tr>
            <w:tr w14:paraId="5ED051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02" w:hRule="exact"/>
              </w:trPr>
              <w:tc>
                <w:tcPr>
                  <w:tcW w:w="5000" w:type="pct"/>
                  <w:gridSpan w:val="5"/>
                  <w:tcBorders>
                    <w:tl2br w:val="nil"/>
                    <w:tr2bl w:val="nil"/>
                  </w:tcBorders>
                  <w:noWrap w:val="0"/>
                  <w:vAlign w:val="center"/>
                </w:tcPr>
                <w:p w14:paraId="35DC52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核医学楼三层</w:t>
                  </w:r>
                </w:p>
              </w:tc>
            </w:tr>
            <w:tr w14:paraId="70EB41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tcBorders>
                    <w:tl2br w:val="nil"/>
                    <w:tr2bl w:val="nil"/>
                  </w:tcBorders>
                  <w:noWrap w:val="0"/>
                  <w:vAlign w:val="center"/>
                </w:tcPr>
                <w:p w14:paraId="2ADC54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1</w:t>
                  </w:r>
                </w:p>
              </w:tc>
              <w:tc>
                <w:tcPr>
                  <w:tcW w:w="2219" w:type="pct"/>
                  <w:tcBorders>
                    <w:tl2br w:val="nil"/>
                    <w:tr2bl w:val="nil"/>
                  </w:tcBorders>
                  <w:noWrap w:val="0"/>
                  <w:vAlign w:val="center"/>
                </w:tcPr>
                <w:p w14:paraId="015DEE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拟新增核素病房1中央地面</w:t>
                  </w:r>
                </w:p>
              </w:tc>
              <w:tc>
                <w:tcPr>
                  <w:tcW w:w="967" w:type="pct"/>
                  <w:tcBorders>
                    <w:tl2br w:val="nil"/>
                    <w:tr2bl w:val="nil"/>
                  </w:tcBorders>
                  <w:noWrap/>
                  <w:vAlign w:val="center"/>
                </w:tcPr>
                <w:p w14:paraId="417C05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tcBorders>
                    <w:tl2br w:val="nil"/>
                    <w:tr2bl w:val="nil"/>
                  </w:tcBorders>
                  <w:noWrap/>
                  <w:vAlign w:val="center"/>
                </w:tcPr>
                <w:p w14:paraId="7B65DA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tcBorders>
                    <w:tl2br w:val="nil"/>
                    <w:tr2bl w:val="nil"/>
                  </w:tcBorders>
                  <w:noWrap/>
                  <w:vAlign w:val="center"/>
                </w:tcPr>
                <w:p w14:paraId="3DFB46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E4930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tcBorders>
                    <w:tl2br w:val="nil"/>
                    <w:tr2bl w:val="nil"/>
                  </w:tcBorders>
                  <w:noWrap w:val="0"/>
                  <w:vAlign w:val="center"/>
                </w:tcPr>
                <w:p w14:paraId="680B3B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2</w:t>
                  </w:r>
                </w:p>
              </w:tc>
              <w:tc>
                <w:tcPr>
                  <w:tcW w:w="2219" w:type="pct"/>
                  <w:tcBorders>
                    <w:tl2br w:val="nil"/>
                    <w:tr2bl w:val="nil"/>
                  </w:tcBorders>
                  <w:noWrap w:val="0"/>
                  <w:vAlign w:val="center"/>
                </w:tcPr>
                <w:p w14:paraId="03268F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拟新增核素病房2中央地面</w:t>
                  </w:r>
                </w:p>
              </w:tc>
              <w:tc>
                <w:tcPr>
                  <w:tcW w:w="967" w:type="pct"/>
                  <w:tcBorders>
                    <w:tl2br w:val="nil"/>
                    <w:tr2bl w:val="nil"/>
                  </w:tcBorders>
                  <w:noWrap/>
                  <w:vAlign w:val="center"/>
                </w:tcPr>
                <w:p w14:paraId="5C2C80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tcBorders>
                    <w:tl2br w:val="nil"/>
                    <w:tr2bl w:val="nil"/>
                  </w:tcBorders>
                  <w:noWrap/>
                  <w:vAlign w:val="center"/>
                </w:tcPr>
                <w:p w14:paraId="736D04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tcBorders>
                    <w:tl2br w:val="nil"/>
                    <w:tr2bl w:val="nil"/>
                  </w:tcBorders>
                  <w:noWrap/>
                  <w:vAlign w:val="center"/>
                </w:tcPr>
                <w:p w14:paraId="62ED82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21BBD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tcBorders>
                    <w:tl2br w:val="nil"/>
                    <w:tr2bl w:val="nil"/>
                  </w:tcBorders>
                  <w:noWrap w:val="0"/>
                  <w:vAlign w:val="center"/>
                </w:tcPr>
                <w:p w14:paraId="6C8ED4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3</w:t>
                  </w:r>
                </w:p>
              </w:tc>
              <w:tc>
                <w:tcPr>
                  <w:tcW w:w="2219" w:type="pct"/>
                  <w:tcBorders>
                    <w:tl2br w:val="nil"/>
                    <w:tr2bl w:val="nil"/>
                  </w:tcBorders>
                  <w:noWrap w:val="0"/>
                  <w:vAlign w:val="center"/>
                </w:tcPr>
                <w:p w14:paraId="0319D5D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拟新增核素病房3中央地面</w:t>
                  </w:r>
                </w:p>
              </w:tc>
              <w:tc>
                <w:tcPr>
                  <w:tcW w:w="967" w:type="pct"/>
                  <w:tcBorders>
                    <w:tl2br w:val="nil"/>
                    <w:tr2bl w:val="nil"/>
                  </w:tcBorders>
                  <w:noWrap/>
                  <w:vAlign w:val="center"/>
                </w:tcPr>
                <w:p w14:paraId="1C3619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tcBorders>
                    <w:tl2br w:val="nil"/>
                    <w:tr2bl w:val="nil"/>
                  </w:tcBorders>
                  <w:noWrap/>
                  <w:vAlign w:val="center"/>
                </w:tcPr>
                <w:p w14:paraId="1BC6EB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tcBorders>
                    <w:tl2br w:val="nil"/>
                    <w:tr2bl w:val="nil"/>
                  </w:tcBorders>
                  <w:noWrap/>
                  <w:vAlign w:val="center"/>
                </w:tcPr>
                <w:p w14:paraId="466D01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03810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tcBorders>
                    <w:tl2br w:val="nil"/>
                    <w:tr2bl w:val="nil"/>
                  </w:tcBorders>
                  <w:noWrap w:val="0"/>
                  <w:vAlign w:val="center"/>
                </w:tcPr>
                <w:p w14:paraId="07D861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4</w:t>
                  </w:r>
                </w:p>
              </w:tc>
              <w:tc>
                <w:tcPr>
                  <w:tcW w:w="2219" w:type="pct"/>
                  <w:tcBorders>
                    <w:tl2br w:val="nil"/>
                    <w:tr2bl w:val="nil"/>
                  </w:tcBorders>
                  <w:noWrap w:val="0"/>
                  <w:vAlign w:val="center"/>
                </w:tcPr>
                <w:p w14:paraId="12485C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拟新增核素病房4中央地面</w:t>
                  </w:r>
                </w:p>
              </w:tc>
              <w:tc>
                <w:tcPr>
                  <w:tcW w:w="967" w:type="pct"/>
                  <w:tcBorders>
                    <w:tl2br w:val="nil"/>
                    <w:tr2bl w:val="nil"/>
                  </w:tcBorders>
                  <w:noWrap/>
                  <w:vAlign w:val="center"/>
                </w:tcPr>
                <w:p w14:paraId="295869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tcBorders>
                    <w:tl2br w:val="nil"/>
                    <w:tr2bl w:val="nil"/>
                  </w:tcBorders>
                  <w:noWrap/>
                  <w:vAlign w:val="center"/>
                </w:tcPr>
                <w:p w14:paraId="5B9859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tcBorders>
                    <w:tl2br w:val="nil"/>
                    <w:tr2bl w:val="nil"/>
                  </w:tcBorders>
                  <w:noWrap/>
                  <w:vAlign w:val="center"/>
                </w:tcPr>
                <w:p w14:paraId="56BF43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65C666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tcBorders>
                    <w:tl2br w:val="nil"/>
                    <w:tr2bl w:val="nil"/>
                  </w:tcBorders>
                  <w:noWrap w:val="0"/>
                  <w:vAlign w:val="center"/>
                </w:tcPr>
                <w:p w14:paraId="5E2EFC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5</w:t>
                  </w:r>
                </w:p>
              </w:tc>
              <w:tc>
                <w:tcPr>
                  <w:tcW w:w="2219" w:type="pct"/>
                  <w:tcBorders>
                    <w:tl2br w:val="nil"/>
                    <w:tr2bl w:val="nil"/>
                  </w:tcBorders>
                  <w:noWrap w:val="0"/>
                  <w:vAlign w:val="center"/>
                </w:tcPr>
                <w:p w14:paraId="1574A1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拟新增核素病房5中央地面</w:t>
                  </w:r>
                </w:p>
              </w:tc>
              <w:tc>
                <w:tcPr>
                  <w:tcW w:w="967" w:type="pct"/>
                  <w:tcBorders>
                    <w:tl2br w:val="nil"/>
                    <w:tr2bl w:val="nil"/>
                  </w:tcBorders>
                  <w:noWrap/>
                  <w:vAlign w:val="center"/>
                </w:tcPr>
                <w:p w14:paraId="07FC24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tcBorders>
                    <w:tl2br w:val="nil"/>
                    <w:tr2bl w:val="nil"/>
                  </w:tcBorders>
                  <w:noWrap/>
                  <w:vAlign w:val="center"/>
                </w:tcPr>
                <w:p w14:paraId="20BBCB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tcBorders>
                    <w:tl2br w:val="nil"/>
                    <w:tr2bl w:val="nil"/>
                  </w:tcBorders>
                  <w:noWrap/>
                  <w:vAlign w:val="center"/>
                </w:tcPr>
                <w:p w14:paraId="630C82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22A99B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07F4A8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6</w:t>
                  </w:r>
                </w:p>
              </w:tc>
              <w:tc>
                <w:tcPr>
                  <w:tcW w:w="2219" w:type="pct"/>
                  <w:noWrap w:val="0"/>
                  <w:vAlign w:val="center"/>
                </w:tcPr>
                <w:p w14:paraId="7005FD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拟新增核素病房6中央地面</w:t>
                  </w:r>
                </w:p>
              </w:tc>
              <w:tc>
                <w:tcPr>
                  <w:tcW w:w="967" w:type="pct"/>
                  <w:noWrap w:val="0"/>
                  <w:vAlign w:val="center"/>
                </w:tcPr>
                <w:p w14:paraId="41BABE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33DFA5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69CA8A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74E24E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0A3A17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7</w:t>
                  </w:r>
                </w:p>
              </w:tc>
              <w:tc>
                <w:tcPr>
                  <w:tcW w:w="2219" w:type="pct"/>
                  <w:noWrap w:val="0"/>
                  <w:vAlign w:val="center"/>
                </w:tcPr>
                <w:p w14:paraId="29C4F1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拟新增核素病房7中央地面</w:t>
                  </w:r>
                </w:p>
              </w:tc>
              <w:tc>
                <w:tcPr>
                  <w:tcW w:w="967" w:type="pct"/>
                  <w:noWrap w:val="0"/>
                  <w:vAlign w:val="center"/>
                </w:tcPr>
                <w:p w14:paraId="002217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0F3235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479BE4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60BB03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55B706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8</w:t>
                  </w:r>
                </w:p>
              </w:tc>
              <w:tc>
                <w:tcPr>
                  <w:tcW w:w="2219" w:type="pct"/>
                  <w:noWrap w:val="0"/>
                  <w:vAlign w:val="center"/>
                </w:tcPr>
                <w:p w14:paraId="4E94AC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拟新增核素病房8中央地面</w:t>
                  </w:r>
                </w:p>
              </w:tc>
              <w:tc>
                <w:tcPr>
                  <w:tcW w:w="967" w:type="pct"/>
                  <w:noWrap w:val="0"/>
                  <w:vAlign w:val="center"/>
                </w:tcPr>
                <w:p w14:paraId="2C8745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7D62CE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67AA06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1F51A4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44F83F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9</w:t>
                  </w:r>
                </w:p>
              </w:tc>
              <w:tc>
                <w:tcPr>
                  <w:tcW w:w="2219" w:type="pct"/>
                  <w:noWrap w:val="0"/>
                  <w:vAlign w:val="center"/>
                </w:tcPr>
                <w:p w14:paraId="21FE59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拟新增核素病房9中央地面</w:t>
                  </w:r>
                </w:p>
              </w:tc>
              <w:tc>
                <w:tcPr>
                  <w:tcW w:w="967" w:type="pct"/>
                  <w:noWrap w:val="0"/>
                  <w:vAlign w:val="center"/>
                </w:tcPr>
                <w:p w14:paraId="08E382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0CB290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52A9EF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754A58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14E17C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10</w:t>
                  </w:r>
                </w:p>
              </w:tc>
              <w:tc>
                <w:tcPr>
                  <w:tcW w:w="2219" w:type="pct"/>
                  <w:noWrap w:val="0"/>
                  <w:vAlign w:val="center"/>
                </w:tcPr>
                <w:p w14:paraId="632A3A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分碘室中央地面</w:t>
                  </w:r>
                </w:p>
              </w:tc>
              <w:tc>
                <w:tcPr>
                  <w:tcW w:w="967" w:type="pct"/>
                  <w:noWrap w:val="0"/>
                  <w:vAlign w:val="center"/>
                </w:tcPr>
                <w:p w14:paraId="308605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569C3C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0.12</w:t>
                  </w:r>
                </w:p>
              </w:tc>
              <w:tc>
                <w:tcPr>
                  <w:tcW w:w="407" w:type="pct"/>
                  <w:noWrap w:val="0"/>
                  <w:vAlign w:val="center"/>
                </w:tcPr>
                <w:p w14:paraId="62C1DE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2F24A8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636772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11</w:t>
                  </w:r>
                </w:p>
              </w:tc>
              <w:tc>
                <w:tcPr>
                  <w:tcW w:w="2219" w:type="pct"/>
                  <w:noWrap w:val="0"/>
                  <w:vAlign w:val="center"/>
                </w:tcPr>
                <w:p w14:paraId="784F4B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服碘室中央地面</w:t>
                  </w:r>
                </w:p>
              </w:tc>
              <w:tc>
                <w:tcPr>
                  <w:tcW w:w="967" w:type="pct"/>
                  <w:noWrap w:val="0"/>
                  <w:vAlign w:val="center"/>
                </w:tcPr>
                <w:p w14:paraId="5B265A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1F5C37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0.11</w:t>
                  </w:r>
                </w:p>
              </w:tc>
              <w:tc>
                <w:tcPr>
                  <w:tcW w:w="407" w:type="pct"/>
                  <w:noWrap w:val="0"/>
                  <w:vAlign w:val="center"/>
                </w:tcPr>
                <w:p w14:paraId="70833F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11CA6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7A5A19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12</w:t>
                  </w:r>
                </w:p>
              </w:tc>
              <w:tc>
                <w:tcPr>
                  <w:tcW w:w="2219" w:type="pct"/>
                  <w:noWrap w:val="0"/>
                  <w:vAlign w:val="center"/>
                </w:tcPr>
                <w:p w14:paraId="225E9F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注射室中央地面</w:t>
                  </w:r>
                </w:p>
              </w:tc>
              <w:tc>
                <w:tcPr>
                  <w:tcW w:w="967" w:type="pct"/>
                  <w:noWrap w:val="0"/>
                  <w:vAlign w:val="center"/>
                </w:tcPr>
                <w:p w14:paraId="72BAE6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413AC5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0.11</w:t>
                  </w:r>
                </w:p>
              </w:tc>
              <w:tc>
                <w:tcPr>
                  <w:tcW w:w="407" w:type="pct"/>
                  <w:noWrap w:val="0"/>
                  <w:vAlign w:val="center"/>
                </w:tcPr>
                <w:p w14:paraId="5021BF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w:t>
                  </w:r>
                </w:p>
              </w:tc>
            </w:tr>
            <w:tr w14:paraId="45AB53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535FB6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13</w:t>
                  </w:r>
                </w:p>
              </w:tc>
              <w:tc>
                <w:tcPr>
                  <w:tcW w:w="2219" w:type="pct"/>
                  <w:noWrap w:val="0"/>
                  <w:vAlign w:val="center"/>
                </w:tcPr>
                <w:p w14:paraId="3193C7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核素治疗区活动大厅中央地面</w:t>
                  </w:r>
                </w:p>
              </w:tc>
              <w:tc>
                <w:tcPr>
                  <w:tcW w:w="967" w:type="pct"/>
                  <w:noWrap w:val="0"/>
                  <w:vAlign w:val="center"/>
                </w:tcPr>
                <w:p w14:paraId="68A66D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35BEC8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0.11</w:t>
                  </w:r>
                </w:p>
              </w:tc>
              <w:tc>
                <w:tcPr>
                  <w:tcW w:w="407" w:type="pct"/>
                  <w:noWrap w:val="0"/>
                  <w:vAlign w:val="center"/>
                </w:tcPr>
                <w:p w14:paraId="563BE0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3530E1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70929A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14</w:t>
                  </w:r>
                </w:p>
              </w:tc>
              <w:tc>
                <w:tcPr>
                  <w:tcW w:w="2219" w:type="pct"/>
                  <w:noWrap w:val="0"/>
                  <w:vAlign w:val="center"/>
                </w:tcPr>
                <w:p w14:paraId="79228F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现有核素病房患者通道中央地面1#</w:t>
                  </w:r>
                </w:p>
              </w:tc>
              <w:tc>
                <w:tcPr>
                  <w:tcW w:w="967" w:type="pct"/>
                  <w:noWrap w:val="0"/>
                  <w:vAlign w:val="center"/>
                </w:tcPr>
                <w:p w14:paraId="4CD049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0757C1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0.11</w:t>
                  </w:r>
                </w:p>
              </w:tc>
              <w:tc>
                <w:tcPr>
                  <w:tcW w:w="407" w:type="pct"/>
                  <w:noWrap w:val="0"/>
                  <w:vAlign w:val="center"/>
                </w:tcPr>
                <w:p w14:paraId="3226B6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623672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44F866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15</w:t>
                  </w:r>
                </w:p>
              </w:tc>
              <w:tc>
                <w:tcPr>
                  <w:tcW w:w="2219" w:type="pct"/>
                  <w:noWrap w:val="0"/>
                  <w:vAlign w:val="center"/>
                </w:tcPr>
                <w:p w14:paraId="733B85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现有核素病房患者通道中央地面2#</w:t>
                  </w:r>
                </w:p>
              </w:tc>
              <w:tc>
                <w:tcPr>
                  <w:tcW w:w="967" w:type="pct"/>
                  <w:noWrap w:val="0"/>
                  <w:vAlign w:val="center"/>
                </w:tcPr>
                <w:p w14:paraId="2EF62E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5F3A46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0.13</w:t>
                  </w:r>
                </w:p>
              </w:tc>
              <w:tc>
                <w:tcPr>
                  <w:tcW w:w="407" w:type="pct"/>
                  <w:noWrap w:val="0"/>
                  <w:vAlign w:val="center"/>
                </w:tcPr>
                <w:p w14:paraId="79496F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68CB6F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49114A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16</w:t>
                  </w:r>
                </w:p>
              </w:tc>
              <w:tc>
                <w:tcPr>
                  <w:tcW w:w="2219" w:type="pct"/>
                  <w:noWrap w:val="0"/>
                  <w:vAlign w:val="center"/>
                </w:tcPr>
                <w:p w14:paraId="47AEED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现有核素病房患者通道中央地面3#</w:t>
                  </w:r>
                </w:p>
              </w:tc>
              <w:tc>
                <w:tcPr>
                  <w:tcW w:w="967" w:type="pct"/>
                  <w:noWrap w:val="0"/>
                  <w:vAlign w:val="center"/>
                </w:tcPr>
                <w:p w14:paraId="69A404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5DC6A1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0.12</w:t>
                  </w:r>
                </w:p>
              </w:tc>
              <w:tc>
                <w:tcPr>
                  <w:tcW w:w="407" w:type="pct"/>
                  <w:noWrap w:val="0"/>
                  <w:vAlign w:val="center"/>
                </w:tcPr>
                <w:p w14:paraId="2B4B3B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0C630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087229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17</w:t>
                  </w:r>
                </w:p>
              </w:tc>
              <w:tc>
                <w:tcPr>
                  <w:tcW w:w="2219" w:type="pct"/>
                  <w:noWrap w:val="0"/>
                  <w:vAlign w:val="center"/>
                </w:tcPr>
                <w:p w14:paraId="71E6BE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北侧患者通道中央地面1#</w:t>
                  </w:r>
                </w:p>
              </w:tc>
              <w:tc>
                <w:tcPr>
                  <w:tcW w:w="967" w:type="pct"/>
                  <w:noWrap w:val="0"/>
                  <w:vAlign w:val="center"/>
                </w:tcPr>
                <w:p w14:paraId="5A9D9C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349B62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0.12</w:t>
                  </w:r>
                </w:p>
              </w:tc>
              <w:tc>
                <w:tcPr>
                  <w:tcW w:w="407" w:type="pct"/>
                  <w:noWrap w:val="0"/>
                  <w:vAlign w:val="center"/>
                </w:tcPr>
                <w:p w14:paraId="15D764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6A6844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13C24B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18</w:t>
                  </w:r>
                </w:p>
              </w:tc>
              <w:tc>
                <w:tcPr>
                  <w:tcW w:w="2219" w:type="pct"/>
                  <w:noWrap w:val="0"/>
                  <w:vAlign w:val="center"/>
                </w:tcPr>
                <w:p w14:paraId="43B67B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北侧患者通道中央地面2#</w:t>
                  </w:r>
                </w:p>
              </w:tc>
              <w:tc>
                <w:tcPr>
                  <w:tcW w:w="967" w:type="pct"/>
                  <w:noWrap w:val="0"/>
                  <w:vAlign w:val="center"/>
                </w:tcPr>
                <w:p w14:paraId="1EC24F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1F1A13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0.13</w:t>
                  </w:r>
                </w:p>
              </w:tc>
              <w:tc>
                <w:tcPr>
                  <w:tcW w:w="407" w:type="pct"/>
                  <w:noWrap w:val="0"/>
                  <w:vAlign w:val="center"/>
                </w:tcPr>
                <w:p w14:paraId="69BBA7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714958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6CAFA3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19</w:t>
                  </w:r>
                </w:p>
              </w:tc>
              <w:tc>
                <w:tcPr>
                  <w:tcW w:w="2219" w:type="pct"/>
                  <w:noWrap w:val="0"/>
                  <w:vAlign w:val="center"/>
                </w:tcPr>
                <w:p w14:paraId="4676E5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北侧患者通道中央地面3#</w:t>
                  </w:r>
                </w:p>
              </w:tc>
              <w:tc>
                <w:tcPr>
                  <w:tcW w:w="967" w:type="pct"/>
                  <w:noWrap w:val="0"/>
                  <w:vAlign w:val="center"/>
                </w:tcPr>
                <w:p w14:paraId="354E56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5915B4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0.10</w:t>
                  </w:r>
                </w:p>
              </w:tc>
              <w:tc>
                <w:tcPr>
                  <w:tcW w:w="407" w:type="pct"/>
                  <w:noWrap w:val="0"/>
                  <w:vAlign w:val="center"/>
                </w:tcPr>
                <w:p w14:paraId="7D9875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7C290E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734338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20</w:t>
                  </w:r>
                </w:p>
              </w:tc>
              <w:tc>
                <w:tcPr>
                  <w:tcW w:w="2219" w:type="pct"/>
                  <w:noWrap w:val="0"/>
                  <w:vAlign w:val="center"/>
                </w:tcPr>
                <w:p w14:paraId="582FB6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南侧患者通道中央地面1#</w:t>
                  </w:r>
                </w:p>
              </w:tc>
              <w:tc>
                <w:tcPr>
                  <w:tcW w:w="967" w:type="pct"/>
                  <w:noWrap w:val="0"/>
                  <w:vAlign w:val="center"/>
                </w:tcPr>
                <w:p w14:paraId="7652EF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468AD5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10490F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A0D60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53EF94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21</w:t>
                  </w:r>
                </w:p>
              </w:tc>
              <w:tc>
                <w:tcPr>
                  <w:tcW w:w="2219" w:type="pct"/>
                  <w:noWrap w:val="0"/>
                  <w:vAlign w:val="center"/>
                </w:tcPr>
                <w:p w14:paraId="7ABDE6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南侧患者通道中央地面2#</w:t>
                  </w:r>
                </w:p>
              </w:tc>
              <w:tc>
                <w:tcPr>
                  <w:tcW w:w="967" w:type="pct"/>
                  <w:noWrap w:val="0"/>
                  <w:vAlign w:val="center"/>
                </w:tcPr>
                <w:p w14:paraId="4FE807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4E821A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7DB6E6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331A6D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5000" w:type="pct"/>
                  <w:gridSpan w:val="5"/>
                  <w:noWrap w:val="0"/>
                  <w:vAlign w:val="center"/>
                </w:tcPr>
                <w:p w14:paraId="731D90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核医学楼二层</w:t>
                  </w:r>
                </w:p>
              </w:tc>
            </w:tr>
            <w:tr w14:paraId="0577D7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0114BF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22</w:t>
                  </w:r>
                </w:p>
              </w:tc>
              <w:tc>
                <w:tcPr>
                  <w:tcW w:w="2219" w:type="pct"/>
                  <w:noWrap w:val="0"/>
                  <w:vAlign w:val="center"/>
                </w:tcPr>
                <w:p w14:paraId="6E2303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注射室1中央地面</w:t>
                  </w:r>
                </w:p>
              </w:tc>
              <w:tc>
                <w:tcPr>
                  <w:tcW w:w="967" w:type="pct"/>
                  <w:noWrap w:val="0"/>
                  <w:vAlign w:val="center"/>
                </w:tcPr>
                <w:p w14:paraId="596457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495789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0.11</w:t>
                  </w:r>
                </w:p>
              </w:tc>
              <w:tc>
                <w:tcPr>
                  <w:tcW w:w="407" w:type="pct"/>
                  <w:noWrap w:val="0"/>
                  <w:vAlign w:val="center"/>
                </w:tcPr>
                <w:p w14:paraId="5ACF32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7949F4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4CD5D9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23</w:t>
                  </w:r>
                </w:p>
              </w:tc>
              <w:tc>
                <w:tcPr>
                  <w:tcW w:w="2219" w:type="pct"/>
                  <w:noWrap w:val="0"/>
                  <w:vAlign w:val="center"/>
                </w:tcPr>
                <w:p w14:paraId="192646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注射室2中央地面</w:t>
                  </w:r>
                </w:p>
              </w:tc>
              <w:tc>
                <w:tcPr>
                  <w:tcW w:w="967" w:type="pct"/>
                  <w:noWrap w:val="0"/>
                  <w:vAlign w:val="center"/>
                </w:tcPr>
                <w:p w14:paraId="717713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2D55BA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0.10</w:t>
                  </w:r>
                </w:p>
              </w:tc>
              <w:tc>
                <w:tcPr>
                  <w:tcW w:w="407" w:type="pct"/>
                  <w:noWrap w:val="0"/>
                  <w:vAlign w:val="center"/>
                </w:tcPr>
                <w:p w14:paraId="6990C9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1A2A92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433734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24</w:t>
                  </w:r>
                </w:p>
              </w:tc>
              <w:tc>
                <w:tcPr>
                  <w:tcW w:w="2219" w:type="pct"/>
                  <w:noWrap w:val="0"/>
                  <w:vAlign w:val="center"/>
                </w:tcPr>
                <w:p w14:paraId="48987A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PET候诊大厅中央地面</w:t>
                  </w:r>
                </w:p>
              </w:tc>
              <w:tc>
                <w:tcPr>
                  <w:tcW w:w="967" w:type="pct"/>
                  <w:noWrap w:val="0"/>
                  <w:vAlign w:val="center"/>
                </w:tcPr>
                <w:p w14:paraId="6E5FC8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42EF75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4715FE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7C3EF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1C9E38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25</w:t>
                  </w:r>
                </w:p>
              </w:tc>
              <w:tc>
                <w:tcPr>
                  <w:tcW w:w="2219" w:type="pct"/>
                  <w:noWrap w:val="0"/>
                  <w:vAlign w:val="center"/>
                </w:tcPr>
                <w:p w14:paraId="7276A2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北侧患者通道中央地面1#</w:t>
                  </w:r>
                </w:p>
              </w:tc>
              <w:tc>
                <w:tcPr>
                  <w:tcW w:w="967" w:type="pct"/>
                  <w:noWrap w:val="0"/>
                  <w:vAlign w:val="center"/>
                </w:tcPr>
                <w:p w14:paraId="15D671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19FB09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6A1388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28F907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52000C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26</w:t>
                  </w:r>
                </w:p>
              </w:tc>
              <w:tc>
                <w:tcPr>
                  <w:tcW w:w="2219" w:type="pct"/>
                  <w:noWrap w:val="0"/>
                  <w:vAlign w:val="center"/>
                </w:tcPr>
                <w:p w14:paraId="1B3AC7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北侧患者通道中央地面2#</w:t>
                  </w:r>
                </w:p>
              </w:tc>
              <w:tc>
                <w:tcPr>
                  <w:tcW w:w="967" w:type="pct"/>
                  <w:noWrap w:val="0"/>
                  <w:vAlign w:val="center"/>
                </w:tcPr>
                <w:p w14:paraId="694427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6A042D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1491F5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14C517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7DBBBA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27</w:t>
                  </w:r>
                </w:p>
              </w:tc>
              <w:tc>
                <w:tcPr>
                  <w:tcW w:w="2219" w:type="pct"/>
                  <w:noWrap w:val="0"/>
                  <w:vAlign w:val="center"/>
                </w:tcPr>
                <w:p w14:paraId="767ACB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东侧过道中央地面1#</w:t>
                  </w:r>
                </w:p>
              </w:tc>
              <w:tc>
                <w:tcPr>
                  <w:tcW w:w="967" w:type="pct"/>
                  <w:noWrap w:val="0"/>
                  <w:vAlign w:val="center"/>
                </w:tcPr>
                <w:p w14:paraId="7BDC99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62D31E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4B6227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04E774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2AC257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28</w:t>
                  </w:r>
                </w:p>
              </w:tc>
              <w:tc>
                <w:tcPr>
                  <w:tcW w:w="2219" w:type="pct"/>
                  <w:noWrap w:val="0"/>
                  <w:vAlign w:val="center"/>
                </w:tcPr>
                <w:p w14:paraId="3C993E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东侧过道中央地面2#</w:t>
                  </w:r>
                </w:p>
              </w:tc>
              <w:tc>
                <w:tcPr>
                  <w:tcW w:w="967" w:type="pct"/>
                  <w:noWrap w:val="0"/>
                  <w:vAlign w:val="center"/>
                </w:tcPr>
                <w:p w14:paraId="7C5568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16DDB2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7C85D5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287FED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165D88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29</w:t>
                  </w:r>
                </w:p>
              </w:tc>
              <w:tc>
                <w:tcPr>
                  <w:tcW w:w="2219" w:type="pct"/>
                  <w:noWrap w:val="0"/>
                  <w:vAlign w:val="center"/>
                </w:tcPr>
                <w:p w14:paraId="106E12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南侧患者通道中央地面1#</w:t>
                  </w:r>
                </w:p>
              </w:tc>
              <w:tc>
                <w:tcPr>
                  <w:tcW w:w="967" w:type="pct"/>
                  <w:noWrap w:val="0"/>
                  <w:vAlign w:val="center"/>
                </w:tcPr>
                <w:p w14:paraId="3FD0AA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3A90C3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1F8B1F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32D802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2" w:hRule="exact"/>
              </w:trPr>
              <w:tc>
                <w:tcPr>
                  <w:tcW w:w="379" w:type="pct"/>
                  <w:noWrap w:val="0"/>
                  <w:vAlign w:val="center"/>
                </w:tcPr>
                <w:p w14:paraId="2FB80A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30</w:t>
                  </w:r>
                </w:p>
              </w:tc>
              <w:tc>
                <w:tcPr>
                  <w:tcW w:w="2219" w:type="pct"/>
                  <w:noWrap w:val="0"/>
                  <w:vAlign w:val="center"/>
                </w:tcPr>
                <w:p w14:paraId="74225F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南侧患者通道中央地面2#</w:t>
                  </w:r>
                </w:p>
              </w:tc>
              <w:tc>
                <w:tcPr>
                  <w:tcW w:w="967" w:type="pct"/>
                  <w:noWrap w:val="0"/>
                  <w:vAlign w:val="center"/>
                </w:tcPr>
                <w:p w14:paraId="2B875E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67DEAE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0C442C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59498C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5000" w:type="pct"/>
                  <w:gridSpan w:val="5"/>
                  <w:noWrap w:val="0"/>
                  <w:vAlign w:val="center"/>
                </w:tcPr>
                <w:p w14:paraId="1BB3AD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核医学楼一层</w:t>
                  </w:r>
                </w:p>
              </w:tc>
            </w:tr>
            <w:tr w14:paraId="50BCCB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24391F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31</w:t>
                  </w:r>
                </w:p>
              </w:tc>
              <w:tc>
                <w:tcPr>
                  <w:tcW w:w="2219" w:type="pct"/>
                  <w:noWrap w:val="0"/>
                  <w:vAlign w:val="center"/>
                </w:tcPr>
                <w:p w14:paraId="6B91B3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分碘室（</w:t>
                  </w:r>
                  <w:r>
                    <w:rPr>
                      <w:rFonts w:hint="default" w:ascii="Times New Roman" w:hAnsi="Times New Roman" w:eastAsia="宋体" w:cs="Times New Roman"/>
                      <w:color w:val="auto"/>
                      <w:spacing w:val="-1"/>
                      <w:kern w:val="2"/>
                      <w:sz w:val="21"/>
                      <w:szCs w:val="21"/>
                      <w:highlight w:val="none"/>
                      <w:vertAlign w:val="baseline"/>
                      <w:lang w:val="en-US" w:eastAsia="zh-CN" w:bidi="ar-SA"/>
                    </w:rPr>
                    <w:t>注射室1</w:t>
                  </w:r>
                  <w:r>
                    <w:rPr>
                      <w:rFonts w:hint="eastAsia" w:ascii="Times New Roman" w:hAnsi="Times New Roman" w:eastAsia="宋体" w:cs="Times New Roman"/>
                      <w:color w:val="auto"/>
                      <w:spacing w:val="-1"/>
                      <w:kern w:val="2"/>
                      <w:sz w:val="21"/>
                      <w:szCs w:val="21"/>
                      <w:highlight w:val="none"/>
                      <w:vertAlign w:val="baseline"/>
                      <w:lang w:val="en-US" w:eastAsia="zh-CN" w:bidi="ar-SA"/>
                    </w:rPr>
                    <w:t>）</w:t>
                  </w:r>
                  <w:r>
                    <w:rPr>
                      <w:rFonts w:hint="default" w:ascii="Times New Roman" w:hAnsi="Times New Roman" w:eastAsia="宋体" w:cs="Times New Roman"/>
                      <w:color w:val="auto"/>
                      <w:spacing w:val="-1"/>
                      <w:kern w:val="2"/>
                      <w:sz w:val="21"/>
                      <w:szCs w:val="21"/>
                      <w:highlight w:val="none"/>
                      <w:vertAlign w:val="baseline"/>
                      <w:lang w:val="en-US" w:eastAsia="zh-CN" w:bidi="ar-SA"/>
                    </w:rPr>
                    <w:t>中央</w:t>
                  </w:r>
                </w:p>
              </w:tc>
              <w:tc>
                <w:tcPr>
                  <w:tcW w:w="967" w:type="pct"/>
                  <w:noWrap w:val="0"/>
                  <w:vAlign w:val="center"/>
                </w:tcPr>
                <w:p w14:paraId="6419D4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6AD8F5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0.11</w:t>
                  </w:r>
                </w:p>
              </w:tc>
              <w:tc>
                <w:tcPr>
                  <w:tcW w:w="407" w:type="pct"/>
                  <w:noWrap w:val="0"/>
                  <w:vAlign w:val="center"/>
                </w:tcPr>
                <w:p w14:paraId="53ABE4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2A310F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7C1D68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32</w:t>
                  </w:r>
                </w:p>
              </w:tc>
              <w:tc>
                <w:tcPr>
                  <w:tcW w:w="2219" w:type="pct"/>
                  <w:noWrap w:val="0"/>
                  <w:vAlign w:val="center"/>
                </w:tcPr>
                <w:p w14:paraId="72D836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注射室2中央</w:t>
                  </w:r>
                </w:p>
              </w:tc>
              <w:tc>
                <w:tcPr>
                  <w:tcW w:w="967" w:type="pct"/>
                  <w:noWrap w:val="0"/>
                  <w:vAlign w:val="center"/>
                </w:tcPr>
                <w:p w14:paraId="4909DD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426A8B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0.11</w:t>
                  </w:r>
                </w:p>
              </w:tc>
              <w:tc>
                <w:tcPr>
                  <w:tcW w:w="407" w:type="pct"/>
                  <w:noWrap w:val="0"/>
                  <w:vAlign w:val="center"/>
                </w:tcPr>
                <w:p w14:paraId="23955C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4085C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3AEFC0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33</w:t>
                  </w:r>
                </w:p>
              </w:tc>
              <w:tc>
                <w:tcPr>
                  <w:tcW w:w="2219" w:type="pct"/>
                  <w:noWrap w:val="0"/>
                  <w:vAlign w:val="center"/>
                </w:tcPr>
                <w:p w14:paraId="252EC9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SPECT候诊大厅中央</w:t>
                  </w:r>
                </w:p>
              </w:tc>
              <w:tc>
                <w:tcPr>
                  <w:tcW w:w="967" w:type="pct"/>
                  <w:noWrap w:val="0"/>
                  <w:vAlign w:val="center"/>
                </w:tcPr>
                <w:p w14:paraId="5FE5F8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27BD3F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0.12</w:t>
                  </w:r>
                </w:p>
              </w:tc>
              <w:tc>
                <w:tcPr>
                  <w:tcW w:w="407" w:type="pct"/>
                  <w:noWrap w:val="0"/>
                  <w:vAlign w:val="center"/>
                </w:tcPr>
                <w:p w14:paraId="3D0BDC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5D6AD5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67E25C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34</w:t>
                  </w:r>
                </w:p>
              </w:tc>
              <w:tc>
                <w:tcPr>
                  <w:tcW w:w="2219" w:type="pct"/>
                  <w:noWrap w:val="0"/>
                  <w:vAlign w:val="center"/>
                </w:tcPr>
                <w:p w14:paraId="345397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北侧患者通道中央</w:t>
                  </w:r>
                </w:p>
              </w:tc>
              <w:tc>
                <w:tcPr>
                  <w:tcW w:w="967" w:type="pct"/>
                  <w:noWrap w:val="0"/>
                  <w:vAlign w:val="center"/>
                </w:tcPr>
                <w:p w14:paraId="4AA45A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529C90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0.11</w:t>
                  </w:r>
                </w:p>
              </w:tc>
              <w:tc>
                <w:tcPr>
                  <w:tcW w:w="407" w:type="pct"/>
                  <w:noWrap w:val="0"/>
                  <w:vAlign w:val="center"/>
                </w:tcPr>
                <w:p w14:paraId="3666CE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eastAsia"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E8C47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6FE162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35</w:t>
                  </w:r>
                </w:p>
              </w:tc>
              <w:tc>
                <w:tcPr>
                  <w:tcW w:w="2219" w:type="pct"/>
                  <w:noWrap w:val="0"/>
                  <w:vAlign w:val="center"/>
                </w:tcPr>
                <w:p w14:paraId="1541AC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东侧过道中央</w:t>
                  </w:r>
                </w:p>
              </w:tc>
              <w:tc>
                <w:tcPr>
                  <w:tcW w:w="967" w:type="pct"/>
                  <w:noWrap w:val="0"/>
                  <w:vAlign w:val="center"/>
                </w:tcPr>
                <w:p w14:paraId="2B6322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45A169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0.12</w:t>
                  </w:r>
                </w:p>
              </w:tc>
              <w:tc>
                <w:tcPr>
                  <w:tcW w:w="407" w:type="pct"/>
                  <w:noWrap w:val="0"/>
                  <w:vAlign w:val="center"/>
                </w:tcPr>
                <w:p w14:paraId="7DEA2C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2DBBB5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40EAD5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36</w:t>
                  </w:r>
                </w:p>
              </w:tc>
              <w:tc>
                <w:tcPr>
                  <w:tcW w:w="2219" w:type="pct"/>
                  <w:noWrap w:val="0"/>
                  <w:vAlign w:val="center"/>
                </w:tcPr>
                <w:p w14:paraId="2D4897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南侧患者通道中央</w:t>
                  </w:r>
                </w:p>
              </w:tc>
              <w:tc>
                <w:tcPr>
                  <w:tcW w:w="967" w:type="pct"/>
                  <w:noWrap w:val="0"/>
                  <w:vAlign w:val="center"/>
                </w:tcPr>
                <w:p w14:paraId="2AEDB6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232420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0.11</w:t>
                  </w:r>
                </w:p>
              </w:tc>
              <w:tc>
                <w:tcPr>
                  <w:tcW w:w="407" w:type="pct"/>
                  <w:noWrap w:val="0"/>
                  <w:vAlign w:val="center"/>
                </w:tcPr>
                <w:p w14:paraId="360EE6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E163D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1F5FE2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37</w:t>
                  </w:r>
                </w:p>
              </w:tc>
              <w:tc>
                <w:tcPr>
                  <w:tcW w:w="2219" w:type="pct"/>
                  <w:noWrap w:val="0"/>
                  <w:vAlign w:val="center"/>
                </w:tcPr>
                <w:p w14:paraId="57FFC5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医护通道通道中央</w:t>
                  </w:r>
                </w:p>
              </w:tc>
              <w:tc>
                <w:tcPr>
                  <w:tcW w:w="967" w:type="pct"/>
                  <w:noWrap w:val="0"/>
                  <w:vAlign w:val="center"/>
                </w:tcPr>
                <w:p w14:paraId="1C3840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28A490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0.11</w:t>
                  </w:r>
                </w:p>
              </w:tc>
              <w:tc>
                <w:tcPr>
                  <w:tcW w:w="407" w:type="pct"/>
                  <w:noWrap w:val="0"/>
                  <w:vAlign w:val="center"/>
                </w:tcPr>
                <w:p w14:paraId="5219B9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6B34BB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5000" w:type="pct"/>
                  <w:gridSpan w:val="5"/>
                  <w:noWrap w:val="0"/>
                  <w:vAlign w:val="center"/>
                </w:tcPr>
                <w:p w14:paraId="4AAEC4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核医学楼负一层</w:t>
                  </w:r>
                </w:p>
              </w:tc>
            </w:tr>
            <w:tr w14:paraId="4DF619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3281A0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38</w:t>
                  </w:r>
                </w:p>
              </w:tc>
              <w:tc>
                <w:tcPr>
                  <w:tcW w:w="2219" w:type="pct"/>
                  <w:noWrap w:val="0"/>
                  <w:vAlign w:val="center"/>
                </w:tcPr>
                <w:p w14:paraId="3C6BAA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回旋加速器室中央地面</w:t>
                  </w:r>
                </w:p>
              </w:tc>
              <w:tc>
                <w:tcPr>
                  <w:tcW w:w="967" w:type="pct"/>
                  <w:noWrap w:val="0"/>
                  <w:vAlign w:val="center"/>
                </w:tcPr>
                <w:p w14:paraId="6DBE28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282DAE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0.10</w:t>
                  </w:r>
                </w:p>
              </w:tc>
              <w:tc>
                <w:tcPr>
                  <w:tcW w:w="407" w:type="pct"/>
                  <w:noWrap w:val="0"/>
                  <w:vAlign w:val="center"/>
                </w:tcPr>
                <w:p w14:paraId="5C9069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70860F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47E840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39</w:t>
                  </w:r>
                </w:p>
              </w:tc>
              <w:tc>
                <w:tcPr>
                  <w:tcW w:w="2219" w:type="pct"/>
                  <w:noWrap w:val="0"/>
                  <w:vAlign w:val="center"/>
                </w:tcPr>
                <w:p w14:paraId="703642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热室中央地面</w:t>
                  </w:r>
                </w:p>
              </w:tc>
              <w:tc>
                <w:tcPr>
                  <w:tcW w:w="967" w:type="pct"/>
                  <w:noWrap w:val="0"/>
                  <w:vAlign w:val="center"/>
                </w:tcPr>
                <w:p w14:paraId="6F779D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218EC6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0.12</w:t>
                  </w:r>
                </w:p>
              </w:tc>
              <w:tc>
                <w:tcPr>
                  <w:tcW w:w="407" w:type="pct"/>
                  <w:noWrap w:val="0"/>
                  <w:vAlign w:val="center"/>
                </w:tcPr>
                <w:p w14:paraId="0C4EB3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676B3F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4647D6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40</w:t>
                  </w:r>
                </w:p>
              </w:tc>
              <w:tc>
                <w:tcPr>
                  <w:tcW w:w="2219" w:type="pct"/>
                  <w:noWrap w:val="0"/>
                  <w:vAlign w:val="center"/>
                </w:tcPr>
                <w:p w14:paraId="41A771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单光子药物生产车间中央地面</w:t>
                  </w:r>
                </w:p>
              </w:tc>
              <w:tc>
                <w:tcPr>
                  <w:tcW w:w="967" w:type="pct"/>
                  <w:noWrap w:val="0"/>
                  <w:vAlign w:val="center"/>
                </w:tcPr>
                <w:p w14:paraId="3235B4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499CFD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0.12</w:t>
                  </w:r>
                </w:p>
              </w:tc>
              <w:tc>
                <w:tcPr>
                  <w:tcW w:w="407" w:type="pct"/>
                  <w:noWrap w:val="0"/>
                  <w:vAlign w:val="center"/>
                </w:tcPr>
                <w:p w14:paraId="21E4B5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12ECAB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3EB13E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41</w:t>
                  </w:r>
                </w:p>
              </w:tc>
              <w:tc>
                <w:tcPr>
                  <w:tcW w:w="2219" w:type="pct"/>
                  <w:noWrap w:val="0"/>
                  <w:vAlign w:val="center"/>
                </w:tcPr>
                <w:p w14:paraId="09489D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质控室中央地面</w:t>
                  </w:r>
                </w:p>
              </w:tc>
              <w:tc>
                <w:tcPr>
                  <w:tcW w:w="967" w:type="pct"/>
                  <w:noWrap w:val="0"/>
                  <w:vAlign w:val="center"/>
                </w:tcPr>
                <w:p w14:paraId="68301F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26BF61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0.13</w:t>
                  </w:r>
                </w:p>
              </w:tc>
              <w:tc>
                <w:tcPr>
                  <w:tcW w:w="407" w:type="pct"/>
                  <w:noWrap w:val="0"/>
                  <w:vAlign w:val="center"/>
                </w:tcPr>
                <w:p w14:paraId="5E8261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299D99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15A6D6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42</w:t>
                  </w:r>
                </w:p>
              </w:tc>
              <w:tc>
                <w:tcPr>
                  <w:tcW w:w="2219" w:type="pct"/>
                  <w:noWrap w:val="0"/>
                  <w:vAlign w:val="center"/>
                </w:tcPr>
                <w:p w14:paraId="0830B9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北侧过道中央地面</w:t>
                  </w:r>
                </w:p>
              </w:tc>
              <w:tc>
                <w:tcPr>
                  <w:tcW w:w="967" w:type="pct"/>
                  <w:noWrap w:val="0"/>
                  <w:vAlign w:val="center"/>
                </w:tcPr>
                <w:p w14:paraId="54B3CA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58800A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0.13</w:t>
                  </w:r>
                </w:p>
              </w:tc>
              <w:tc>
                <w:tcPr>
                  <w:tcW w:w="407" w:type="pct"/>
                  <w:noWrap w:val="0"/>
                  <w:vAlign w:val="center"/>
                </w:tcPr>
                <w:p w14:paraId="55B456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57CA56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382C6E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43</w:t>
                  </w:r>
                </w:p>
              </w:tc>
              <w:tc>
                <w:tcPr>
                  <w:tcW w:w="2219" w:type="pct"/>
                  <w:noWrap w:val="0"/>
                  <w:vAlign w:val="center"/>
                </w:tcPr>
                <w:p w14:paraId="103B2D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东侧过道中央地面</w:t>
                  </w:r>
                </w:p>
              </w:tc>
              <w:tc>
                <w:tcPr>
                  <w:tcW w:w="967" w:type="pct"/>
                  <w:noWrap w:val="0"/>
                  <w:vAlign w:val="center"/>
                </w:tcPr>
                <w:p w14:paraId="1264C3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7D5805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0.12</w:t>
                  </w:r>
                </w:p>
              </w:tc>
              <w:tc>
                <w:tcPr>
                  <w:tcW w:w="407" w:type="pct"/>
                  <w:noWrap w:val="0"/>
                  <w:vAlign w:val="center"/>
                </w:tcPr>
                <w:p w14:paraId="678C8A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C6ABE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7B0801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44</w:t>
                  </w:r>
                </w:p>
              </w:tc>
              <w:tc>
                <w:tcPr>
                  <w:tcW w:w="2219" w:type="pct"/>
                  <w:noWrap w:val="0"/>
                  <w:vAlign w:val="center"/>
                </w:tcPr>
                <w:p w14:paraId="595F35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南侧过道中央地面</w:t>
                  </w:r>
                </w:p>
              </w:tc>
              <w:tc>
                <w:tcPr>
                  <w:tcW w:w="967" w:type="pct"/>
                  <w:noWrap w:val="0"/>
                  <w:vAlign w:val="center"/>
                </w:tcPr>
                <w:p w14:paraId="6BEFB8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4CB9E2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0.12</w:t>
                  </w:r>
                </w:p>
              </w:tc>
              <w:tc>
                <w:tcPr>
                  <w:tcW w:w="407" w:type="pct"/>
                  <w:noWrap w:val="0"/>
                  <w:vAlign w:val="center"/>
                </w:tcPr>
                <w:p w14:paraId="46DC88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98868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34F2F3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45</w:t>
                  </w:r>
                </w:p>
              </w:tc>
              <w:tc>
                <w:tcPr>
                  <w:tcW w:w="2219" w:type="pct"/>
                  <w:noWrap w:val="0"/>
                  <w:vAlign w:val="center"/>
                </w:tcPr>
                <w:p w14:paraId="0B89B1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西侧过道中央地面</w:t>
                  </w:r>
                </w:p>
              </w:tc>
              <w:tc>
                <w:tcPr>
                  <w:tcW w:w="967" w:type="pct"/>
                  <w:noWrap w:val="0"/>
                  <w:vAlign w:val="center"/>
                </w:tcPr>
                <w:p w14:paraId="68BAEE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3D6BBF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0.12</w:t>
                  </w:r>
                </w:p>
              </w:tc>
              <w:tc>
                <w:tcPr>
                  <w:tcW w:w="407" w:type="pct"/>
                  <w:noWrap w:val="0"/>
                  <w:vAlign w:val="center"/>
                </w:tcPr>
                <w:p w14:paraId="57CA56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546E64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5000" w:type="pct"/>
                  <w:gridSpan w:val="5"/>
                  <w:noWrap w:val="0"/>
                  <w:vAlign w:val="center"/>
                </w:tcPr>
                <w:p w14:paraId="52D19E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综合楼</w:t>
                  </w:r>
                </w:p>
              </w:tc>
            </w:tr>
            <w:tr w14:paraId="5C70C4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004263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46</w:t>
                  </w:r>
                </w:p>
              </w:tc>
              <w:tc>
                <w:tcPr>
                  <w:tcW w:w="2219" w:type="pct"/>
                  <w:noWrap w:val="0"/>
                  <w:vAlign w:val="center"/>
                </w:tcPr>
                <w:p w14:paraId="05E135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综合楼介入2室机房中央地面</w:t>
                  </w:r>
                </w:p>
              </w:tc>
              <w:tc>
                <w:tcPr>
                  <w:tcW w:w="967" w:type="pct"/>
                  <w:noWrap w:val="0"/>
                  <w:vAlign w:val="center"/>
                </w:tcPr>
                <w:p w14:paraId="035F03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580887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437F48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w:t>
                  </w:r>
                </w:p>
              </w:tc>
            </w:tr>
            <w:tr w14:paraId="19C47C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5B295C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47</w:t>
                  </w:r>
                </w:p>
              </w:tc>
              <w:tc>
                <w:tcPr>
                  <w:tcW w:w="2219" w:type="pct"/>
                  <w:noWrap w:val="0"/>
                  <w:vAlign w:val="center"/>
                </w:tcPr>
                <w:p w14:paraId="43AEC5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综合楼介入2室控制室中央地面</w:t>
                  </w:r>
                </w:p>
              </w:tc>
              <w:tc>
                <w:tcPr>
                  <w:tcW w:w="967" w:type="pct"/>
                  <w:noWrap w:val="0"/>
                  <w:vAlign w:val="center"/>
                </w:tcPr>
                <w:p w14:paraId="7FA253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0B76DB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217F31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w:t>
                  </w:r>
                </w:p>
              </w:tc>
            </w:tr>
            <w:tr w14:paraId="1ED41C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15DF58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48</w:t>
                  </w:r>
                </w:p>
              </w:tc>
              <w:tc>
                <w:tcPr>
                  <w:tcW w:w="2219" w:type="pct"/>
                  <w:noWrap w:val="0"/>
                  <w:vAlign w:val="center"/>
                </w:tcPr>
                <w:p w14:paraId="3ECD80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综合楼介入2室患者通道中央地面</w:t>
                  </w:r>
                </w:p>
              </w:tc>
              <w:tc>
                <w:tcPr>
                  <w:tcW w:w="967" w:type="pct"/>
                  <w:noWrap w:val="0"/>
                  <w:vAlign w:val="center"/>
                </w:tcPr>
                <w:p w14:paraId="01CF74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561169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0A9B2D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778AA0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59E94E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49</w:t>
                  </w:r>
                </w:p>
              </w:tc>
              <w:tc>
                <w:tcPr>
                  <w:tcW w:w="2219" w:type="pct"/>
                  <w:noWrap w:val="0"/>
                  <w:vAlign w:val="center"/>
                </w:tcPr>
                <w:p w14:paraId="6C8DCE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综合楼介入2室医护通道中央地面</w:t>
                  </w:r>
                </w:p>
              </w:tc>
              <w:tc>
                <w:tcPr>
                  <w:tcW w:w="967" w:type="pct"/>
                  <w:noWrap w:val="0"/>
                  <w:vAlign w:val="center"/>
                </w:tcPr>
                <w:p w14:paraId="361D0F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788C4D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74C9F6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6F2BCD3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51EFB6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50</w:t>
                  </w:r>
                </w:p>
              </w:tc>
              <w:tc>
                <w:tcPr>
                  <w:tcW w:w="2219" w:type="pct"/>
                  <w:noWrap w:val="0"/>
                  <w:vAlign w:val="center"/>
                </w:tcPr>
                <w:p w14:paraId="2B5007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项目区东侧</w:t>
                  </w:r>
                </w:p>
              </w:tc>
              <w:tc>
                <w:tcPr>
                  <w:tcW w:w="967" w:type="pct"/>
                  <w:noWrap w:val="0"/>
                  <w:vAlign w:val="center"/>
                </w:tcPr>
                <w:p w14:paraId="0B6BA0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0B3A18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105305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757D91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2F3690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51</w:t>
                  </w:r>
                </w:p>
              </w:tc>
              <w:tc>
                <w:tcPr>
                  <w:tcW w:w="2219" w:type="pct"/>
                  <w:noWrap w:val="0"/>
                  <w:vAlign w:val="center"/>
                </w:tcPr>
                <w:p w14:paraId="7897DF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项目区南侧</w:t>
                  </w:r>
                </w:p>
              </w:tc>
              <w:tc>
                <w:tcPr>
                  <w:tcW w:w="967" w:type="pct"/>
                  <w:noWrap w:val="0"/>
                  <w:vAlign w:val="center"/>
                </w:tcPr>
                <w:p w14:paraId="7F4CEF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37C72F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424ECD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279774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326CDF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52</w:t>
                  </w:r>
                </w:p>
              </w:tc>
              <w:tc>
                <w:tcPr>
                  <w:tcW w:w="2219" w:type="pct"/>
                  <w:noWrap w:val="0"/>
                  <w:vAlign w:val="center"/>
                </w:tcPr>
                <w:p w14:paraId="102AC4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项目区西侧</w:t>
                  </w:r>
                </w:p>
              </w:tc>
              <w:tc>
                <w:tcPr>
                  <w:tcW w:w="967" w:type="pct"/>
                  <w:noWrap w:val="0"/>
                  <w:vAlign w:val="center"/>
                </w:tcPr>
                <w:p w14:paraId="7F1ECD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1026" w:type="pct"/>
                  <w:noWrap w:val="0"/>
                  <w:vAlign w:val="center"/>
                </w:tcPr>
                <w:p w14:paraId="278BC3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0297F5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636A16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4B26DC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53</w:t>
                  </w:r>
                </w:p>
              </w:tc>
              <w:tc>
                <w:tcPr>
                  <w:tcW w:w="2219" w:type="pct"/>
                  <w:noWrap w:val="0"/>
                  <w:vAlign w:val="center"/>
                </w:tcPr>
                <w:p w14:paraId="7B9256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项目区北侧</w:t>
                  </w:r>
                </w:p>
              </w:tc>
              <w:tc>
                <w:tcPr>
                  <w:tcW w:w="0" w:type="auto"/>
                  <w:noWrap w:val="0"/>
                  <w:vAlign w:val="center"/>
                </w:tcPr>
                <w:p w14:paraId="1D873A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0" w:type="auto"/>
                  <w:noWrap w:val="0"/>
                  <w:vAlign w:val="center"/>
                </w:tcPr>
                <w:p w14:paraId="1136B0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435664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410F93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exact"/>
              </w:trPr>
              <w:tc>
                <w:tcPr>
                  <w:tcW w:w="379" w:type="pct"/>
                  <w:noWrap w:val="0"/>
                  <w:vAlign w:val="center"/>
                </w:tcPr>
                <w:p w14:paraId="4F479D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54</w:t>
                  </w:r>
                </w:p>
              </w:tc>
              <w:tc>
                <w:tcPr>
                  <w:tcW w:w="2219" w:type="pct"/>
                  <w:noWrap w:val="0"/>
                  <w:vAlign w:val="center"/>
                </w:tcPr>
                <w:p w14:paraId="1EE576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新疆天文台大门口</w:t>
                  </w:r>
                </w:p>
              </w:tc>
              <w:tc>
                <w:tcPr>
                  <w:tcW w:w="0" w:type="auto"/>
                  <w:noWrap w:val="0"/>
                  <w:vAlign w:val="center"/>
                </w:tcPr>
                <w:p w14:paraId="7614EB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0" w:type="auto"/>
                  <w:noWrap w:val="0"/>
                  <w:vAlign w:val="center"/>
                </w:tcPr>
                <w:p w14:paraId="1A69C9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665938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r w14:paraId="0E1A36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8" w:hRule="exact"/>
              </w:trPr>
              <w:tc>
                <w:tcPr>
                  <w:tcW w:w="379" w:type="pct"/>
                  <w:noWrap w:val="0"/>
                  <w:vAlign w:val="center"/>
                </w:tcPr>
                <w:p w14:paraId="1A4290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55</w:t>
                  </w:r>
                </w:p>
              </w:tc>
              <w:tc>
                <w:tcPr>
                  <w:tcW w:w="2219" w:type="pct"/>
                  <w:noWrap w:val="0"/>
                  <w:vAlign w:val="center"/>
                </w:tcPr>
                <w:p w14:paraId="4A4E75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eastAsia" w:ascii="Times New Roman" w:hAnsi="Times New Roman" w:eastAsia="宋体" w:cs="Times New Roman"/>
                      <w:color w:val="auto"/>
                      <w:spacing w:val="-1"/>
                      <w:kern w:val="2"/>
                      <w:sz w:val="21"/>
                      <w:szCs w:val="21"/>
                      <w:highlight w:val="none"/>
                      <w:vertAlign w:val="baseline"/>
                      <w:lang w:val="en-US" w:eastAsia="zh-CN" w:bidi="ar-SA"/>
                    </w:rPr>
                    <w:t>瀚乐轩小区大门口</w:t>
                  </w:r>
                </w:p>
              </w:tc>
              <w:tc>
                <w:tcPr>
                  <w:tcW w:w="0" w:type="auto"/>
                  <w:noWrap w:val="0"/>
                  <w:vAlign w:val="center"/>
                </w:tcPr>
                <w:p w14:paraId="433DE3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α</w:t>
                  </w:r>
                </w:p>
              </w:tc>
              <w:tc>
                <w:tcPr>
                  <w:tcW w:w="0" w:type="auto"/>
                  <w:noWrap w:val="0"/>
                  <w:vAlign w:val="center"/>
                </w:tcPr>
                <w:p w14:paraId="17B67C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＜MDL β</w:t>
                  </w:r>
                </w:p>
              </w:tc>
              <w:tc>
                <w:tcPr>
                  <w:tcW w:w="407" w:type="pct"/>
                  <w:noWrap w:val="0"/>
                  <w:vAlign w:val="center"/>
                </w:tcPr>
                <w:p w14:paraId="3269D3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Lines="0" w:afterAutospacing="0" w:line="240" w:lineRule="auto"/>
                    <w:ind w:left="0" w:right="0"/>
                    <w:jc w:val="center"/>
                    <w:textAlignment w:val="auto"/>
                    <w:rPr>
                      <w:rFonts w:hint="default" w:ascii="Times New Roman" w:hAnsi="Times New Roman" w:eastAsia="宋体" w:cs="Times New Roman"/>
                      <w:color w:val="auto"/>
                      <w:spacing w:val="-1"/>
                      <w:kern w:val="2"/>
                      <w:sz w:val="21"/>
                      <w:szCs w:val="21"/>
                      <w:highlight w:val="none"/>
                      <w:vertAlign w:val="baseline"/>
                      <w:lang w:val="en-US" w:eastAsia="zh-CN" w:bidi="ar-SA"/>
                    </w:rPr>
                  </w:pPr>
                  <w:r>
                    <w:rPr>
                      <w:rFonts w:hint="default" w:ascii="Times New Roman" w:hAnsi="Times New Roman" w:eastAsia="宋体" w:cs="Times New Roman"/>
                      <w:color w:val="auto"/>
                      <w:spacing w:val="-1"/>
                      <w:kern w:val="2"/>
                      <w:sz w:val="21"/>
                      <w:szCs w:val="21"/>
                      <w:highlight w:val="none"/>
                      <w:vertAlign w:val="baseline"/>
                      <w:lang w:val="en-US" w:eastAsia="zh-CN" w:bidi="ar-SA"/>
                    </w:rPr>
                    <w:t>/</w:t>
                  </w:r>
                </w:p>
              </w:tc>
            </w:tr>
          </w:tbl>
          <w:p w14:paraId="1478622A">
            <w:pPr>
              <w:keepNext w:val="0"/>
              <w:keepLines w:val="0"/>
              <w:widowControl w:val="0"/>
              <w:suppressLineNumbers w:val="0"/>
              <w:spacing w:before="82" w:beforeLines="0" w:beforeAutospacing="0" w:after="0" w:afterLines="0" w:afterAutospacing="0" w:line="240" w:lineRule="auto"/>
              <w:ind w:left="0" w:right="0"/>
              <w:jc w:val="both"/>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bCs/>
                <w:color w:val="auto"/>
                <w:sz w:val="18"/>
                <w:szCs w:val="18"/>
                <w:highlight w:val="none"/>
              </w:rPr>
              <w:t>注：[</w:t>
            </w:r>
            <w:r>
              <w:rPr>
                <w:rFonts w:hint="eastAsia" w:ascii="Times New Roman" w:hAnsi="Times New Roman" w:eastAsia="宋体" w:cs="Times New Roman"/>
                <w:bCs/>
                <w:color w:val="auto"/>
                <w:sz w:val="18"/>
                <w:szCs w:val="18"/>
                <w:highlight w:val="none"/>
                <w:lang w:val="en-US" w:eastAsia="zh-CN"/>
              </w:rPr>
              <w:t>2</w:t>
            </w:r>
            <w:r>
              <w:rPr>
                <w:rFonts w:hint="default" w:ascii="Times New Roman" w:hAnsi="Times New Roman" w:eastAsia="宋体" w:cs="Times New Roman"/>
                <w:bCs/>
                <w:color w:val="auto"/>
                <w:sz w:val="18"/>
                <w:szCs w:val="18"/>
                <w:highlight w:val="none"/>
              </w:rPr>
              <w:t>]</w:t>
            </w:r>
            <w:r>
              <w:rPr>
                <w:rFonts w:hint="default" w:ascii="Times New Roman" w:hAnsi="Times New Roman" w:eastAsia="宋体" w:cs="Times New Roman"/>
                <w:bCs/>
                <w:color w:val="auto"/>
                <w:sz w:val="18"/>
                <w:szCs w:val="18"/>
                <w:highlight w:val="none"/>
                <w:lang w:val="en-US" w:eastAsia="zh-CN"/>
              </w:rPr>
              <w:t>α、β的仪器检出限分别为α：0.02</w:t>
            </w:r>
            <w:r>
              <w:rPr>
                <w:rFonts w:hint="default" w:ascii="Times New Roman" w:hAnsi="Times New Roman" w:eastAsia="宋体" w:cs="Times New Roman"/>
                <w:bCs/>
                <w:color w:val="auto"/>
                <w:sz w:val="18"/>
                <w:szCs w:val="18"/>
                <w:highlight w:val="none"/>
              </w:rPr>
              <w:t>Bq/cm</w:t>
            </w:r>
            <w:r>
              <w:rPr>
                <w:rFonts w:hint="default" w:ascii="Times New Roman" w:hAnsi="Times New Roman" w:eastAsia="宋体" w:cs="Times New Roman"/>
                <w:bCs/>
                <w:color w:val="auto"/>
                <w:sz w:val="18"/>
                <w:szCs w:val="18"/>
                <w:highlight w:val="none"/>
                <w:vertAlign w:val="superscript"/>
              </w:rPr>
              <w:t>2</w:t>
            </w:r>
            <w:r>
              <w:rPr>
                <w:rFonts w:hint="default" w:ascii="Times New Roman" w:hAnsi="Times New Roman" w:eastAsia="宋体" w:cs="Times New Roman"/>
                <w:bCs/>
                <w:color w:val="auto"/>
                <w:sz w:val="18"/>
                <w:szCs w:val="18"/>
                <w:highlight w:val="none"/>
                <w:lang w:eastAsia="zh-CN"/>
              </w:rPr>
              <w:t>，</w:t>
            </w:r>
            <w:r>
              <w:rPr>
                <w:rFonts w:hint="default" w:ascii="Times New Roman" w:hAnsi="Times New Roman" w:eastAsia="宋体" w:cs="Times New Roman"/>
                <w:bCs/>
                <w:color w:val="auto"/>
                <w:sz w:val="18"/>
                <w:szCs w:val="18"/>
                <w:highlight w:val="none"/>
                <w:lang w:val="en-US" w:eastAsia="zh-CN"/>
              </w:rPr>
              <w:t>β：0.07</w:t>
            </w:r>
            <w:r>
              <w:rPr>
                <w:rFonts w:hint="default" w:ascii="Times New Roman" w:hAnsi="Times New Roman" w:eastAsia="宋体" w:cs="Times New Roman"/>
                <w:bCs/>
                <w:color w:val="auto"/>
                <w:sz w:val="18"/>
                <w:szCs w:val="18"/>
                <w:highlight w:val="none"/>
              </w:rPr>
              <w:t>Bq/cm</w:t>
            </w:r>
            <w:r>
              <w:rPr>
                <w:rFonts w:hint="eastAsia" w:cs="Times New Roman"/>
                <w:bCs/>
                <w:color w:val="auto"/>
                <w:sz w:val="18"/>
                <w:szCs w:val="18"/>
                <w:highlight w:val="none"/>
                <w:vertAlign w:val="superscript"/>
                <w:lang w:val="en-US" w:eastAsia="zh-CN"/>
              </w:rPr>
              <w:t>2</w:t>
            </w:r>
            <w:r>
              <w:rPr>
                <w:rFonts w:hint="eastAsia" w:cs="Times New Roman"/>
                <w:bCs/>
                <w:color w:val="auto"/>
                <w:sz w:val="18"/>
                <w:szCs w:val="18"/>
                <w:highlight w:val="none"/>
                <w:vertAlign w:val="baseline"/>
                <w:lang w:val="en-US" w:eastAsia="zh-CN"/>
              </w:rPr>
              <w:t>。</w:t>
            </w:r>
          </w:p>
          <w:p w14:paraId="5E6D84B2">
            <w:pPr>
              <w:pStyle w:val="32"/>
              <w:keepNext w:val="0"/>
              <w:keepLines w:val="0"/>
              <w:suppressLineNumbers w:val="0"/>
              <w:shd w:val="clear"/>
              <w:spacing w:before="162" w:beforeAutospacing="0" w:after="0" w:afterAutospacing="0" w:line="360" w:lineRule="auto"/>
              <w:ind w:left="590"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评价结论</w:t>
            </w:r>
          </w:p>
          <w:p w14:paraId="64DF2CBE">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4"/>
                <w:szCs w:val="24"/>
                <w:highlight w:val="none"/>
              </w:rPr>
              <w:t>由表</w:t>
            </w:r>
            <w:r>
              <w:rPr>
                <w:rFonts w:hint="default" w:ascii="Times New Roman" w:hAnsi="Times New Roman" w:eastAsia="宋体" w:cs="Times New Roman"/>
                <w:color w:val="auto"/>
                <w:sz w:val="24"/>
                <w:szCs w:val="24"/>
                <w:highlight w:val="none"/>
                <w:lang w:eastAsia="zh-CN"/>
              </w:rPr>
              <w:t>8</w:t>
            </w:r>
            <w:r>
              <w:rPr>
                <w:rFonts w:hint="default" w:ascii="Times New Roman" w:hAnsi="Times New Roman" w:eastAsia="宋体" w:cs="Times New Roman"/>
                <w:color w:val="auto"/>
                <w:sz w:val="24"/>
                <w:szCs w:val="24"/>
                <w:highlight w:val="none"/>
              </w:rPr>
              <w:t>-2 所列的监测结</w:t>
            </w:r>
            <w:r>
              <w:rPr>
                <w:rFonts w:hint="default" w:ascii="Times New Roman" w:hAnsi="Times New Roman" w:eastAsia="宋体" w:cs="Times New Roman"/>
                <w:color w:val="auto"/>
                <w:sz w:val="24"/>
                <w:szCs w:val="24"/>
                <w:highlight w:val="none"/>
                <w:vertAlign w:val="baseline"/>
                <w:lang w:val="en-US" w:eastAsia="zh-CN"/>
              </w:rPr>
              <w:t>果可知：各监测点位的</w:t>
            </w:r>
            <w:r>
              <w:rPr>
                <w:rFonts w:hint="eastAsia" w:cs="Times New Roman"/>
                <w:color w:val="auto"/>
                <w:sz w:val="24"/>
                <w:szCs w:val="24"/>
                <w:highlight w:val="none"/>
                <w:vertAlign w:val="baseline"/>
                <w:lang w:val="en-US" w:eastAsia="zh-CN"/>
              </w:rPr>
              <w:t>环境γ</w:t>
            </w:r>
            <w:r>
              <w:rPr>
                <w:rFonts w:hint="default" w:ascii="Times New Roman" w:hAnsi="Times New Roman" w:eastAsia="宋体" w:cs="Times New Roman"/>
                <w:color w:val="auto"/>
                <w:sz w:val="24"/>
                <w:szCs w:val="24"/>
                <w:highlight w:val="none"/>
                <w:vertAlign w:val="baseline"/>
                <w:lang w:val="en-US" w:eastAsia="zh-CN"/>
              </w:rPr>
              <w:t>辐射空气吸收剂量率为</w:t>
            </w:r>
            <w:r>
              <w:rPr>
                <w:rFonts w:hint="default" w:ascii="Times New Roman" w:hAnsi="Times New Roman" w:cs="Times New Roman"/>
                <w:color w:val="auto"/>
                <w:sz w:val="24"/>
                <w:szCs w:val="24"/>
                <w:highlight w:val="none"/>
                <w:vertAlign w:val="baseline"/>
                <w:lang w:val="en-US" w:eastAsia="zh-CN"/>
              </w:rPr>
              <w:t>0.100~0.152μGy/h</w:t>
            </w:r>
            <w:r>
              <w:rPr>
                <w:rFonts w:hint="eastAsia" w:ascii="Times New Roman" w:hAnsi="Times New Roman" w:cs="Times New Roman"/>
                <w:color w:val="auto"/>
                <w:sz w:val="24"/>
                <w:szCs w:val="24"/>
                <w:highlight w:val="none"/>
                <w:vertAlign w:val="baseline"/>
                <w:lang w:val="en-US" w:eastAsia="zh-CN"/>
              </w:rPr>
              <w:t>，根据《新疆维吾尔自治区环境天然放射性水平调查研究报告》，乌鲁木齐市天然贯穿辐射室内剂量率在</w:t>
            </w:r>
            <w:r>
              <w:rPr>
                <w:rFonts w:hint="default" w:ascii="Times New Roman" w:hAnsi="Times New Roman" w:cs="Times New Roman"/>
                <w:color w:val="auto"/>
                <w:highlight w:val="none"/>
                <w:lang w:val="en-US" w:eastAsia="zh-CN"/>
              </w:rPr>
              <w:t>0.0825 μGy/h~ 0.2061μGy/h</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sz w:val="24"/>
                <w:szCs w:val="24"/>
                <w:highlight w:val="none"/>
                <w:vertAlign w:val="baseline"/>
                <w:lang w:val="en-US" w:eastAsia="zh-CN"/>
              </w:rPr>
              <w:t>8.25×10</w:t>
            </w:r>
            <w:r>
              <w:rPr>
                <w:rFonts w:hint="default" w:ascii="Times New Roman" w:hAnsi="Times New Roman" w:cs="Times New Roman"/>
                <w:color w:val="auto"/>
                <w:sz w:val="24"/>
                <w:szCs w:val="24"/>
                <w:highlight w:val="none"/>
                <w:vertAlign w:val="superscript"/>
                <w:lang w:val="en-US" w:eastAsia="zh-CN"/>
              </w:rPr>
              <w:t>-8</w:t>
            </w:r>
            <w:r>
              <w:rPr>
                <w:rFonts w:hint="default" w:ascii="Times New Roman" w:hAnsi="Times New Roman" w:cs="Times New Roman"/>
                <w:color w:val="auto"/>
                <w:sz w:val="24"/>
                <w:szCs w:val="24"/>
                <w:highlight w:val="none"/>
                <w:vertAlign w:val="baseline"/>
                <w:lang w:val="en-US" w:eastAsia="zh-CN"/>
              </w:rPr>
              <w:t>Gy/h~20.61×10</w:t>
            </w:r>
            <w:r>
              <w:rPr>
                <w:rFonts w:hint="default" w:ascii="Times New Roman" w:hAnsi="Times New Roman" w:cs="Times New Roman"/>
                <w:color w:val="auto"/>
                <w:sz w:val="24"/>
                <w:szCs w:val="24"/>
                <w:highlight w:val="none"/>
                <w:vertAlign w:val="superscript"/>
                <w:lang w:val="en-US" w:eastAsia="zh-CN"/>
              </w:rPr>
              <w:t>-8</w:t>
            </w:r>
            <w:r>
              <w:rPr>
                <w:rFonts w:hint="default" w:ascii="Times New Roman" w:hAnsi="Times New Roman" w:cs="Times New Roman"/>
                <w:color w:val="auto"/>
                <w:sz w:val="24"/>
                <w:szCs w:val="24"/>
                <w:highlight w:val="none"/>
                <w:vertAlign w:val="baseline"/>
                <w:lang w:val="en-US" w:eastAsia="zh-CN"/>
              </w:rPr>
              <w:t>Gy/h</w:t>
            </w:r>
            <w:r>
              <w:rPr>
                <w:rFonts w:hint="eastAsia" w:ascii="Times New Roman" w:hAnsi="Times New Roman" w:cs="Times New Roman"/>
                <w:color w:val="auto"/>
                <w:highlight w:val="none"/>
                <w:lang w:val="en-US" w:eastAsia="zh-CN"/>
              </w:rPr>
              <w:t>）之间，</w:t>
            </w:r>
            <w:r>
              <w:rPr>
                <w:rFonts w:hint="eastAsia" w:ascii="Times New Roman" w:hAnsi="Times New Roman" w:cs="Times New Roman"/>
                <w:color w:val="auto"/>
                <w:sz w:val="24"/>
                <w:szCs w:val="24"/>
                <w:highlight w:val="none"/>
                <w:vertAlign w:val="baseline"/>
                <w:lang w:val="en-US" w:eastAsia="zh-CN"/>
              </w:rPr>
              <w:t>天然贯穿辐射室外剂量率在</w:t>
            </w:r>
            <w:r>
              <w:rPr>
                <w:rFonts w:hint="default" w:ascii="Times New Roman" w:hAnsi="Times New Roman" w:cs="Times New Roman"/>
                <w:color w:val="auto"/>
                <w:highlight w:val="none"/>
                <w:lang w:val="en-US" w:eastAsia="zh-CN"/>
              </w:rPr>
              <w:t>0.0</w:t>
            </w:r>
            <w:r>
              <w:rPr>
                <w:rFonts w:hint="eastAsia" w:ascii="Times New Roman" w:hAnsi="Times New Roman" w:cs="Times New Roman"/>
                <w:color w:val="auto"/>
                <w:highlight w:val="none"/>
                <w:lang w:val="en-US" w:eastAsia="zh-CN"/>
              </w:rPr>
              <w:t>706</w:t>
            </w:r>
            <w:r>
              <w:rPr>
                <w:rFonts w:hint="default" w:ascii="Times New Roman" w:hAnsi="Times New Roman" w:cs="Times New Roman"/>
                <w:color w:val="auto"/>
                <w:highlight w:val="none"/>
                <w:lang w:val="en-US" w:eastAsia="zh-CN"/>
              </w:rPr>
              <w:t xml:space="preserve"> μGy/h~ 0.</w:t>
            </w:r>
            <w:r>
              <w:rPr>
                <w:rFonts w:hint="eastAsia" w:ascii="Times New Roman" w:hAnsi="Times New Roman" w:cs="Times New Roman"/>
                <w:color w:val="auto"/>
                <w:highlight w:val="none"/>
                <w:lang w:val="en-US" w:eastAsia="zh-CN"/>
              </w:rPr>
              <w:t>1834</w:t>
            </w:r>
            <w:r>
              <w:rPr>
                <w:rFonts w:hint="default" w:ascii="Times New Roman" w:hAnsi="Times New Roman" w:cs="Times New Roman"/>
                <w:color w:val="auto"/>
                <w:highlight w:val="none"/>
                <w:lang w:val="en-US" w:eastAsia="zh-CN"/>
              </w:rPr>
              <w:t>μGy/h</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sz w:val="24"/>
                <w:szCs w:val="24"/>
                <w:highlight w:val="none"/>
                <w:vertAlign w:val="baseline"/>
                <w:lang w:val="en-US" w:eastAsia="zh-CN"/>
              </w:rPr>
              <w:t>8.25×10</w:t>
            </w:r>
            <w:r>
              <w:rPr>
                <w:rFonts w:hint="default" w:ascii="Times New Roman" w:hAnsi="Times New Roman" w:cs="Times New Roman"/>
                <w:color w:val="auto"/>
                <w:sz w:val="24"/>
                <w:szCs w:val="24"/>
                <w:highlight w:val="none"/>
                <w:vertAlign w:val="superscript"/>
                <w:lang w:val="en-US" w:eastAsia="zh-CN"/>
              </w:rPr>
              <w:t>-8</w:t>
            </w:r>
            <w:r>
              <w:rPr>
                <w:rFonts w:hint="default" w:ascii="Times New Roman" w:hAnsi="Times New Roman" w:cs="Times New Roman"/>
                <w:color w:val="auto"/>
                <w:sz w:val="24"/>
                <w:szCs w:val="24"/>
                <w:highlight w:val="none"/>
                <w:vertAlign w:val="baseline"/>
                <w:lang w:val="en-US" w:eastAsia="zh-CN"/>
              </w:rPr>
              <w:t>Gy/h~20.61×10</w:t>
            </w:r>
            <w:r>
              <w:rPr>
                <w:rFonts w:hint="default" w:ascii="Times New Roman" w:hAnsi="Times New Roman" w:cs="Times New Roman"/>
                <w:color w:val="auto"/>
                <w:sz w:val="24"/>
                <w:szCs w:val="24"/>
                <w:highlight w:val="none"/>
                <w:vertAlign w:val="superscript"/>
                <w:lang w:val="en-US" w:eastAsia="zh-CN"/>
              </w:rPr>
              <w:t>-8</w:t>
            </w:r>
            <w:r>
              <w:rPr>
                <w:rFonts w:hint="default" w:ascii="Times New Roman" w:hAnsi="Times New Roman" w:cs="Times New Roman"/>
                <w:color w:val="auto"/>
                <w:sz w:val="24"/>
                <w:szCs w:val="24"/>
                <w:highlight w:val="none"/>
                <w:vertAlign w:val="baseline"/>
                <w:lang w:val="en-US" w:eastAsia="zh-CN"/>
              </w:rPr>
              <w:t>Gy/h</w:t>
            </w:r>
            <w:r>
              <w:rPr>
                <w:rFonts w:hint="default" w:ascii="Times New Roman" w:hAnsi="Times New Roman" w:cs="Times New Roman"/>
                <w:color w:val="auto"/>
                <w:highlight w:val="none"/>
                <w:lang w:val="en-US" w:eastAsia="zh-CN"/>
              </w:rPr>
              <w:t>）之间，</w:t>
            </w:r>
            <w:r>
              <w:rPr>
                <w:rFonts w:hint="default" w:ascii="Times New Roman" w:hAnsi="Times New Roman" w:eastAsia="宋体" w:cs="Times New Roman"/>
                <w:color w:val="auto"/>
                <w:sz w:val="24"/>
                <w:szCs w:val="24"/>
                <w:highlight w:val="none"/>
                <w:lang w:val="en-US" w:eastAsia="zh-CN"/>
              </w:rPr>
              <w:t>则可说明本项目</w:t>
            </w:r>
            <w:r>
              <w:rPr>
                <w:rFonts w:hint="default" w:ascii="Times New Roman" w:hAnsi="Times New Roman" w:eastAsia="宋体" w:cs="Times New Roman"/>
                <w:color w:val="auto"/>
                <w:sz w:val="24"/>
                <w:szCs w:val="24"/>
                <w:highlight w:val="none"/>
              </w:rPr>
              <w:t>γ辐射剂量率监测结果属于天然本底水平，未发现辐射异常</w:t>
            </w:r>
            <w:r>
              <w:rPr>
                <w:rFonts w:hint="default" w:ascii="Times New Roman" w:hAnsi="Times New Roman" w:eastAsia="宋体" w:cs="Times New Roman"/>
                <w:color w:val="auto"/>
                <w:sz w:val="24"/>
                <w:szCs w:val="24"/>
                <w:highlight w:val="none"/>
                <w:lang w:eastAsia="zh-CN"/>
              </w:rPr>
              <w:t>。</w:t>
            </w:r>
          </w:p>
          <w:p w14:paraId="6FAF35F9">
            <w:pPr>
              <w:keepNext w:val="0"/>
              <w:keepLines w:val="0"/>
              <w:widowControl/>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由表</w:t>
            </w:r>
            <w:r>
              <w:rPr>
                <w:rFonts w:hint="default" w:ascii="Times New Roman" w:hAnsi="Times New Roman" w:eastAsia="宋体" w:cs="Times New Roman"/>
                <w:color w:val="auto"/>
                <w:sz w:val="24"/>
                <w:szCs w:val="24"/>
                <w:highlight w:val="none"/>
                <w:lang w:eastAsia="zh-CN"/>
              </w:rPr>
              <w:t>8</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 xml:space="preserve"> 所列的监测结果可知：各监测点位的环境本底</w:t>
            </w:r>
            <w:r>
              <w:rPr>
                <w:rFonts w:hint="default" w:ascii="Times New Roman" w:hAnsi="Times New Roman" w:cs="Times New Roman"/>
                <w:color w:val="auto"/>
                <w:sz w:val="24"/>
                <w:szCs w:val="24"/>
                <w:highlight w:val="none"/>
                <w:lang w:val="en-US" w:eastAsia="zh-CN"/>
              </w:rPr>
              <w:t>α</w:t>
            </w:r>
            <w:r>
              <w:rPr>
                <w:rFonts w:hint="default" w:ascii="Times New Roman" w:hAnsi="Times New Roman" w:eastAsia="宋体" w:cs="Times New Roman"/>
                <w:color w:val="auto"/>
                <w:sz w:val="24"/>
                <w:szCs w:val="24"/>
                <w:highlight w:val="none"/>
                <w:lang w:val="en-US" w:eastAsia="zh-CN"/>
              </w:rPr>
              <w:t>表面污染</w:t>
            </w:r>
            <w:r>
              <w:rPr>
                <w:rFonts w:hint="default" w:ascii="Times New Roman" w:hAnsi="Times New Roman" w:cs="Times New Roman"/>
                <w:color w:val="auto"/>
                <w:sz w:val="24"/>
                <w:szCs w:val="24"/>
                <w:highlight w:val="none"/>
                <w:lang w:val="en-US" w:eastAsia="zh-CN"/>
              </w:rPr>
              <w:t>未检出，</w:t>
            </w:r>
            <w:r>
              <w:rPr>
                <w:rFonts w:hint="default" w:ascii="Times New Roman" w:hAnsi="Times New Roman" w:eastAsia="宋体" w:cs="Times New Roman"/>
                <w:color w:val="auto"/>
                <w:sz w:val="24"/>
                <w:szCs w:val="24"/>
                <w:highlight w:val="none"/>
                <w:lang w:val="en-US" w:eastAsia="zh-CN"/>
              </w:rPr>
              <w:t>β表面污染监测</w:t>
            </w:r>
            <w:r>
              <w:rPr>
                <w:rFonts w:hint="default" w:ascii="Times New Roman" w:hAnsi="Times New Roman" w:eastAsia="宋体" w:cs="Times New Roman"/>
                <w:color w:val="auto"/>
                <w:sz w:val="24"/>
                <w:szCs w:val="24"/>
                <w:highlight w:val="none"/>
              </w:rPr>
              <w:t>为</w:t>
            </w:r>
            <w:r>
              <w:rPr>
                <w:rFonts w:hint="default" w:ascii="Times New Roman" w:hAnsi="Times New Roman" w:eastAsia="宋体"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~0.</w:t>
            </w:r>
            <w:r>
              <w:rPr>
                <w:rFonts w:hint="default" w:ascii="Times New Roman" w:hAnsi="Times New Roman" w:cs="Times New Roman"/>
                <w:color w:val="auto"/>
                <w:sz w:val="24"/>
                <w:szCs w:val="24"/>
                <w:highlight w:val="none"/>
                <w:lang w:val="en-US" w:eastAsia="zh-CN"/>
              </w:rPr>
              <w:t>13</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Bq/cm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β表面污染监测结果低于《电离辐射防护与辐射源安全基本标准》（GB 18871-2002）中β放射性物质在工作台、设备、墙壁、地面控制区限值40Bq/cm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，监督区4 Bq/cm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vertAlign w:val="baseline"/>
                <w:lang w:val="en-US" w:eastAsia="zh-CN"/>
              </w:rPr>
              <w:t>的要求，</w:t>
            </w:r>
            <w:r>
              <w:rPr>
                <w:rFonts w:hint="default" w:ascii="Times New Roman" w:hAnsi="Times New Roman" w:eastAsia="宋体" w:cs="Times New Roman"/>
                <w:color w:val="auto"/>
                <w:sz w:val="24"/>
                <w:szCs w:val="24"/>
                <w:highlight w:val="none"/>
                <w:lang w:val="en-US" w:eastAsia="zh-CN"/>
              </w:rPr>
              <w:t>项目区表面污染处于正常本底水平。</w:t>
            </w:r>
          </w:p>
          <w:p w14:paraId="4ACF68E9">
            <w:pPr>
              <w:pStyle w:val="3"/>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color w:val="auto"/>
                <w:sz w:val="24"/>
                <w:szCs w:val="24"/>
                <w:highlight w:val="none"/>
                <w:lang w:val="en-US" w:eastAsia="zh-CN"/>
              </w:rPr>
            </w:pPr>
          </w:p>
          <w:p w14:paraId="1FE484C5">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新疆智检汇安环保科技有限公司</w:t>
            </w:r>
            <w:r>
              <w:rPr>
                <w:rFonts w:hint="eastAsia" w:ascii="Times New Roman" w:hAnsi="Times New Roman" w:eastAsia="宋体" w:cs="Times New Roman"/>
                <w:color w:val="auto"/>
                <w:highlight w:val="none"/>
                <w:lang w:val="en-US" w:eastAsia="zh-CN"/>
              </w:rPr>
              <w:t>于</w:t>
            </w:r>
            <w:r>
              <w:rPr>
                <w:rFonts w:hint="default" w:ascii="Times New Roman" w:hAnsi="Times New Roman" w:eastAsia="宋体" w:cs="Times New Roman"/>
                <w:color w:val="auto"/>
                <w:highlight w:val="none"/>
                <w:lang w:val="en-US" w:eastAsia="zh-CN"/>
              </w:rPr>
              <w:t>2026年</w:t>
            </w:r>
            <w:r>
              <w:rPr>
                <w:rFonts w:hint="eastAsia"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val="en-US" w:eastAsia="zh-CN"/>
              </w:rPr>
              <w:t>月</w:t>
            </w:r>
            <w:r>
              <w:rPr>
                <w:rFonts w:hint="eastAsia" w:ascii="Times New Roman" w:hAnsi="Times New Roman" w:eastAsia="宋体" w:cs="Times New Roman"/>
                <w:color w:val="auto"/>
                <w:highlight w:val="none"/>
                <w:lang w:val="en-US" w:eastAsia="zh-CN"/>
              </w:rPr>
              <w:t>20</w:t>
            </w:r>
            <w:r>
              <w:rPr>
                <w:rFonts w:hint="default" w:ascii="Times New Roman" w:hAnsi="Times New Roman" w:eastAsia="宋体" w:cs="Times New Roman"/>
                <w:color w:val="auto"/>
                <w:highlight w:val="none"/>
                <w:lang w:val="en-US" w:eastAsia="zh-CN"/>
              </w:rPr>
              <w:t>日</w:t>
            </w:r>
            <w:r>
              <w:rPr>
                <w:rFonts w:hint="eastAsia" w:ascii="Times New Roman" w:hAnsi="Times New Roman" w:eastAsia="宋体" w:cs="Times New Roman"/>
                <w:color w:val="auto"/>
                <w:highlight w:val="none"/>
                <w:lang w:val="en-US" w:eastAsia="zh-CN"/>
              </w:rPr>
              <w:t>对新疆医科大学附属肿瘤医院核医学楼内的“负三层衰变池、负一层单光子生产场所、一层SPECT 显像诊断场所、三层I-131核素治疗场所，新增使用2台SPECT/CT 设备；使用</w:t>
            </w:r>
            <w:r>
              <w:rPr>
                <w:rFonts w:hint="eastAsia" w:ascii="Times New Roman" w:hAnsi="Times New Roman" w:eastAsia="宋体" w:cs="Times New Roman"/>
                <w:color w:val="auto"/>
                <w:highlight w:val="none"/>
                <w:vertAlign w:val="superscript"/>
                <w:lang w:val="en-US" w:eastAsia="zh-CN"/>
              </w:rPr>
              <w:t>99</w:t>
            </w:r>
            <w:r>
              <w:rPr>
                <w:rFonts w:hint="eastAsia" w:ascii="Times New Roman" w:hAnsi="Times New Roman" w:eastAsia="宋体" w:cs="Times New Roman"/>
                <w:color w:val="auto"/>
                <w:highlight w:val="none"/>
                <w:lang w:val="en-US" w:eastAsia="zh-CN"/>
              </w:rPr>
              <w:t>Mo-</w:t>
            </w:r>
            <w:r>
              <w:rPr>
                <w:rFonts w:hint="eastAsia" w:ascii="Times New Roman" w:hAnsi="Times New Roman" w:eastAsia="宋体" w:cs="Times New Roman"/>
                <w:color w:val="auto"/>
                <w:highlight w:val="none"/>
                <w:vertAlign w:val="superscript"/>
                <w:lang w:val="en-US" w:eastAsia="zh-CN"/>
              </w:rPr>
              <w:t>99m</w:t>
            </w:r>
            <w:r>
              <w:rPr>
                <w:rFonts w:hint="eastAsia" w:ascii="Times New Roman" w:hAnsi="Times New Roman" w:eastAsia="宋体" w:cs="Times New Roman"/>
                <w:color w:val="auto"/>
                <w:highlight w:val="none"/>
                <w:lang w:val="en-US" w:eastAsia="zh-CN"/>
              </w:rPr>
              <w:t>Tc发生器用于淋洗放射性药物</w:t>
            </w:r>
            <w:r>
              <w:rPr>
                <w:rFonts w:hint="eastAsia" w:ascii="Times New Roman" w:hAnsi="Times New Roman" w:eastAsia="宋体" w:cs="Times New Roman"/>
                <w:color w:val="auto"/>
                <w:highlight w:val="none"/>
                <w:vertAlign w:val="superscript"/>
                <w:lang w:val="en-US" w:eastAsia="zh-CN"/>
              </w:rPr>
              <w:t>99m</w:t>
            </w:r>
            <w:r>
              <w:rPr>
                <w:rFonts w:hint="eastAsia" w:ascii="Times New Roman" w:hAnsi="Times New Roman" w:eastAsia="宋体" w:cs="Times New Roman"/>
                <w:color w:val="auto"/>
                <w:highlight w:val="none"/>
                <w:lang w:val="en-US" w:eastAsia="zh-CN"/>
              </w:rPr>
              <w:t>Tc、使用放射性药物</w:t>
            </w:r>
            <w:r>
              <w:rPr>
                <w:rFonts w:hint="eastAsia" w:ascii="Times New Roman" w:hAnsi="Times New Roman" w:eastAsia="宋体" w:cs="Times New Roman"/>
                <w:color w:val="auto"/>
                <w:highlight w:val="none"/>
                <w:vertAlign w:val="superscript"/>
                <w:lang w:val="en-US" w:eastAsia="zh-CN"/>
              </w:rPr>
              <w:t>99m</w:t>
            </w:r>
            <w:r>
              <w:rPr>
                <w:rFonts w:hint="eastAsia" w:ascii="Times New Roman" w:hAnsi="Times New Roman" w:eastAsia="宋体" w:cs="Times New Roman"/>
                <w:color w:val="auto"/>
                <w:highlight w:val="none"/>
                <w:lang w:val="en-US" w:eastAsia="zh-CN"/>
              </w:rPr>
              <w:t>Tc、I-131用于SPECT显像诊断；使用放射性药物I-131用于甲癌治疗”进行竣工环保验收监测，本次辐射环境现状监测同时引用现有项目监测成果，相关监测报告详见附件 8。参考《新疆医科大学中亚肿瘤医学中心项目一标段核医学中心项目竣工环境保护验收监测报告表》及其验收意见中的辐射环境监测结论：</w:t>
            </w:r>
          </w:p>
          <w:p w14:paraId="5143ABF1">
            <w:pPr>
              <w:pStyle w:val="3"/>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(1)核医学工作场所防护检测结果均满足《核医学辐射防护与安全要求》(HJ1188-2021)中“距核医学工作场所各控制区内房间防护门、观察窗和墙壁外表面30cm处的周围剂量当量率应小于2.5</w:t>
            </w:r>
            <w:r>
              <w:rPr>
                <w:rFonts w:hint="eastAsia" w:cs="Times New Roman"/>
                <w:b w:val="0"/>
                <w:bCs/>
                <w:color w:val="auto"/>
                <w:sz w:val="24"/>
                <w:szCs w:val="24"/>
                <w:highlight w:val="none"/>
                <w:lang w:val="en-US" w:eastAsia="zh-CN"/>
              </w:rPr>
              <w:t>μS</w:t>
            </w:r>
            <w:r>
              <w:rPr>
                <w:rFonts w:hint="default" w:ascii="Times New Roman" w:hAnsi="Times New Roman" w:cs="Times New Roman"/>
                <w:b w:val="0"/>
                <w:bCs/>
                <w:color w:val="auto"/>
                <w:sz w:val="24"/>
                <w:szCs w:val="24"/>
                <w:highlight w:val="none"/>
                <w:lang w:val="en-US" w:eastAsia="zh-CN"/>
              </w:rPr>
              <w:t>vm，如屏蔽墙外的房间为人员偶尔居留的设备间等区域，其周围剂量当量率应小于10μSv/h”。</w:t>
            </w:r>
          </w:p>
          <w:p w14:paraId="1382ABFE">
            <w:pPr>
              <w:pStyle w:val="3"/>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(2)核医学工作场所防护检测结果能满足《</w:t>
            </w:r>
            <w:r>
              <w:rPr>
                <w:rFonts w:hint="eastAsia" w:cs="Times New Roman"/>
                <w:b w:val="0"/>
                <w:bCs/>
                <w:color w:val="auto"/>
                <w:sz w:val="24"/>
                <w:szCs w:val="24"/>
                <w:highlight w:val="none"/>
                <w:lang w:val="en-US" w:eastAsia="zh-CN"/>
              </w:rPr>
              <w:t>核医学放射防护要求</w:t>
            </w:r>
            <w:r>
              <w:rPr>
                <w:rFonts w:hint="default" w:ascii="Times New Roman" w:hAnsi="Times New Roman" w:cs="Times New Roman"/>
                <w:b w:val="0"/>
                <w:bCs/>
                <w:color w:val="auto"/>
                <w:sz w:val="24"/>
                <w:szCs w:val="24"/>
                <w:highlight w:val="none"/>
                <w:lang w:val="en-US" w:eastAsia="zh-CN"/>
              </w:rPr>
              <w:t>》</w:t>
            </w:r>
            <w:r>
              <w:rPr>
                <w:rFonts w:hint="eastAsia" w:cs="Times New Roman"/>
                <w:b w:val="0"/>
                <w:bCs/>
                <w:color w:val="auto"/>
                <w:sz w:val="24"/>
                <w:szCs w:val="24"/>
                <w:highlight w:val="none"/>
                <w:lang w:val="en-US" w:eastAsia="zh-CN"/>
              </w:rPr>
              <w:t>(GBZ</w:t>
            </w:r>
            <w:r>
              <w:rPr>
                <w:rFonts w:hint="default" w:ascii="Times New Roman" w:hAnsi="Times New Roman" w:cs="Times New Roman"/>
                <w:b w:val="0"/>
                <w:bCs/>
                <w:color w:val="auto"/>
                <w:sz w:val="24"/>
                <w:szCs w:val="24"/>
                <w:highlight w:val="none"/>
                <w:lang w:val="en-US" w:eastAsia="zh-CN"/>
              </w:rPr>
              <w:t>120-2020)中“核医学控制区外人员可达到处，距屏蔽体外表面0.3m处的周围剂量当量率控制目标值应不大于2.5</w:t>
            </w:r>
            <w:r>
              <w:rPr>
                <w:rFonts w:hint="eastAsia" w:cs="Times New Roman"/>
                <w:b w:val="0"/>
                <w:bCs/>
                <w:color w:val="auto"/>
                <w:sz w:val="24"/>
                <w:szCs w:val="24"/>
                <w:highlight w:val="none"/>
                <w:lang w:val="en-US" w:eastAsia="zh-CN"/>
              </w:rPr>
              <w:t>μS</w:t>
            </w:r>
            <w:r>
              <w:rPr>
                <w:rFonts w:hint="default" w:ascii="Times New Roman" w:hAnsi="Times New Roman" w:cs="Times New Roman"/>
                <w:b w:val="0"/>
                <w:bCs/>
                <w:color w:val="auto"/>
                <w:sz w:val="24"/>
                <w:szCs w:val="24"/>
                <w:highlight w:val="none"/>
                <w:lang w:val="en-US" w:eastAsia="zh-CN"/>
              </w:rPr>
              <w:t>v/h，控制区内屏蔽体外表面0.3m处的周围当量剂量率控制目标值应不大于25</w:t>
            </w:r>
            <w:r>
              <w:rPr>
                <w:rFonts w:hint="eastAsia" w:cs="Times New Roman"/>
                <w:b w:val="0"/>
                <w:bCs/>
                <w:color w:val="auto"/>
                <w:sz w:val="24"/>
                <w:szCs w:val="24"/>
                <w:highlight w:val="none"/>
                <w:lang w:val="en-US" w:eastAsia="zh-CN"/>
              </w:rPr>
              <w:t>μS</w:t>
            </w:r>
            <w:r>
              <w:rPr>
                <w:rFonts w:hint="default" w:ascii="Times New Roman" w:hAnsi="Times New Roman" w:cs="Times New Roman"/>
                <w:b w:val="0"/>
                <w:bCs/>
                <w:color w:val="auto"/>
                <w:sz w:val="24"/>
                <w:szCs w:val="24"/>
                <w:highlight w:val="none"/>
                <w:lang w:val="en-US" w:eastAsia="zh-CN"/>
              </w:rPr>
              <w:t>vm。核医学工作场所的分装柜或生物安全柜外表面5cm处的周围剂量当量率控制目标值应不大于25</w:t>
            </w:r>
            <w:r>
              <w:rPr>
                <w:rFonts w:hint="eastAsia" w:cs="Times New Roman"/>
                <w:b w:val="0"/>
                <w:bCs/>
                <w:color w:val="auto"/>
                <w:sz w:val="24"/>
                <w:szCs w:val="24"/>
                <w:highlight w:val="none"/>
                <w:lang w:val="en-US" w:eastAsia="zh-CN"/>
              </w:rPr>
              <w:t>μS</w:t>
            </w:r>
            <w:r>
              <w:rPr>
                <w:rFonts w:hint="default" w:ascii="Times New Roman" w:hAnsi="Times New Roman" w:cs="Times New Roman"/>
                <w:b w:val="0"/>
                <w:bCs/>
                <w:color w:val="auto"/>
                <w:sz w:val="24"/>
                <w:szCs w:val="24"/>
                <w:highlight w:val="none"/>
                <w:lang w:val="en-US" w:eastAsia="zh-CN"/>
              </w:rPr>
              <w:t>vh”的要求。也能满足医院设定的周围剂量当量率控制值。</w:t>
            </w:r>
          </w:p>
          <w:p w14:paraId="2B6C2CBB">
            <w:pPr>
              <w:pStyle w:val="3"/>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(3)本次所检各检测点位的表面污染检测结果均满足《核医学辐射防护与安全要求》(HJ1188-2021)的要求。</w:t>
            </w:r>
          </w:p>
          <w:p w14:paraId="02EC4159">
            <w:pPr>
              <w:keepNext w:val="0"/>
              <w:keepLines w:val="0"/>
              <w:suppressLineNumbers w:val="0"/>
              <w:spacing w:before="0" w:beforeAutospacing="0" w:after="0" w:afterAutospacing="0"/>
              <w:ind w:left="0" w:right="0" w:firstLine="480" w:firstLineChars="200"/>
              <w:jc w:val="both"/>
              <w:rPr>
                <w:rFonts w:hint="default"/>
                <w:color w:val="auto"/>
                <w:highlight w:val="none"/>
                <w:lang w:val="en-US" w:eastAsia="zh-CN"/>
              </w:rPr>
            </w:pPr>
            <w:r>
              <w:rPr>
                <w:rFonts w:hint="default" w:ascii="Times New Roman" w:hAnsi="Times New Roman" w:cs="Times New Roman"/>
                <w:b w:val="0"/>
                <w:bCs/>
                <w:color w:val="auto"/>
                <w:sz w:val="24"/>
                <w:szCs w:val="24"/>
                <w:highlight w:val="none"/>
                <w:lang w:val="en-US" w:eastAsia="zh-CN"/>
              </w:rPr>
              <w:t>综上所述，本项目辐射环境正常，满足核技术利用项目的正常开展。</w:t>
            </w:r>
          </w:p>
        </w:tc>
      </w:tr>
    </w:tbl>
    <w:p w14:paraId="0683C2AC">
      <w:pPr>
        <w:shd w:val="clear"/>
        <w:rPr>
          <w:rFonts w:hint="default" w:ascii="Times New Roman" w:hAnsi="Times New Roman" w:eastAsia="宋体" w:cs="Times New Roman"/>
          <w:color w:val="auto"/>
          <w:highlight w:val="none"/>
        </w:rPr>
        <w:sectPr>
          <w:pgSz w:w="11910" w:h="16840"/>
          <w:pgMar w:top="1219" w:right="1185" w:bottom="1219" w:left="1100" w:header="0" w:footer="1417" w:gutter="0"/>
          <w:pgBorders>
            <w:top w:val="none" w:sz="0" w:space="0"/>
            <w:left w:val="none" w:sz="0" w:space="0"/>
            <w:bottom w:val="none" w:sz="0" w:space="0"/>
            <w:right w:val="none" w:sz="0" w:space="0"/>
          </w:pgBorders>
          <w:pgNumType w:fmt="decimal"/>
          <w:cols w:space="0" w:num="1"/>
        </w:sectPr>
      </w:pPr>
      <w:r>
        <w:rPr>
          <w:rFonts w:hint="default" w:ascii="Times New Roman" w:hAnsi="Times New Roman" w:eastAsia="宋体" w:cs="Times New Roman"/>
          <w:color w:val="auto"/>
          <w:highlight w:val="none"/>
        </w:rPr>
        <w:br w:type="page"/>
      </w:r>
    </w:p>
    <w:p w14:paraId="2660B72A">
      <w:pPr>
        <w:pStyle w:val="6"/>
        <w:shd w:val="clear"/>
        <w:rPr>
          <w:rFonts w:hint="default" w:ascii="Times New Roman" w:hAnsi="Times New Roman" w:eastAsia="宋体" w:cs="Times New Roman"/>
          <w:color w:val="auto"/>
          <w:highlight w:val="none"/>
        </w:rPr>
      </w:pPr>
      <w:bookmarkStart w:id="16" w:name="表9工程分析与源项"/>
      <w:bookmarkEnd w:id="16"/>
      <w:bookmarkStart w:id="17" w:name="_Toc29716"/>
      <w:r>
        <w:rPr>
          <w:rFonts w:hint="default" w:ascii="Times New Roman" w:hAnsi="Times New Roman" w:eastAsia="宋体" w:cs="Times New Roman"/>
          <w:color w:val="auto"/>
          <w:highlight w:val="none"/>
        </w:rPr>
        <w:t>表</w:t>
      </w:r>
      <w:r>
        <w:rPr>
          <w:rFonts w:hint="default" w:ascii="Times New Roman" w:hAnsi="Times New Roman" w:eastAsia="宋体" w:cs="Times New Roman"/>
          <w:color w:val="auto"/>
          <w:highlight w:val="none"/>
          <w:lang w:eastAsia="zh-CN"/>
        </w:rPr>
        <w:t>9</w:t>
      </w:r>
      <w:r>
        <w:rPr>
          <w:rFonts w:hint="default" w:ascii="Times New Roman" w:hAnsi="Times New Roman" w:eastAsia="宋体" w:cs="Times New Roman"/>
          <w:color w:val="auto"/>
          <w:highlight w:val="none"/>
        </w:rPr>
        <w:t xml:space="preserve"> 工程分析与源项</w:t>
      </w:r>
      <w:bookmarkEnd w:id="17"/>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98"/>
      </w:tblGrid>
      <w:tr w14:paraId="662A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98" w:type="dxa"/>
          </w:tcPr>
          <w:p w14:paraId="35275F4F">
            <w:pPr>
              <w:keepNext w:val="0"/>
              <w:keepLines w:val="0"/>
              <w:suppressLineNumbers w:val="0"/>
              <w:spacing w:before="0" w:beforeLines="0" w:beforeAutospacing="0" w:after="0" w:afterLines="0" w:afterAutospacing="0" w:line="360" w:lineRule="auto"/>
              <w:ind w:left="0" w:right="0"/>
              <w:jc w:val="both"/>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9.1 工艺设备和工艺分析</w:t>
            </w:r>
          </w:p>
          <w:p w14:paraId="30A60524">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项目背景：</w:t>
            </w:r>
          </w:p>
          <w:p w14:paraId="7590A777">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医院北院区核医学楼有一个乙级场所（核医学楼）和一个丙级场所（放射性药物小动物实验室）。乙级场所（核医学楼），场所</w:t>
            </w:r>
            <w:r>
              <w:rPr>
                <w:rFonts w:hint="eastAsia" w:cs="Times New Roman"/>
                <w:b w:val="0"/>
                <w:bCs/>
                <w:color w:val="auto"/>
                <w:kern w:val="0"/>
                <w:sz w:val="24"/>
                <w:szCs w:val="24"/>
                <w:highlight w:val="none"/>
                <w:lang w:val="en-US" w:eastAsia="zh-CN" w:bidi="ar"/>
              </w:rPr>
              <w:t>日等效最大操作量</w:t>
            </w:r>
            <w:r>
              <w:rPr>
                <w:rFonts w:hint="default" w:ascii="Times New Roman" w:hAnsi="Times New Roman" w:cs="Times New Roman"/>
                <w:b w:val="0"/>
                <w:bCs/>
                <w:color w:val="auto"/>
                <w:kern w:val="0"/>
                <w:sz w:val="24"/>
                <w:szCs w:val="24"/>
                <w:highlight w:val="none"/>
                <w:lang w:val="en-US" w:eastAsia="zh-CN" w:bidi="ar"/>
              </w:rPr>
              <w:t>为</w:t>
            </w:r>
            <w:r>
              <w:rPr>
                <w:rFonts w:hint="default" w:ascii="Times New Roman" w:hAnsi="Times New Roman" w:cs="Times New Roman"/>
                <w:b w:val="0"/>
                <w:bCs/>
                <w:color w:val="auto"/>
                <w:highlight w:val="none"/>
                <w:lang w:val="en-US" w:eastAsia="zh-CN"/>
              </w:rPr>
              <w:t>3.9956E+09Bq</w:t>
            </w:r>
            <w:r>
              <w:rPr>
                <w:rFonts w:hint="default" w:ascii="Times New Roman" w:hAnsi="Times New Roman" w:cs="Times New Roman"/>
                <w:b w:val="0"/>
                <w:bCs/>
                <w:color w:val="auto"/>
                <w:kern w:val="0"/>
                <w:sz w:val="24"/>
                <w:szCs w:val="24"/>
                <w:highlight w:val="none"/>
                <w:lang w:val="en-US" w:eastAsia="zh-CN" w:bidi="ar"/>
              </w:rPr>
              <w:t>，涉及PET药物生产、PET药物诊断、SPECT药物生产、SPECT药物诊断，还有8间</w:t>
            </w:r>
            <w:r>
              <w:rPr>
                <w:rFonts w:hint="default" w:ascii="Times New Roman" w:hAnsi="Times New Roman" w:cs="Times New Roman"/>
                <w:b w:val="0"/>
                <w:bCs/>
                <w:color w:val="auto"/>
                <w:kern w:val="0"/>
                <w:sz w:val="24"/>
                <w:szCs w:val="24"/>
                <w:highlight w:val="none"/>
                <w:vertAlign w:val="baseline"/>
                <w:lang w:val="en-US" w:eastAsia="zh-CN" w:bidi="ar"/>
              </w:rPr>
              <w:t>I-131</w:t>
            </w:r>
            <w:r>
              <w:rPr>
                <w:rFonts w:hint="default" w:ascii="Times New Roman" w:hAnsi="Times New Roman" w:cs="Times New Roman"/>
                <w:b w:val="0"/>
                <w:bCs/>
                <w:color w:val="auto"/>
                <w:kern w:val="0"/>
                <w:sz w:val="24"/>
                <w:szCs w:val="24"/>
                <w:highlight w:val="none"/>
                <w:lang w:val="en-US" w:eastAsia="zh-CN" w:bidi="ar"/>
              </w:rPr>
              <w:t>甲癌病房和1间</w:t>
            </w:r>
            <w:r>
              <w:rPr>
                <w:rFonts w:hint="default" w:ascii="Times New Roman" w:hAnsi="Times New Roman" w:cs="Times New Roman"/>
                <w:b w:val="0"/>
                <w:bCs/>
                <w:color w:val="auto"/>
                <w:kern w:val="0"/>
                <w:sz w:val="24"/>
                <w:szCs w:val="24"/>
                <w:highlight w:val="none"/>
                <w:vertAlign w:val="baseline"/>
                <w:lang w:val="en-US" w:eastAsia="zh-CN" w:bidi="ar"/>
              </w:rPr>
              <w:t>Lu-177</w:t>
            </w:r>
            <w:r>
              <w:rPr>
                <w:rFonts w:hint="default" w:ascii="Times New Roman" w:hAnsi="Times New Roman" w:cs="Times New Roman"/>
                <w:b w:val="0"/>
                <w:bCs/>
                <w:color w:val="auto"/>
                <w:kern w:val="0"/>
                <w:sz w:val="24"/>
                <w:szCs w:val="24"/>
                <w:highlight w:val="none"/>
                <w:lang w:val="en-US" w:eastAsia="zh-CN" w:bidi="ar"/>
              </w:rPr>
              <w:t>前列腺癌病房。许可的核素有</w:t>
            </w:r>
            <w:r>
              <w:rPr>
                <w:rFonts w:hint="default" w:ascii="Times New Roman" w:hAnsi="Times New Roman" w:cs="Times New Roman"/>
                <w:b w:val="0"/>
                <w:bCs/>
                <w:color w:val="auto"/>
                <w:kern w:val="0"/>
                <w:sz w:val="24"/>
                <w:szCs w:val="24"/>
                <w:highlight w:val="none"/>
                <w:vertAlign w:val="baseline"/>
                <w:lang w:val="en-US" w:eastAsia="zh-CN" w:bidi="ar"/>
              </w:rPr>
              <w:t>F-18</w:t>
            </w:r>
            <w:r>
              <w:rPr>
                <w:rFonts w:hint="default" w:ascii="Times New Roman" w:hAnsi="Times New Roman" w:cs="Times New Roman"/>
                <w:b w:val="0"/>
                <w:bCs/>
                <w:color w:val="auto"/>
                <w:kern w:val="0"/>
                <w:sz w:val="24"/>
                <w:szCs w:val="24"/>
                <w:highlight w:val="none"/>
                <w:lang w:val="en-US" w:eastAsia="zh-CN" w:bidi="ar"/>
              </w:rPr>
              <w:t>、Ga-68、</w:t>
            </w:r>
            <w:r>
              <w:rPr>
                <w:rFonts w:hint="default" w:ascii="Times New Roman" w:hAnsi="Times New Roman" w:cs="Times New Roman"/>
                <w:b w:val="0"/>
                <w:bCs/>
                <w:color w:val="auto"/>
                <w:kern w:val="0"/>
                <w:sz w:val="24"/>
                <w:szCs w:val="24"/>
                <w:highlight w:val="none"/>
                <w:vertAlign w:val="baseline"/>
                <w:lang w:val="en-US" w:eastAsia="zh-CN" w:bidi="ar"/>
              </w:rPr>
              <w:t>I-131</w:t>
            </w:r>
            <w:r>
              <w:rPr>
                <w:rFonts w:hint="default" w:ascii="Times New Roman" w:hAnsi="Times New Roman" w:cs="Times New Roman"/>
                <w:b w:val="0"/>
                <w:bCs/>
                <w:color w:val="auto"/>
                <w:kern w:val="0"/>
                <w:sz w:val="24"/>
                <w:szCs w:val="24"/>
                <w:highlight w:val="none"/>
                <w:lang w:val="en-US" w:eastAsia="zh-CN" w:bidi="ar"/>
              </w:rPr>
              <w:t>、</w:t>
            </w:r>
            <w:r>
              <w:rPr>
                <w:rFonts w:hint="default" w:ascii="Times New Roman" w:hAnsi="Times New Roman" w:cs="Times New Roman"/>
                <w:b w:val="0"/>
                <w:bCs/>
                <w:color w:val="auto"/>
                <w:kern w:val="0"/>
                <w:sz w:val="24"/>
                <w:szCs w:val="24"/>
                <w:highlight w:val="none"/>
                <w:vertAlign w:val="baseline"/>
                <w:lang w:val="en-US" w:eastAsia="zh-CN" w:bidi="ar"/>
              </w:rPr>
              <w:t>Lu-177</w:t>
            </w:r>
            <w:r>
              <w:rPr>
                <w:rFonts w:hint="default" w:ascii="Times New Roman" w:hAnsi="Times New Roman" w:cs="Times New Roman"/>
                <w:b w:val="0"/>
                <w:bCs/>
                <w:color w:val="auto"/>
                <w:kern w:val="0"/>
                <w:sz w:val="24"/>
                <w:szCs w:val="24"/>
                <w:highlight w:val="none"/>
                <w:lang w:val="en-US" w:eastAsia="zh-CN" w:bidi="ar"/>
              </w:rPr>
              <w:t>、Mo-99(Tc-99m)、Tc-99m、</w:t>
            </w:r>
            <w:r>
              <w:rPr>
                <w:rFonts w:hint="default" w:ascii="Times New Roman" w:hAnsi="Times New Roman" w:cs="Times New Roman"/>
                <w:b w:val="0"/>
                <w:bCs/>
                <w:color w:val="auto"/>
                <w:kern w:val="0"/>
                <w:sz w:val="24"/>
                <w:szCs w:val="24"/>
                <w:highlight w:val="none"/>
                <w:vertAlign w:val="baseline"/>
                <w:lang w:val="en-US" w:eastAsia="zh-CN" w:bidi="ar"/>
              </w:rPr>
              <w:t>Ra-223</w:t>
            </w:r>
            <w:r>
              <w:rPr>
                <w:rFonts w:hint="default" w:ascii="Times New Roman" w:hAnsi="Times New Roman" w:cs="Times New Roman"/>
                <w:b w:val="0"/>
                <w:bCs/>
                <w:color w:val="auto"/>
                <w:kern w:val="0"/>
                <w:sz w:val="24"/>
                <w:szCs w:val="24"/>
                <w:highlight w:val="none"/>
                <w:lang w:val="en-US" w:eastAsia="zh-CN" w:bidi="ar"/>
              </w:rPr>
              <w:t>、Sr-89</w:t>
            </w:r>
            <w:r>
              <w:rPr>
                <w:rFonts w:hint="eastAsia" w:cs="Times New Roman"/>
                <w:b w:val="0"/>
                <w:bCs/>
                <w:color w:val="auto"/>
                <w:kern w:val="0"/>
                <w:sz w:val="24"/>
                <w:szCs w:val="24"/>
                <w:highlight w:val="none"/>
                <w:lang w:val="en-US" w:eastAsia="zh-CN" w:bidi="ar"/>
              </w:rPr>
              <w:t>。</w:t>
            </w:r>
            <w:r>
              <w:rPr>
                <w:rFonts w:hint="default" w:ascii="Times New Roman" w:hAnsi="Times New Roman" w:cs="Times New Roman"/>
                <w:b w:val="0"/>
                <w:bCs/>
                <w:color w:val="auto"/>
                <w:kern w:val="0"/>
                <w:sz w:val="24"/>
                <w:szCs w:val="24"/>
                <w:highlight w:val="none"/>
                <w:lang w:val="en-US" w:eastAsia="zh-CN" w:bidi="ar"/>
              </w:rPr>
              <w:t>医院核医学楼于2025年1月开工建设</w:t>
            </w:r>
            <w:r>
              <w:rPr>
                <w:rFonts w:hint="eastAsia" w:cs="Times New Roman"/>
                <w:b w:val="0"/>
                <w:bCs/>
                <w:color w:val="auto"/>
                <w:kern w:val="0"/>
                <w:sz w:val="24"/>
                <w:szCs w:val="24"/>
                <w:highlight w:val="none"/>
                <w:lang w:val="en-US" w:eastAsia="zh-CN" w:bidi="ar"/>
              </w:rPr>
              <w:t>，2</w:t>
            </w:r>
            <w:r>
              <w:rPr>
                <w:rFonts w:hint="default" w:ascii="Times New Roman" w:hAnsi="Times New Roman" w:cs="Times New Roman"/>
                <w:b w:val="0"/>
                <w:bCs/>
                <w:color w:val="auto"/>
                <w:kern w:val="0"/>
                <w:sz w:val="24"/>
                <w:szCs w:val="24"/>
                <w:highlight w:val="none"/>
                <w:lang w:val="en-US" w:eastAsia="zh-CN" w:bidi="ar"/>
              </w:rPr>
              <w:t>025年11月17日取得辐射安全许可证</w:t>
            </w:r>
            <w:r>
              <w:rPr>
                <w:rFonts w:hint="eastAsia" w:ascii="Times New Roman" w:hAnsi="Times New Roman" w:cs="Times New Roman"/>
                <w:b w:val="0"/>
                <w:bCs/>
                <w:color w:val="auto"/>
                <w:kern w:val="0"/>
                <w:sz w:val="24"/>
                <w:szCs w:val="24"/>
                <w:highlight w:val="none"/>
                <w:lang w:val="en-US" w:eastAsia="zh-CN" w:bidi="ar"/>
              </w:rPr>
              <w:t>，</w:t>
            </w:r>
            <w:r>
              <w:rPr>
                <w:rFonts w:hint="default" w:ascii="Times New Roman" w:hAnsi="Times New Roman" w:cs="Times New Roman"/>
                <w:b w:val="0"/>
                <w:bCs/>
                <w:color w:val="auto"/>
                <w:kern w:val="0"/>
                <w:sz w:val="24"/>
                <w:szCs w:val="24"/>
                <w:highlight w:val="none"/>
                <w:lang w:val="en-US" w:eastAsia="zh-CN" w:bidi="ar"/>
              </w:rPr>
              <w:t>2026年</w:t>
            </w:r>
            <w:r>
              <w:rPr>
                <w:rFonts w:hint="eastAsia" w:cs="Times New Roman"/>
                <w:b w:val="0"/>
                <w:bCs/>
                <w:color w:val="auto"/>
                <w:kern w:val="0"/>
                <w:sz w:val="24"/>
                <w:szCs w:val="24"/>
                <w:highlight w:val="none"/>
                <w:lang w:val="en-US" w:eastAsia="zh-CN" w:bidi="ar"/>
              </w:rPr>
              <w:t>5</w:t>
            </w:r>
            <w:r>
              <w:rPr>
                <w:rFonts w:hint="default" w:ascii="Times New Roman" w:hAnsi="Times New Roman" w:cs="Times New Roman"/>
                <w:b w:val="0"/>
                <w:bCs/>
                <w:color w:val="auto"/>
                <w:kern w:val="0"/>
                <w:sz w:val="24"/>
                <w:szCs w:val="24"/>
                <w:highlight w:val="none"/>
                <w:lang w:val="en-US" w:eastAsia="zh-CN" w:bidi="ar"/>
              </w:rPr>
              <w:t>月</w:t>
            </w:r>
            <w:r>
              <w:rPr>
                <w:rFonts w:hint="eastAsia" w:cs="Times New Roman"/>
                <w:b w:val="0"/>
                <w:bCs/>
                <w:color w:val="auto"/>
                <w:kern w:val="0"/>
                <w:sz w:val="24"/>
                <w:szCs w:val="24"/>
                <w:highlight w:val="none"/>
                <w:lang w:val="en-US" w:eastAsia="zh-CN" w:bidi="ar"/>
              </w:rPr>
              <w:t>9日，</w:t>
            </w:r>
            <w:r>
              <w:rPr>
                <w:rFonts w:hint="default" w:ascii="Times New Roman" w:hAnsi="Times New Roman" w:cs="Times New Roman"/>
                <w:b w:val="0"/>
                <w:bCs/>
                <w:color w:val="auto"/>
                <w:kern w:val="0"/>
                <w:sz w:val="24"/>
                <w:szCs w:val="24"/>
                <w:highlight w:val="none"/>
                <w:lang w:val="en-US" w:eastAsia="zh-CN" w:bidi="ar"/>
              </w:rPr>
              <w:t>单光子诊疗区域和核素治疗区域建成投运</w:t>
            </w:r>
            <w:r>
              <w:rPr>
                <w:rFonts w:hint="eastAsia" w:cs="Times New Roman"/>
                <w:b w:val="0"/>
                <w:bCs/>
                <w:color w:val="auto"/>
                <w:kern w:val="0"/>
                <w:sz w:val="24"/>
                <w:szCs w:val="24"/>
                <w:highlight w:val="none"/>
                <w:lang w:val="en-US" w:eastAsia="zh-CN" w:bidi="ar"/>
              </w:rPr>
              <w:t>，完成竣工环保验收；PET药物生产、PET药物诊断、</w:t>
            </w:r>
            <w:r>
              <w:rPr>
                <w:rFonts w:hint="eastAsia" w:ascii="Times New Roman" w:hAnsi="Times New Roman" w:eastAsia="宋体" w:cs="Times New Roman"/>
                <w:b w:val="0"/>
                <w:bCs/>
                <w:color w:val="auto"/>
                <w:kern w:val="0"/>
                <w:sz w:val="24"/>
                <w:szCs w:val="24"/>
                <w:highlight w:val="none"/>
                <w:lang w:val="en-US" w:eastAsia="zh-CN" w:bidi="ar"/>
              </w:rPr>
              <w:t>使用Sr-89、</w:t>
            </w:r>
            <w:r>
              <w:rPr>
                <w:rFonts w:hint="eastAsia" w:ascii="Times New Roman" w:hAnsi="Times New Roman" w:eastAsia="宋体" w:cs="Times New Roman"/>
                <w:b w:val="0"/>
                <w:bCs/>
                <w:color w:val="auto"/>
                <w:kern w:val="0"/>
                <w:sz w:val="24"/>
                <w:szCs w:val="24"/>
                <w:highlight w:val="none"/>
                <w:vertAlign w:val="baseline"/>
                <w:lang w:val="en-US" w:eastAsia="zh-CN" w:bidi="ar"/>
              </w:rPr>
              <w:t>Ra-223</w:t>
            </w:r>
            <w:r>
              <w:rPr>
                <w:rFonts w:hint="eastAsia" w:ascii="Times New Roman" w:hAnsi="Times New Roman" w:eastAsia="宋体" w:cs="Times New Roman"/>
                <w:b w:val="0"/>
                <w:bCs/>
                <w:color w:val="auto"/>
                <w:kern w:val="0"/>
                <w:sz w:val="24"/>
                <w:szCs w:val="24"/>
                <w:highlight w:val="none"/>
                <w:lang w:val="en-US" w:eastAsia="zh-CN" w:bidi="ar"/>
              </w:rPr>
              <w:t>、</w:t>
            </w:r>
            <w:r>
              <w:rPr>
                <w:rFonts w:hint="eastAsia" w:ascii="Times New Roman" w:hAnsi="Times New Roman" w:eastAsia="宋体" w:cs="Times New Roman"/>
                <w:b w:val="0"/>
                <w:bCs/>
                <w:color w:val="auto"/>
                <w:kern w:val="0"/>
                <w:sz w:val="24"/>
                <w:szCs w:val="24"/>
                <w:highlight w:val="none"/>
                <w:vertAlign w:val="baseline"/>
                <w:lang w:val="en-US" w:eastAsia="zh-CN" w:bidi="ar"/>
              </w:rPr>
              <w:t>Lu-177</w:t>
            </w:r>
            <w:r>
              <w:rPr>
                <w:rFonts w:hint="eastAsia" w:ascii="Times New Roman" w:hAnsi="Times New Roman" w:eastAsia="宋体" w:cs="Times New Roman"/>
                <w:b w:val="0"/>
                <w:bCs/>
                <w:color w:val="auto"/>
                <w:kern w:val="0"/>
                <w:sz w:val="24"/>
                <w:szCs w:val="24"/>
                <w:highlight w:val="none"/>
                <w:lang w:val="en-US" w:eastAsia="zh-CN" w:bidi="ar"/>
              </w:rPr>
              <w:t>处于试运行，暂未完成验收。</w:t>
            </w:r>
          </w:p>
          <w:p w14:paraId="3DB52CEC">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根据医院核医学楼</w:t>
            </w:r>
            <w:r>
              <w:rPr>
                <w:rFonts w:hint="default" w:ascii="Times New Roman" w:hAnsi="Times New Roman" w:cs="Times New Roman"/>
                <w:b w:val="0"/>
                <w:bCs/>
                <w:color w:val="auto"/>
                <w:kern w:val="0"/>
                <w:sz w:val="24"/>
                <w:szCs w:val="24"/>
                <w:highlight w:val="none"/>
                <w:vertAlign w:val="baseline"/>
                <w:lang w:val="en-US" w:eastAsia="zh-CN" w:bidi="ar"/>
              </w:rPr>
              <w:t>F-18</w:t>
            </w:r>
            <w:r>
              <w:rPr>
                <w:rFonts w:hint="default" w:ascii="Times New Roman" w:hAnsi="Times New Roman" w:cs="Times New Roman"/>
                <w:b w:val="0"/>
                <w:bCs/>
                <w:color w:val="auto"/>
                <w:kern w:val="0"/>
                <w:sz w:val="24"/>
                <w:szCs w:val="24"/>
                <w:highlight w:val="none"/>
                <w:lang w:val="en-US" w:eastAsia="zh-CN" w:bidi="ar"/>
              </w:rPr>
              <w:t>、Ga-68试运行情况，许可的</w:t>
            </w:r>
            <w:r>
              <w:rPr>
                <w:rFonts w:hint="default" w:ascii="Times New Roman" w:hAnsi="Times New Roman" w:cs="Times New Roman"/>
                <w:b w:val="0"/>
                <w:bCs/>
                <w:color w:val="auto"/>
                <w:kern w:val="0"/>
                <w:sz w:val="24"/>
                <w:szCs w:val="24"/>
                <w:highlight w:val="none"/>
                <w:vertAlign w:val="baseline"/>
                <w:lang w:val="en-US" w:eastAsia="zh-CN" w:bidi="ar"/>
              </w:rPr>
              <w:t>F-18</w:t>
            </w:r>
            <w:r>
              <w:rPr>
                <w:rFonts w:hint="default" w:ascii="Times New Roman" w:hAnsi="Times New Roman" w:cs="Times New Roman"/>
                <w:b w:val="0"/>
                <w:bCs/>
                <w:color w:val="auto"/>
                <w:kern w:val="0"/>
                <w:sz w:val="24"/>
                <w:szCs w:val="24"/>
                <w:highlight w:val="none"/>
                <w:lang w:val="en-US" w:eastAsia="zh-CN" w:bidi="ar"/>
              </w:rPr>
              <w:t>日最大操作量为9.99E+9Bq（270mCi，活动种类：生产，使用）、Ga-68日最大操作量为1.11E+9Bq（30mCi，活动种类：生产，使用）不能满足现有诊疗需求。</w:t>
            </w:r>
          </w:p>
          <w:p w14:paraId="2DF09750">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医院核医学楼拟将</w:t>
            </w:r>
            <w:r>
              <w:rPr>
                <w:rFonts w:hint="default" w:ascii="Times New Roman" w:hAnsi="Times New Roman" w:cs="Times New Roman"/>
                <w:b w:val="0"/>
                <w:bCs/>
                <w:color w:val="auto"/>
                <w:kern w:val="0"/>
                <w:sz w:val="24"/>
                <w:szCs w:val="24"/>
                <w:highlight w:val="none"/>
                <w:vertAlign w:val="baseline"/>
                <w:lang w:val="en-US" w:eastAsia="zh-CN" w:bidi="ar"/>
              </w:rPr>
              <w:t>F-18</w:t>
            </w:r>
            <w:r>
              <w:rPr>
                <w:rFonts w:hint="default" w:ascii="Times New Roman" w:hAnsi="Times New Roman" w:cs="Times New Roman"/>
                <w:b w:val="0"/>
                <w:bCs/>
                <w:color w:val="auto"/>
                <w:kern w:val="0"/>
                <w:sz w:val="24"/>
                <w:szCs w:val="24"/>
                <w:highlight w:val="none"/>
                <w:lang w:val="en-US" w:eastAsia="zh-CN" w:bidi="ar"/>
              </w:rPr>
              <w:t>日最大操作量调整为7.40E+10Bq（2000mCi，活动种类：生产）、拟将Ga-68日最大操作量调整为3.70E+10Bq（1000mCi，活动种类：生产）。同时</w:t>
            </w:r>
            <w:r>
              <w:rPr>
                <w:rFonts w:hint="eastAsia" w:cs="Times New Roman"/>
                <w:b w:val="0"/>
                <w:bCs/>
                <w:color w:val="auto"/>
                <w:kern w:val="0"/>
                <w:sz w:val="24"/>
                <w:szCs w:val="24"/>
                <w:highlight w:val="none"/>
                <w:lang w:val="en-US" w:eastAsia="zh-CN" w:bidi="ar"/>
              </w:rPr>
              <w:t>新增</w:t>
            </w:r>
            <w:r>
              <w:rPr>
                <w:rFonts w:hint="default" w:ascii="Times New Roman" w:hAnsi="Times New Roman" w:cs="Times New Roman"/>
                <w:b w:val="0"/>
                <w:bCs/>
                <w:color w:val="auto"/>
                <w:kern w:val="0"/>
                <w:sz w:val="24"/>
                <w:szCs w:val="24"/>
                <w:highlight w:val="none"/>
                <w:lang w:val="en-US" w:eastAsia="zh-CN" w:bidi="ar"/>
              </w:rPr>
              <w:t>C-11、</w:t>
            </w:r>
            <w:r>
              <w:rPr>
                <w:rFonts w:hint="eastAsia" w:cs="Times New Roman"/>
                <w:b w:val="0"/>
                <w:bCs/>
                <w:color w:val="auto"/>
                <w:kern w:val="0"/>
                <w:sz w:val="24"/>
                <w:szCs w:val="24"/>
                <w:highlight w:val="none"/>
                <w:lang w:val="en-US" w:eastAsia="zh-CN" w:bidi="ar"/>
              </w:rPr>
              <w:t>N-13</w:t>
            </w:r>
            <w:r>
              <w:rPr>
                <w:rFonts w:hint="default" w:ascii="Times New Roman" w:hAnsi="Times New Roman" w:cs="Times New Roman"/>
                <w:b w:val="0"/>
                <w:bCs/>
                <w:color w:val="auto"/>
                <w:kern w:val="0"/>
                <w:sz w:val="24"/>
                <w:szCs w:val="24"/>
                <w:highlight w:val="none"/>
                <w:lang w:val="en-US" w:eastAsia="zh-CN" w:bidi="ar"/>
              </w:rPr>
              <w:t>的使用，C-11、</w:t>
            </w:r>
            <w:r>
              <w:rPr>
                <w:rFonts w:hint="eastAsia" w:cs="Times New Roman"/>
                <w:b w:val="0"/>
                <w:bCs/>
                <w:color w:val="auto"/>
                <w:kern w:val="0"/>
                <w:sz w:val="24"/>
                <w:szCs w:val="24"/>
                <w:highlight w:val="none"/>
                <w:lang w:val="en-US" w:eastAsia="zh-CN" w:bidi="ar"/>
              </w:rPr>
              <w:t>N-13</w:t>
            </w:r>
            <w:r>
              <w:rPr>
                <w:rFonts w:hint="default" w:ascii="Times New Roman" w:hAnsi="Times New Roman" w:cs="Times New Roman"/>
                <w:b w:val="0"/>
                <w:bCs/>
                <w:color w:val="auto"/>
                <w:kern w:val="0"/>
                <w:sz w:val="24"/>
                <w:szCs w:val="24"/>
                <w:highlight w:val="none"/>
                <w:lang w:val="en-US" w:eastAsia="zh-CN" w:bidi="ar"/>
              </w:rPr>
              <w:t>日最大操作量均为1.48E+10Bq（400mCi），活动种类：生产）。拟将生产和使用分成两个独立</w:t>
            </w:r>
            <w:r>
              <w:rPr>
                <w:rFonts w:hint="eastAsia" w:cs="Times New Roman"/>
                <w:b w:val="0"/>
                <w:bCs/>
                <w:color w:val="auto"/>
                <w:kern w:val="0"/>
                <w:sz w:val="24"/>
                <w:szCs w:val="24"/>
                <w:highlight w:val="none"/>
                <w:lang w:val="en-US" w:eastAsia="zh-CN" w:bidi="ar"/>
              </w:rPr>
              <w:t>的</w:t>
            </w:r>
            <w:r>
              <w:rPr>
                <w:rFonts w:hint="default" w:ascii="Times New Roman" w:hAnsi="Times New Roman" w:cs="Times New Roman"/>
                <w:b w:val="0"/>
                <w:bCs/>
                <w:color w:val="auto"/>
                <w:kern w:val="0"/>
                <w:sz w:val="24"/>
                <w:szCs w:val="24"/>
                <w:highlight w:val="none"/>
                <w:lang w:val="en-US" w:eastAsia="zh-CN" w:bidi="ar"/>
              </w:rPr>
              <w:t>非密封源工作场所，并根据药物生产情况，科学合理的开展PET诊断工作。</w:t>
            </w:r>
          </w:p>
          <w:p w14:paraId="2E9BED3E">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根据《关于明确核技术利用辐射安全监管有关事项的通知》（环办辐射函〔2016〕430号）：（一）满足以下特点的放射性药品生产、使用场所，应当作为一个单独场所进行</w:t>
            </w:r>
            <w:r>
              <w:rPr>
                <w:rFonts w:hint="eastAsia" w:cs="Times New Roman"/>
                <w:b w:val="0"/>
                <w:bCs/>
                <w:color w:val="auto"/>
                <w:kern w:val="0"/>
                <w:sz w:val="24"/>
                <w:szCs w:val="24"/>
                <w:highlight w:val="none"/>
                <w:lang w:val="en-US" w:eastAsia="zh-CN" w:bidi="ar"/>
              </w:rPr>
              <w:t>日等效最大操作量</w:t>
            </w:r>
            <w:r>
              <w:rPr>
                <w:rFonts w:hint="default" w:ascii="Times New Roman" w:hAnsi="Times New Roman" w:cs="Times New Roman"/>
                <w:b w:val="0"/>
                <w:bCs/>
                <w:color w:val="auto"/>
                <w:kern w:val="0"/>
                <w:sz w:val="24"/>
                <w:szCs w:val="24"/>
                <w:highlight w:val="none"/>
                <w:lang w:val="en-US" w:eastAsia="zh-CN" w:bidi="ar"/>
              </w:rPr>
              <w:t>核算：1.有相对独立、明确的监督区和控制区划分；2.工艺流程连续完整；3.有相对独立的辐射防护措施。本项目单光子药物生产车间与正电子药物生产车间分别设置于相互独立的实体屏蔽设施内，可各自划分独立的监督区与控制区；两类放射性药物分别在对应车间内完成制备，两套放药生产工艺相互独立，各自工艺流程连续完整</w:t>
            </w:r>
            <w:r>
              <w:rPr>
                <w:rFonts w:hint="eastAsia" w:cs="Times New Roman"/>
                <w:b w:val="0"/>
                <w:bCs/>
                <w:color w:val="auto"/>
                <w:kern w:val="0"/>
                <w:sz w:val="24"/>
                <w:szCs w:val="24"/>
                <w:highlight w:val="none"/>
                <w:lang w:val="en-US" w:eastAsia="zh-CN" w:bidi="ar"/>
              </w:rPr>
              <w:t>，辐射工作人员不同时进行两种药物生产；</w:t>
            </w:r>
            <w:r>
              <w:rPr>
                <w:rFonts w:hint="default" w:ascii="Times New Roman" w:hAnsi="Times New Roman" w:cs="Times New Roman"/>
                <w:b w:val="0"/>
                <w:bCs/>
                <w:color w:val="auto"/>
                <w:kern w:val="0"/>
                <w:sz w:val="24"/>
                <w:szCs w:val="24"/>
                <w:highlight w:val="none"/>
                <w:lang w:val="en-US" w:eastAsia="zh-CN" w:bidi="ar"/>
              </w:rPr>
              <w:t>单光子药物生产车间、正电子药物生产车间分别配备固定式剂量报警仪，并单独设置铅垃圾桶，辐射防护设施相对独立。</w:t>
            </w:r>
          </w:p>
          <w:p w14:paraId="224C0203">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综上，单光子药物生产车间和正电子药物生产车间可划分为2个独立场所，分别开展</w:t>
            </w:r>
            <w:r>
              <w:rPr>
                <w:rFonts w:hint="eastAsia" w:cs="Times New Roman"/>
                <w:b w:val="0"/>
                <w:bCs/>
                <w:color w:val="auto"/>
                <w:kern w:val="0"/>
                <w:sz w:val="24"/>
                <w:szCs w:val="24"/>
                <w:highlight w:val="none"/>
                <w:lang w:val="en-US" w:eastAsia="zh-CN" w:bidi="ar"/>
              </w:rPr>
              <w:t>日等效最大操作量</w:t>
            </w:r>
            <w:r>
              <w:rPr>
                <w:rFonts w:hint="default" w:ascii="Times New Roman" w:hAnsi="Times New Roman" w:cs="Times New Roman"/>
                <w:b w:val="0"/>
                <w:bCs/>
                <w:color w:val="auto"/>
                <w:kern w:val="0"/>
                <w:sz w:val="24"/>
                <w:szCs w:val="24"/>
                <w:highlight w:val="none"/>
                <w:lang w:val="en-US" w:eastAsia="zh-CN" w:bidi="ar"/>
              </w:rPr>
              <w:t>核算。</w:t>
            </w:r>
          </w:p>
          <w:p w14:paraId="1A07A8FB">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highlight w:val="none"/>
                <w:lang w:val="en-US" w:eastAsia="zh-CN"/>
              </w:rPr>
            </w:pPr>
            <w:r>
              <w:rPr>
                <w:rFonts w:hint="default" w:ascii="Times New Roman" w:hAnsi="Times New Roman" w:cs="Times New Roman"/>
                <w:b w:val="0"/>
                <w:bCs/>
                <w:color w:val="auto"/>
                <w:kern w:val="0"/>
                <w:sz w:val="24"/>
                <w:szCs w:val="24"/>
                <w:highlight w:val="none"/>
                <w:lang w:val="en-US" w:eastAsia="zh-CN" w:bidi="ar"/>
              </w:rPr>
              <w:t>此外，医院SPECT诊断</w:t>
            </w:r>
            <w:r>
              <w:rPr>
                <w:rFonts w:hint="eastAsia" w:cs="Times New Roman"/>
                <w:b w:val="0"/>
                <w:bCs/>
                <w:color w:val="auto"/>
                <w:kern w:val="0"/>
                <w:sz w:val="24"/>
                <w:szCs w:val="24"/>
                <w:highlight w:val="none"/>
                <w:lang w:val="en-US" w:eastAsia="zh-CN" w:bidi="ar"/>
              </w:rPr>
              <w:t>区</w:t>
            </w:r>
            <w:r>
              <w:rPr>
                <w:rFonts w:hint="default" w:ascii="Times New Roman" w:hAnsi="Times New Roman" w:cs="Times New Roman"/>
                <w:b w:val="0"/>
                <w:bCs/>
                <w:color w:val="auto"/>
                <w:kern w:val="0"/>
                <w:sz w:val="24"/>
                <w:szCs w:val="24"/>
                <w:highlight w:val="none"/>
                <w:lang w:val="en-US" w:eastAsia="zh-CN" w:bidi="ar"/>
              </w:rPr>
              <w:t>位于核医学楼一层</w:t>
            </w:r>
            <w:r>
              <w:rPr>
                <w:rFonts w:hint="eastAsia" w:cs="Times New Roman"/>
                <w:b w:val="0"/>
                <w:bCs/>
                <w:color w:val="auto"/>
                <w:kern w:val="0"/>
                <w:sz w:val="24"/>
                <w:szCs w:val="24"/>
                <w:highlight w:val="none"/>
                <w:lang w:val="en-US" w:eastAsia="zh-CN" w:bidi="ar"/>
              </w:rPr>
              <w:t>，设有独立的分碘室、注射室</w:t>
            </w:r>
            <w:r>
              <w:rPr>
                <w:rFonts w:hint="default" w:ascii="Times New Roman" w:hAnsi="Times New Roman" w:cs="Times New Roman"/>
                <w:b w:val="0"/>
                <w:bCs/>
                <w:color w:val="auto"/>
                <w:kern w:val="0"/>
                <w:sz w:val="24"/>
                <w:szCs w:val="24"/>
                <w:highlight w:val="none"/>
                <w:lang w:val="en-US" w:eastAsia="zh-CN" w:bidi="ar"/>
              </w:rPr>
              <w:t>，PET诊断区均位于核医学楼二层</w:t>
            </w:r>
            <w:r>
              <w:rPr>
                <w:rFonts w:hint="eastAsia" w:cs="Times New Roman"/>
                <w:b w:val="0"/>
                <w:bCs/>
                <w:color w:val="auto"/>
                <w:kern w:val="0"/>
                <w:sz w:val="24"/>
                <w:szCs w:val="24"/>
                <w:highlight w:val="none"/>
                <w:lang w:val="en-US" w:eastAsia="zh-CN" w:bidi="ar"/>
              </w:rPr>
              <w:t>；</w:t>
            </w:r>
            <w:r>
              <w:rPr>
                <w:rFonts w:hint="default" w:ascii="Times New Roman" w:hAnsi="Times New Roman" w:cs="Times New Roman"/>
                <w:b w:val="0"/>
                <w:bCs/>
                <w:color w:val="auto"/>
                <w:kern w:val="0"/>
                <w:sz w:val="24"/>
                <w:szCs w:val="24"/>
                <w:highlight w:val="none"/>
                <w:lang w:val="en-US" w:eastAsia="zh-CN" w:bidi="ar"/>
              </w:rPr>
              <w:t>SPECT诊断区</w:t>
            </w:r>
            <w:r>
              <w:rPr>
                <w:rFonts w:hint="eastAsia" w:cs="Times New Roman"/>
                <w:b w:val="0"/>
                <w:bCs/>
                <w:color w:val="auto"/>
                <w:kern w:val="0"/>
                <w:sz w:val="24"/>
                <w:szCs w:val="24"/>
                <w:highlight w:val="none"/>
                <w:lang w:val="en-US" w:eastAsia="zh-CN" w:bidi="ar"/>
              </w:rPr>
              <w:t>、PET诊断区</w:t>
            </w:r>
            <w:r>
              <w:rPr>
                <w:rFonts w:hint="default" w:ascii="Times New Roman" w:hAnsi="Times New Roman" w:cs="Times New Roman"/>
                <w:b w:val="0"/>
                <w:bCs/>
                <w:color w:val="auto"/>
                <w:kern w:val="0"/>
                <w:sz w:val="24"/>
                <w:szCs w:val="24"/>
                <w:highlight w:val="none"/>
                <w:lang w:val="en-US" w:eastAsia="zh-CN" w:bidi="ar"/>
              </w:rPr>
              <w:t>均有各自的注射室和诊断场所；核素病房位于核医学楼三楼，</w:t>
            </w:r>
            <w:r>
              <w:rPr>
                <w:rFonts w:hint="eastAsia" w:cs="Times New Roman"/>
                <w:b w:val="0"/>
                <w:bCs/>
                <w:color w:val="auto"/>
                <w:kern w:val="0"/>
                <w:sz w:val="24"/>
                <w:szCs w:val="24"/>
                <w:highlight w:val="none"/>
                <w:lang w:val="en-US" w:eastAsia="zh-CN" w:bidi="ar"/>
              </w:rPr>
              <w:t>核素</w:t>
            </w:r>
            <w:r>
              <w:rPr>
                <w:rFonts w:hint="default" w:ascii="Times New Roman" w:hAnsi="Times New Roman" w:cs="Times New Roman"/>
                <w:b w:val="0"/>
                <w:bCs/>
                <w:color w:val="auto"/>
                <w:kern w:val="0"/>
                <w:sz w:val="24"/>
                <w:szCs w:val="24"/>
                <w:highlight w:val="none"/>
                <w:lang w:val="en-US" w:eastAsia="zh-CN" w:bidi="ar"/>
              </w:rPr>
              <w:t>诊断患者和核素治疗患者人员去向</w:t>
            </w:r>
            <w:r>
              <w:rPr>
                <w:rFonts w:hint="eastAsia" w:cs="Times New Roman"/>
                <w:b w:val="0"/>
                <w:bCs/>
                <w:color w:val="auto"/>
                <w:kern w:val="0"/>
                <w:sz w:val="24"/>
                <w:szCs w:val="24"/>
                <w:highlight w:val="none"/>
                <w:lang w:val="en-US" w:eastAsia="zh-CN" w:bidi="ar"/>
              </w:rPr>
              <w:t>平面内</w:t>
            </w:r>
            <w:r>
              <w:rPr>
                <w:rFonts w:hint="default" w:ascii="Times New Roman" w:hAnsi="Times New Roman" w:cs="Times New Roman"/>
                <w:b w:val="0"/>
                <w:bCs/>
                <w:color w:val="auto"/>
                <w:kern w:val="0"/>
                <w:sz w:val="24"/>
                <w:szCs w:val="24"/>
                <w:highlight w:val="none"/>
                <w:lang w:val="en-US" w:eastAsia="zh-CN" w:bidi="ar"/>
              </w:rPr>
              <w:t>路径不重叠，故将核医学楼一层SPECT诊断区、核医学楼二层PET诊断区和核医学楼三层核素治疗区各划分为1个独立的工作场所。</w:t>
            </w:r>
          </w:p>
          <w:p w14:paraId="3FFE5C87">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根据医院核医学楼Mo-99(Tc-99m)、Tc-99m试运行情况，许可的Mo-99(Tc-99m)日最大操作量为3.70E+10Bq（1000mCi，活动种类：生产，使用）、许可的Tc-99m日最大操作量为3.07E+10Bq（829.73mCi，活动种类：生产，使用）不能满足现有诊疗需求。</w:t>
            </w:r>
          </w:p>
          <w:p w14:paraId="4BE65096">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医院拟将Mo-99(Tc-99m)日最大操作量调整为8.22E+10Bq（2222.22mCi，活动种类：生产）、拟将Tc-99m日最大操作量调整为7.40E+10Bq（2000mCi，活动种类：生产）。拟将生产和使用分成两个独立场所，并根据药物生产情况，科学合理的开展SPECT诊断工作。</w:t>
            </w:r>
          </w:p>
          <w:p w14:paraId="2F19F554">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根据医院核医学楼</w:t>
            </w:r>
            <w:r>
              <w:rPr>
                <w:rFonts w:hint="default" w:ascii="Times New Roman" w:hAnsi="Times New Roman" w:cs="Times New Roman"/>
                <w:b w:val="0"/>
                <w:bCs/>
                <w:color w:val="auto"/>
                <w:kern w:val="0"/>
                <w:sz w:val="24"/>
                <w:szCs w:val="24"/>
                <w:highlight w:val="none"/>
                <w:vertAlign w:val="baseline"/>
                <w:lang w:val="en-US" w:eastAsia="zh-CN" w:bidi="ar"/>
              </w:rPr>
              <w:t>I-131</w:t>
            </w:r>
            <w:r>
              <w:rPr>
                <w:rFonts w:hint="default" w:ascii="Times New Roman" w:hAnsi="Times New Roman" w:cs="Times New Roman"/>
                <w:b w:val="0"/>
                <w:bCs/>
                <w:color w:val="auto"/>
                <w:kern w:val="0"/>
                <w:sz w:val="24"/>
                <w:szCs w:val="24"/>
                <w:highlight w:val="none"/>
                <w:lang w:val="en-US" w:eastAsia="zh-CN" w:bidi="ar"/>
              </w:rPr>
              <w:t>试运行情况，许可的</w:t>
            </w:r>
            <w:r>
              <w:rPr>
                <w:rFonts w:hint="default" w:ascii="Times New Roman" w:hAnsi="Times New Roman" w:cs="Times New Roman"/>
                <w:b w:val="0"/>
                <w:bCs/>
                <w:color w:val="auto"/>
                <w:kern w:val="0"/>
                <w:sz w:val="24"/>
                <w:szCs w:val="24"/>
                <w:highlight w:val="none"/>
                <w:vertAlign w:val="baseline"/>
                <w:lang w:val="en-US" w:eastAsia="zh-CN" w:bidi="ar"/>
              </w:rPr>
              <w:t>I-131</w:t>
            </w:r>
            <w:r>
              <w:rPr>
                <w:rFonts w:hint="default" w:ascii="Times New Roman" w:hAnsi="Times New Roman" w:cs="Times New Roman"/>
                <w:b w:val="0"/>
                <w:bCs/>
                <w:color w:val="auto"/>
                <w:kern w:val="0"/>
                <w:sz w:val="24"/>
                <w:szCs w:val="24"/>
                <w:highlight w:val="none"/>
                <w:lang w:val="en-US" w:eastAsia="zh-CN" w:bidi="ar"/>
              </w:rPr>
              <w:t>（治疗）日最大操作量为2.96E+10Bq（800mCi）和许可的</w:t>
            </w:r>
            <w:r>
              <w:rPr>
                <w:rFonts w:hint="default" w:ascii="Times New Roman" w:hAnsi="Times New Roman" w:cs="Times New Roman"/>
                <w:b w:val="0"/>
                <w:bCs/>
                <w:color w:val="auto"/>
                <w:kern w:val="0"/>
                <w:sz w:val="24"/>
                <w:szCs w:val="24"/>
                <w:highlight w:val="none"/>
                <w:vertAlign w:val="baseline"/>
                <w:lang w:val="en-US" w:eastAsia="zh-CN" w:bidi="ar"/>
              </w:rPr>
              <w:t>I-131</w:t>
            </w:r>
            <w:r>
              <w:rPr>
                <w:rFonts w:hint="default" w:ascii="Times New Roman" w:hAnsi="Times New Roman" w:cs="Times New Roman"/>
                <w:b w:val="0"/>
                <w:bCs/>
                <w:color w:val="auto"/>
                <w:kern w:val="0"/>
                <w:sz w:val="24"/>
                <w:szCs w:val="24"/>
                <w:highlight w:val="none"/>
                <w:lang w:val="en-US" w:eastAsia="zh-CN" w:bidi="ar"/>
              </w:rPr>
              <w:t>（诊断）日最大操作量为1.48E+9Bq（40mCi）不能满足现有诊疗需求。</w:t>
            </w:r>
          </w:p>
          <w:p w14:paraId="3A4D32CA">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val="0"/>
                <w:bCs/>
                <w:color w:val="auto"/>
                <w:kern w:val="0"/>
                <w:sz w:val="24"/>
                <w:szCs w:val="24"/>
                <w:highlight w:val="none"/>
                <w:lang w:val="en-US" w:eastAsia="zh-CN" w:bidi="ar"/>
              </w:rPr>
              <w:t>医院拟将</w:t>
            </w:r>
            <w:r>
              <w:rPr>
                <w:rFonts w:hint="default" w:ascii="Times New Roman" w:hAnsi="Times New Roman" w:cs="Times New Roman"/>
                <w:b w:val="0"/>
                <w:bCs/>
                <w:color w:val="auto"/>
                <w:kern w:val="0"/>
                <w:sz w:val="24"/>
                <w:szCs w:val="24"/>
                <w:highlight w:val="none"/>
                <w:vertAlign w:val="baseline"/>
                <w:lang w:val="en-US" w:eastAsia="zh-CN" w:bidi="ar"/>
              </w:rPr>
              <w:t>I-131</w:t>
            </w:r>
            <w:r>
              <w:rPr>
                <w:rFonts w:hint="default" w:ascii="Times New Roman" w:hAnsi="Times New Roman" w:cs="Times New Roman"/>
                <w:b w:val="0"/>
                <w:bCs/>
                <w:color w:val="auto"/>
                <w:kern w:val="0"/>
                <w:sz w:val="24"/>
                <w:szCs w:val="24"/>
                <w:highlight w:val="none"/>
                <w:lang w:val="en-US" w:eastAsia="zh-CN" w:bidi="ar"/>
              </w:rPr>
              <w:t>（治疗）日最大操作量调整为9.44E+10</w:t>
            </w:r>
            <w:r>
              <w:rPr>
                <w:rFonts w:hint="eastAsia" w:cs="Times New Roman"/>
                <w:b w:val="0"/>
                <w:bCs/>
                <w:color w:val="auto"/>
                <w:kern w:val="0"/>
                <w:sz w:val="24"/>
                <w:szCs w:val="24"/>
                <w:highlight w:val="none"/>
                <w:lang w:val="en-US" w:eastAsia="zh-CN" w:bidi="ar"/>
              </w:rPr>
              <w:t>B</w:t>
            </w:r>
            <w:r>
              <w:rPr>
                <w:rFonts w:hint="default" w:ascii="Times New Roman" w:hAnsi="Times New Roman" w:cs="Times New Roman"/>
                <w:b w:val="0"/>
                <w:bCs/>
                <w:color w:val="auto"/>
                <w:kern w:val="0"/>
                <w:sz w:val="24"/>
                <w:szCs w:val="24"/>
                <w:highlight w:val="none"/>
                <w:lang w:val="en-US" w:eastAsia="zh-CN" w:bidi="ar"/>
              </w:rPr>
              <w:t>q（2550mCi）、拟将</w:t>
            </w:r>
            <w:r>
              <w:rPr>
                <w:rFonts w:hint="default" w:ascii="Times New Roman" w:hAnsi="Times New Roman" w:cs="Times New Roman"/>
                <w:b w:val="0"/>
                <w:bCs/>
                <w:color w:val="auto"/>
                <w:kern w:val="0"/>
                <w:sz w:val="24"/>
                <w:szCs w:val="24"/>
                <w:highlight w:val="none"/>
                <w:vertAlign w:val="baseline"/>
                <w:lang w:val="en-US" w:eastAsia="zh-CN" w:bidi="ar"/>
              </w:rPr>
              <w:t>I-131</w:t>
            </w:r>
            <w:r>
              <w:rPr>
                <w:rFonts w:hint="default" w:ascii="Times New Roman" w:hAnsi="Times New Roman" w:cs="Times New Roman"/>
                <w:b w:val="0"/>
                <w:bCs/>
                <w:color w:val="auto"/>
                <w:kern w:val="0"/>
                <w:sz w:val="24"/>
                <w:szCs w:val="24"/>
                <w:highlight w:val="none"/>
                <w:lang w:val="en-US" w:eastAsia="zh-CN" w:bidi="ar"/>
              </w:rPr>
              <w:t>（诊断）最大操作量调整为1.11E+10Bq（300mCi）。并根据药物订购情况，科学合理的开展</w:t>
            </w:r>
            <w:r>
              <w:rPr>
                <w:rFonts w:hint="default" w:ascii="Times New Roman" w:hAnsi="Times New Roman" w:cs="Times New Roman"/>
                <w:b w:val="0"/>
                <w:bCs/>
                <w:color w:val="auto"/>
                <w:kern w:val="0"/>
                <w:sz w:val="24"/>
                <w:szCs w:val="24"/>
                <w:highlight w:val="none"/>
                <w:vertAlign w:val="baseline"/>
                <w:lang w:val="en-US" w:eastAsia="zh-CN" w:bidi="ar"/>
              </w:rPr>
              <w:t>I-131</w:t>
            </w:r>
            <w:r>
              <w:rPr>
                <w:rFonts w:hint="default" w:ascii="Times New Roman" w:hAnsi="Times New Roman" w:cs="Times New Roman"/>
                <w:b w:val="0"/>
                <w:bCs/>
                <w:color w:val="auto"/>
                <w:kern w:val="0"/>
                <w:sz w:val="24"/>
                <w:szCs w:val="24"/>
                <w:highlight w:val="none"/>
                <w:lang w:val="en-US" w:eastAsia="zh-CN" w:bidi="ar"/>
              </w:rPr>
              <w:t>治疗、诊断工作。此外，医院计划将</w:t>
            </w:r>
            <w:r>
              <w:rPr>
                <w:rFonts w:hint="default" w:ascii="Times New Roman" w:hAnsi="Times New Roman" w:cs="Times New Roman"/>
                <w:b w:val="0"/>
                <w:bCs/>
                <w:color w:val="auto"/>
                <w:kern w:val="0"/>
                <w:sz w:val="24"/>
                <w:szCs w:val="24"/>
                <w:highlight w:val="none"/>
                <w:vertAlign w:val="baseline"/>
                <w:lang w:val="en-US" w:eastAsia="zh-CN" w:bidi="ar"/>
              </w:rPr>
              <w:t>I-131</w:t>
            </w:r>
            <w:r>
              <w:rPr>
                <w:rFonts w:hint="default" w:ascii="Times New Roman" w:hAnsi="Times New Roman" w:cs="Times New Roman"/>
                <w:b w:val="0"/>
                <w:bCs/>
                <w:color w:val="auto"/>
                <w:kern w:val="0"/>
                <w:sz w:val="24"/>
                <w:szCs w:val="24"/>
                <w:highlight w:val="none"/>
                <w:lang w:val="en-US" w:eastAsia="zh-CN" w:bidi="ar"/>
              </w:rPr>
              <w:t>（治疗）由使用液体全部改用</w:t>
            </w:r>
            <w:r>
              <w:rPr>
                <w:rFonts w:hint="default" w:ascii="Times New Roman" w:hAnsi="Times New Roman" w:cs="Times New Roman"/>
                <w:b w:val="0"/>
                <w:bCs/>
                <w:color w:val="auto"/>
                <w:kern w:val="0"/>
                <w:sz w:val="24"/>
                <w:szCs w:val="24"/>
                <w:highlight w:val="none"/>
                <w:vertAlign w:val="baseline"/>
                <w:lang w:val="en-US" w:eastAsia="zh-CN" w:bidi="ar"/>
              </w:rPr>
              <w:t>I-131</w:t>
            </w:r>
            <w:r>
              <w:rPr>
                <w:rFonts w:hint="default" w:ascii="Times New Roman" w:hAnsi="Times New Roman" w:cs="Times New Roman"/>
                <w:b w:val="0"/>
                <w:bCs/>
                <w:color w:val="auto"/>
                <w:kern w:val="0"/>
                <w:sz w:val="24"/>
                <w:szCs w:val="24"/>
                <w:highlight w:val="none"/>
                <w:lang w:val="en-US" w:eastAsia="zh-CN" w:bidi="ar"/>
              </w:rPr>
              <w:t>胶囊，</w:t>
            </w:r>
            <w:r>
              <w:rPr>
                <w:rFonts w:hint="default" w:ascii="Times New Roman" w:hAnsi="Times New Roman" w:cs="Times New Roman"/>
                <w:color w:val="auto"/>
                <w:highlight w:val="none"/>
                <w:lang w:val="en-US" w:eastAsia="zh-CN"/>
              </w:rPr>
              <w:t>制剂由传统液态升级为固态胶囊后，</w:t>
            </w:r>
            <w:r>
              <w:rPr>
                <w:rFonts w:hint="default" w:ascii="Times New Roman" w:hAnsi="Times New Roman"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状态与操作方式修正因子为由液体修正因子1变为固体修正因子10，可新增9间甲癌病房，在增加治疗患者数量的前提下，减少了放射性危害，避免了非密封放射性物质工作场所升级。</w:t>
            </w:r>
            <w:r>
              <w:rPr>
                <w:rFonts w:hint="eastAsia" w:cs="Times New Roman"/>
                <w:color w:val="auto"/>
                <w:highlight w:val="none"/>
                <w:lang w:val="en-US" w:eastAsia="zh-CN"/>
              </w:rPr>
              <w:t>调整后核医学楼三层核素治疗区只使用</w:t>
            </w:r>
            <w:r>
              <w:rPr>
                <w:rFonts w:hint="eastAsia" w:cs="Times New Roman"/>
                <w:color w:val="auto"/>
                <w:highlight w:val="none"/>
                <w:vertAlign w:val="baseline"/>
                <w:lang w:val="en-US" w:eastAsia="zh-CN"/>
              </w:rPr>
              <w:t>I-131</w:t>
            </w:r>
            <w:r>
              <w:rPr>
                <w:rFonts w:hint="eastAsia" w:cs="Times New Roman"/>
                <w:color w:val="auto"/>
                <w:highlight w:val="none"/>
                <w:lang w:val="en-US" w:eastAsia="zh-CN"/>
              </w:rPr>
              <w:t>胶囊，SPECT诊断区只使用</w:t>
            </w:r>
            <w:r>
              <w:rPr>
                <w:rFonts w:hint="eastAsia" w:cs="Times New Roman"/>
                <w:color w:val="auto"/>
                <w:highlight w:val="none"/>
                <w:vertAlign w:val="baseline"/>
                <w:lang w:val="en-US" w:eastAsia="zh-CN"/>
              </w:rPr>
              <w:t>I-131</w:t>
            </w:r>
            <w:r>
              <w:rPr>
                <w:rFonts w:hint="eastAsia" w:cs="Times New Roman"/>
                <w:color w:val="auto"/>
                <w:highlight w:val="none"/>
                <w:lang w:val="en-US" w:eastAsia="zh-CN"/>
              </w:rPr>
              <w:t>液体。</w:t>
            </w:r>
          </w:p>
          <w:p w14:paraId="17A0E673">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根据医院核医学楼</w:t>
            </w:r>
            <w:r>
              <w:rPr>
                <w:rFonts w:hint="default" w:ascii="Times New Roman" w:hAnsi="Times New Roman" w:cs="Times New Roman"/>
                <w:b w:val="0"/>
                <w:bCs/>
                <w:color w:val="auto"/>
                <w:kern w:val="0"/>
                <w:sz w:val="24"/>
                <w:szCs w:val="24"/>
                <w:highlight w:val="none"/>
                <w:vertAlign w:val="baseline"/>
                <w:lang w:val="en-US" w:eastAsia="zh-CN" w:bidi="ar"/>
              </w:rPr>
              <w:t>Lu-177</w:t>
            </w:r>
            <w:r>
              <w:rPr>
                <w:rFonts w:hint="default" w:ascii="Times New Roman" w:hAnsi="Times New Roman" w:cs="Times New Roman"/>
                <w:b w:val="0"/>
                <w:bCs/>
                <w:color w:val="auto"/>
                <w:kern w:val="0"/>
                <w:sz w:val="24"/>
                <w:szCs w:val="24"/>
                <w:highlight w:val="none"/>
                <w:lang w:val="en-US" w:eastAsia="zh-CN" w:bidi="ar"/>
              </w:rPr>
              <w:t>试运行情况，许可的</w:t>
            </w:r>
            <w:r>
              <w:rPr>
                <w:rFonts w:hint="default" w:ascii="Times New Roman" w:hAnsi="Times New Roman" w:cs="Times New Roman"/>
                <w:b w:val="0"/>
                <w:bCs/>
                <w:color w:val="auto"/>
                <w:kern w:val="0"/>
                <w:sz w:val="24"/>
                <w:szCs w:val="24"/>
                <w:highlight w:val="none"/>
                <w:vertAlign w:val="baseline"/>
                <w:lang w:val="en-US" w:eastAsia="zh-CN" w:bidi="ar"/>
              </w:rPr>
              <w:t>Lu-177</w:t>
            </w:r>
            <w:r>
              <w:rPr>
                <w:rFonts w:hint="default" w:ascii="Times New Roman" w:hAnsi="Times New Roman" w:cs="Times New Roman"/>
                <w:b w:val="0"/>
                <w:bCs/>
                <w:color w:val="auto"/>
                <w:kern w:val="0"/>
                <w:sz w:val="24"/>
                <w:szCs w:val="24"/>
                <w:highlight w:val="none"/>
                <w:lang w:val="en-US" w:eastAsia="zh-CN" w:bidi="ar"/>
              </w:rPr>
              <w:t>日最大操作量为3.7E+9Bq（100mCi），不能满足现有治疗效果的需求，医院</w:t>
            </w:r>
            <w:r>
              <w:rPr>
                <w:rFonts w:hint="eastAsia" w:cs="Times New Roman"/>
                <w:b w:val="0"/>
                <w:bCs/>
                <w:color w:val="auto"/>
                <w:kern w:val="0"/>
                <w:sz w:val="24"/>
                <w:szCs w:val="24"/>
                <w:highlight w:val="none"/>
                <w:lang w:val="en-US" w:eastAsia="zh-CN" w:bidi="ar"/>
              </w:rPr>
              <w:t>拟将</w:t>
            </w:r>
            <w:r>
              <w:rPr>
                <w:rFonts w:hint="default" w:ascii="Times New Roman" w:hAnsi="Times New Roman" w:cs="Times New Roman"/>
                <w:b w:val="0"/>
                <w:bCs/>
                <w:color w:val="auto"/>
                <w:kern w:val="0"/>
                <w:sz w:val="24"/>
                <w:szCs w:val="24"/>
                <w:highlight w:val="none"/>
                <w:vertAlign w:val="baseline"/>
                <w:lang w:val="en-US" w:eastAsia="zh-CN" w:bidi="ar"/>
              </w:rPr>
              <w:t>Lu-177</w:t>
            </w:r>
            <w:r>
              <w:rPr>
                <w:rFonts w:hint="default" w:ascii="Times New Roman" w:hAnsi="Times New Roman" w:cs="Times New Roman"/>
                <w:b w:val="0"/>
                <w:bCs/>
                <w:color w:val="auto"/>
                <w:kern w:val="0"/>
                <w:sz w:val="24"/>
                <w:szCs w:val="24"/>
                <w:highlight w:val="none"/>
                <w:lang w:val="en-US" w:eastAsia="zh-CN" w:bidi="ar"/>
              </w:rPr>
              <w:t>最大操作量调整为1.11E+10Bq（300mCi）。</w:t>
            </w:r>
          </w:p>
          <w:p w14:paraId="00A67150">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根据医院核医学楼</w:t>
            </w:r>
            <w:r>
              <w:rPr>
                <w:rFonts w:hint="default" w:ascii="Times New Roman" w:hAnsi="Times New Roman" w:cs="Times New Roman"/>
                <w:b w:val="0"/>
                <w:bCs/>
                <w:color w:val="auto"/>
                <w:kern w:val="0"/>
                <w:sz w:val="24"/>
                <w:szCs w:val="24"/>
                <w:highlight w:val="none"/>
                <w:vertAlign w:val="baseline"/>
                <w:lang w:val="en-US" w:eastAsia="zh-CN" w:bidi="ar"/>
              </w:rPr>
              <w:t>Ra-223</w:t>
            </w:r>
            <w:r>
              <w:rPr>
                <w:rFonts w:hint="default" w:ascii="Times New Roman" w:hAnsi="Times New Roman" w:cs="Times New Roman"/>
                <w:b w:val="0"/>
                <w:bCs/>
                <w:color w:val="auto"/>
                <w:kern w:val="0"/>
                <w:sz w:val="24"/>
                <w:szCs w:val="24"/>
                <w:highlight w:val="none"/>
                <w:lang w:val="en-US" w:eastAsia="zh-CN" w:bidi="ar"/>
              </w:rPr>
              <w:t>试运行情况，许可的</w:t>
            </w:r>
            <w:r>
              <w:rPr>
                <w:rFonts w:hint="default" w:ascii="Times New Roman" w:hAnsi="Times New Roman" w:cs="Times New Roman"/>
                <w:b w:val="0"/>
                <w:bCs/>
                <w:color w:val="auto"/>
                <w:kern w:val="0"/>
                <w:sz w:val="24"/>
                <w:szCs w:val="24"/>
                <w:highlight w:val="none"/>
                <w:vertAlign w:val="baseline"/>
                <w:lang w:val="en-US" w:eastAsia="zh-CN" w:bidi="ar"/>
              </w:rPr>
              <w:t>Ra-223</w:t>
            </w:r>
            <w:r>
              <w:rPr>
                <w:rFonts w:hint="default" w:ascii="Times New Roman" w:hAnsi="Times New Roman" w:cs="Times New Roman"/>
                <w:b w:val="0"/>
                <w:bCs/>
                <w:color w:val="auto"/>
                <w:kern w:val="0"/>
                <w:sz w:val="24"/>
                <w:szCs w:val="24"/>
                <w:highlight w:val="none"/>
                <w:lang w:val="en-US" w:eastAsia="zh-CN" w:bidi="ar"/>
              </w:rPr>
              <w:t>日最大操作量为3.3E+6Bq（0.09mCi），不能满足现有治疗效果的需求，医院</w:t>
            </w:r>
            <w:r>
              <w:rPr>
                <w:rFonts w:hint="eastAsia" w:cs="Times New Roman"/>
                <w:b w:val="0"/>
                <w:bCs/>
                <w:color w:val="auto"/>
                <w:kern w:val="0"/>
                <w:sz w:val="24"/>
                <w:szCs w:val="24"/>
                <w:highlight w:val="none"/>
                <w:lang w:val="en-US" w:eastAsia="zh-CN" w:bidi="ar"/>
              </w:rPr>
              <w:t>拟将</w:t>
            </w:r>
            <w:r>
              <w:rPr>
                <w:rFonts w:hint="default" w:ascii="Times New Roman" w:hAnsi="Times New Roman" w:cs="Times New Roman"/>
                <w:b w:val="0"/>
                <w:bCs/>
                <w:color w:val="auto"/>
                <w:kern w:val="0"/>
                <w:sz w:val="24"/>
                <w:szCs w:val="24"/>
                <w:highlight w:val="none"/>
                <w:vertAlign w:val="baseline"/>
                <w:lang w:val="en-US" w:eastAsia="zh-CN" w:bidi="ar"/>
              </w:rPr>
              <w:t>Ra-223</w:t>
            </w:r>
            <w:r>
              <w:rPr>
                <w:rFonts w:hint="default" w:ascii="Times New Roman" w:hAnsi="Times New Roman" w:cs="Times New Roman"/>
                <w:b w:val="0"/>
                <w:bCs/>
                <w:color w:val="auto"/>
                <w:kern w:val="0"/>
                <w:sz w:val="24"/>
                <w:szCs w:val="24"/>
                <w:highlight w:val="none"/>
                <w:lang w:val="en-US" w:eastAsia="zh-CN" w:bidi="ar"/>
              </w:rPr>
              <w:t>最大操作量调整为5.50E+06Bq（0.15mCi）。</w:t>
            </w:r>
          </w:p>
          <w:p w14:paraId="50AAA3AE">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根据治疗计划，医院核医学楼拟新增</w:t>
            </w:r>
            <w:r>
              <w:rPr>
                <w:rFonts w:hint="default" w:ascii="Times New Roman" w:hAnsi="Times New Roman" w:cs="Times New Roman"/>
                <w:b w:val="0"/>
                <w:bCs/>
                <w:color w:val="auto"/>
                <w:kern w:val="0"/>
                <w:sz w:val="24"/>
                <w:szCs w:val="24"/>
                <w:highlight w:val="none"/>
                <w:vertAlign w:val="baseline"/>
                <w:lang w:val="en-US" w:eastAsia="zh-CN" w:bidi="ar"/>
              </w:rPr>
              <w:t>Ac-225</w:t>
            </w:r>
            <w:r>
              <w:rPr>
                <w:rFonts w:hint="default" w:ascii="Times New Roman" w:hAnsi="Times New Roman" w:cs="Times New Roman"/>
                <w:b w:val="0"/>
                <w:bCs/>
                <w:color w:val="auto"/>
                <w:kern w:val="0"/>
                <w:sz w:val="24"/>
                <w:szCs w:val="24"/>
                <w:highlight w:val="none"/>
                <w:lang w:val="en-US" w:eastAsia="zh-CN" w:bidi="ar"/>
              </w:rPr>
              <w:t>的使用，</w:t>
            </w:r>
            <w:r>
              <w:rPr>
                <w:rFonts w:hint="default" w:ascii="Times New Roman" w:hAnsi="Times New Roman" w:cs="Times New Roman"/>
                <w:b w:val="0"/>
                <w:bCs/>
                <w:color w:val="auto"/>
                <w:kern w:val="0"/>
                <w:sz w:val="24"/>
                <w:szCs w:val="24"/>
                <w:highlight w:val="none"/>
                <w:vertAlign w:val="baseline"/>
                <w:lang w:val="en-US" w:eastAsia="zh-CN" w:bidi="ar"/>
              </w:rPr>
              <w:t>Ac-225</w:t>
            </w:r>
            <w:r>
              <w:rPr>
                <w:rFonts w:hint="default" w:ascii="Times New Roman" w:hAnsi="Times New Roman" w:cs="Times New Roman"/>
                <w:b w:val="0"/>
                <w:bCs/>
                <w:color w:val="auto"/>
                <w:kern w:val="0"/>
                <w:sz w:val="24"/>
                <w:szCs w:val="24"/>
                <w:highlight w:val="none"/>
                <w:lang w:val="en-US" w:eastAsia="zh-CN" w:bidi="ar"/>
              </w:rPr>
              <w:t>日最大操作量为1.00E+07Bq（0.27mCi）。</w:t>
            </w:r>
          </w:p>
          <w:p w14:paraId="4CDE2425">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根据治疗计划，医院</w:t>
            </w:r>
            <w:r>
              <w:rPr>
                <w:rFonts w:hint="eastAsia" w:cs="Times New Roman"/>
                <w:b w:val="0"/>
                <w:bCs/>
                <w:color w:val="auto"/>
                <w:kern w:val="0"/>
                <w:sz w:val="24"/>
                <w:szCs w:val="24"/>
                <w:highlight w:val="none"/>
                <w:lang w:val="en-US" w:eastAsia="zh-CN" w:bidi="ar"/>
              </w:rPr>
              <w:t>新</w:t>
            </w:r>
            <w:r>
              <w:rPr>
                <w:rFonts w:hint="default" w:ascii="Times New Roman" w:hAnsi="Times New Roman" w:cs="Times New Roman"/>
                <w:b w:val="0"/>
                <w:bCs/>
                <w:color w:val="auto"/>
                <w:kern w:val="0"/>
                <w:sz w:val="24"/>
                <w:szCs w:val="24"/>
                <w:highlight w:val="none"/>
                <w:lang w:val="en-US" w:eastAsia="zh-CN" w:bidi="ar"/>
              </w:rPr>
              <w:t>增Y-90的使用，依托医院前期已获得许可的血管造影用X射线装置（场所：</w:t>
            </w:r>
            <w:r>
              <w:rPr>
                <w:rFonts w:hint="eastAsia" w:cs="Times New Roman"/>
                <w:b w:val="0"/>
                <w:bCs/>
                <w:color w:val="auto"/>
                <w:kern w:val="0"/>
                <w:sz w:val="24"/>
                <w:szCs w:val="24"/>
                <w:highlight w:val="none"/>
                <w:lang w:val="en-US" w:eastAsia="zh-CN" w:bidi="ar"/>
              </w:rPr>
              <w:t>老院区</w:t>
            </w:r>
            <w:r>
              <w:rPr>
                <w:rFonts w:hint="default" w:ascii="Times New Roman" w:hAnsi="Times New Roman" w:cs="Times New Roman"/>
                <w:b w:val="0"/>
                <w:bCs/>
                <w:color w:val="auto"/>
                <w:kern w:val="0"/>
                <w:sz w:val="24"/>
                <w:szCs w:val="24"/>
                <w:highlight w:val="none"/>
                <w:lang w:val="en-US" w:eastAsia="zh-CN" w:bidi="ar"/>
              </w:rPr>
              <w:t>综合楼一层介入手术2室，型号：Alphenix INFX-9000V），开展Y-90树脂微球介入治疗。Y-90</w:t>
            </w:r>
            <w:r>
              <w:rPr>
                <w:rFonts w:hint="eastAsia" w:cs="Times New Roman"/>
                <w:b w:val="0"/>
                <w:bCs/>
                <w:color w:val="auto"/>
                <w:kern w:val="0"/>
                <w:sz w:val="24"/>
                <w:szCs w:val="24"/>
                <w:highlight w:val="none"/>
                <w:lang w:val="en-US" w:eastAsia="zh-CN" w:bidi="ar"/>
              </w:rPr>
              <w:t>日最大治疗人数为1人，药物按照诊断计划提前订购，无需分装，剩余药物不暂存，作为放射性废物处置。</w:t>
            </w:r>
          </w:p>
          <w:p w14:paraId="2C13FE93">
            <w:pPr>
              <w:keepNext w:val="0"/>
              <w:keepLines w:val="0"/>
              <w:pageBreakBefore w:val="0"/>
              <w:widowControl w:val="0"/>
              <w:suppressLineNumbers w:val="0"/>
              <w:kinsoku/>
              <w:wordWrap/>
              <w:overflowPunct/>
              <w:topLinePunct w:val="0"/>
              <w:autoSpaceDE w:val="0"/>
              <w:autoSpaceDN w:val="0"/>
              <w:bidi w:val="0"/>
              <w:adjustRightInd/>
              <w:snapToGrid/>
              <w:spacing w:before="0" w:beforeLines="0" w:beforeAutospacing="0" w:after="0" w:afterLines="0" w:afterAutospacing="0" w:line="360"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val="0"/>
                <w:bCs/>
                <w:color w:val="auto"/>
                <w:kern w:val="0"/>
                <w:sz w:val="24"/>
                <w:szCs w:val="24"/>
                <w:highlight w:val="none"/>
                <w:lang w:val="en-US" w:eastAsia="zh-CN" w:bidi="ar"/>
              </w:rPr>
              <w:t>根据</w:t>
            </w:r>
            <w:r>
              <w:rPr>
                <w:rFonts w:hint="eastAsia" w:cs="Times New Roman"/>
                <w:b w:val="0"/>
                <w:bCs/>
                <w:color w:val="auto"/>
                <w:kern w:val="0"/>
                <w:sz w:val="24"/>
                <w:szCs w:val="24"/>
                <w:highlight w:val="none"/>
                <w:lang w:val="en-US" w:eastAsia="zh-CN" w:bidi="ar"/>
              </w:rPr>
              <w:t>前文</w:t>
            </w:r>
            <w:r>
              <w:rPr>
                <w:rFonts w:hint="default" w:ascii="Times New Roman" w:hAnsi="Times New Roman" w:cs="Times New Roman"/>
                <w:b w:val="0"/>
                <w:bCs/>
                <w:color w:val="auto"/>
                <w:kern w:val="0"/>
                <w:sz w:val="24"/>
                <w:szCs w:val="24"/>
                <w:highlight w:val="none"/>
                <w:lang w:val="en-US" w:eastAsia="zh-CN" w:bidi="ar"/>
              </w:rPr>
              <w:t>分析本项目实际情况，本项目将原核医学楼1个乙级场所</w:t>
            </w:r>
            <w:r>
              <w:rPr>
                <w:rFonts w:hint="eastAsia" w:cs="Times New Roman"/>
                <w:b w:val="0"/>
                <w:bCs/>
                <w:color w:val="auto"/>
                <w:kern w:val="0"/>
                <w:sz w:val="24"/>
                <w:szCs w:val="24"/>
                <w:highlight w:val="none"/>
                <w:lang w:val="en-US" w:eastAsia="zh-CN" w:bidi="ar"/>
              </w:rPr>
              <w:t>（场所日等效最大操作量为3.9956E+09Bq）</w:t>
            </w:r>
            <w:r>
              <w:rPr>
                <w:rFonts w:hint="default" w:ascii="Times New Roman" w:hAnsi="Times New Roman" w:cs="Times New Roman"/>
                <w:b w:val="0"/>
                <w:bCs/>
                <w:color w:val="auto"/>
                <w:kern w:val="0"/>
                <w:sz w:val="24"/>
                <w:szCs w:val="24"/>
                <w:highlight w:val="none"/>
                <w:lang w:val="en-US" w:eastAsia="zh-CN" w:bidi="ar"/>
              </w:rPr>
              <w:t>，合理划分为核医学楼负一层正电子药物生产车间、核医学楼负一层单光子药物生产车间、</w:t>
            </w:r>
            <w:r>
              <w:rPr>
                <w:rFonts w:hint="default" w:ascii="Times New Roman" w:hAnsi="Times New Roman" w:cs="Times New Roman"/>
                <w:color w:val="auto"/>
                <w:highlight w:val="none"/>
                <w:lang w:val="en-US" w:eastAsia="zh-CN"/>
              </w:rPr>
              <w:t>核医学楼一层SPECT诊断区、核医学楼二层PET诊断区和核医学楼三层核素治疗区5个相对独立的非密封放射性物质工作场所，调整后的核医学楼各非密封放射性物质工作场所功能定位清晰、分区布局规范，从核素分类使用、工艺流程管控、辐射风险防控及生态环境监管等多方面考量，具备较强的科学性与合理性。</w:t>
            </w:r>
          </w:p>
          <w:p w14:paraId="418B70F7">
            <w:pPr>
              <w:pStyle w:val="9"/>
              <w:keepNext w:val="0"/>
              <w:keepLines w:val="0"/>
              <w:suppressLineNumbers w:val="0"/>
              <w:spacing w:before="0" w:beforeAutospacing="0" w:after="0" w:afterAutospacing="0"/>
              <w:jc w:val="both"/>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表9-1  本项目核素调整情况一览表</w:t>
            </w:r>
          </w:p>
          <w:tbl>
            <w:tblPr>
              <w:tblStyle w:val="22"/>
              <w:tblW w:w="4914"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687"/>
              <w:gridCol w:w="1193"/>
              <w:gridCol w:w="2440"/>
              <w:gridCol w:w="2457"/>
              <w:gridCol w:w="2119"/>
            </w:tblGrid>
            <w:tr w14:paraId="5845604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518" w:hRule="atLeast"/>
                <w:tblHeader/>
                <w:jc w:val="center"/>
              </w:trPr>
              <w:tc>
                <w:tcPr>
                  <w:tcW w:w="386" w:type="pct"/>
                  <w:tcBorders>
                    <w:tl2br w:val="nil"/>
                    <w:tr2bl w:val="nil"/>
                  </w:tcBorders>
                  <w:shd w:val="clear" w:color="auto" w:fill="auto"/>
                  <w:tcMar>
                    <w:top w:w="120" w:type="dxa"/>
                    <w:left w:w="120" w:type="dxa"/>
                    <w:bottom w:w="120" w:type="dxa"/>
                    <w:right w:w="120" w:type="dxa"/>
                  </w:tcMar>
                  <w:vAlign w:val="center"/>
                </w:tcPr>
                <w:p w14:paraId="3ABEEA7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序号</w:t>
                  </w:r>
                </w:p>
              </w:tc>
              <w:tc>
                <w:tcPr>
                  <w:tcW w:w="670" w:type="pct"/>
                  <w:tcBorders>
                    <w:tl2br w:val="nil"/>
                    <w:tr2bl w:val="nil"/>
                  </w:tcBorders>
                  <w:shd w:val="clear" w:color="auto" w:fill="auto"/>
                  <w:tcMar>
                    <w:top w:w="120" w:type="dxa"/>
                    <w:left w:w="120" w:type="dxa"/>
                    <w:bottom w:w="120" w:type="dxa"/>
                    <w:right w:w="120" w:type="dxa"/>
                  </w:tcMar>
                  <w:vAlign w:val="center"/>
                </w:tcPr>
                <w:p w14:paraId="294352D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核素</w:t>
                  </w:r>
                </w:p>
              </w:tc>
              <w:tc>
                <w:tcPr>
                  <w:tcW w:w="1371" w:type="pct"/>
                  <w:tcBorders>
                    <w:tl2br w:val="nil"/>
                    <w:tr2bl w:val="nil"/>
                  </w:tcBorders>
                  <w:shd w:val="clear" w:color="auto" w:fill="auto"/>
                  <w:tcMar>
                    <w:top w:w="120" w:type="dxa"/>
                    <w:left w:w="120" w:type="dxa"/>
                    <w:bottom w:w="120" w:type="dxa"/>
                    <w:right w:w="120" w:type="dxa"/>
                  </w:tcMar>
                  <w:vAlign w:val="center"/>
                </w:tcPr>
                <w:p w14:paraId="53ADA3A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变动前日最大操作量</w:t>
                  </w:r>
                </w:p>
              </w:tc>
              <w:tc>
                <w:tcPr>
                  <w:tcW w:w="1381" w:type="pct"/>
                  <w:tcBorders>
                    <w:tl2br w:val="nil"/>
                    <w:tr2bl w:val="nil"/>
                  </w:tcBorders>
                  <w:shd w:val="clear" w:color="auto" w:fill="auto"/>
                  <w:tcMar>
                    <w:top w:w="120" w:type="dxa"/>
                    <w:left w:w="120" w:type="dxa"/>
                    <w:bottom w:w="120" w:type="dxa"/>
                    <w:right w:w="120" w:type="dxa"/>
                  </w:tcMar>
                  <w:vAlign w:val="center"/>
                </w:tcPr>
                <w:p w14:paraId="3E00A9D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变动后日最大操作量</w:t>
                  </w:r>
                </w:p>
              </w:tc>
              <w:tc>
                <w:tcPr>
                  <w:tcW w:w="1190" w:type="pct"/>
                  <w:tcBorders>
                    <w:tl2br w:val="nil"/>
                    <w:tr2bl w:val="nil"/>
                  </w:tcBorders>
                  <w:shd w:val="clear" w:color="auto" w:fill="auto"/>
                  <w:tcMar>
                    <w:top w:w="120" w:type="dxa"/>
                    <w:left w:w="120" w:type="dxa"/>
                    <w:bottom w:w="120" w:type="dxa"/>
                    <w:right w:w="120" w:type="dxa"/>
                  </w:tcMar>
                  <w:vAlign w:val="center"/>
                </w:tcPr>
                <w:p w14:paraId="76D7AA56">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备注</w:t>
                  </w:r>
                </w:p>
              </w:tc>
            </w:tr>
            <w:tr w14:paraId="46363A4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807" w:hRule="atLeast"/>
                <w:jc w:val="center"/>
              </w:trPr>
              <w:tc>
                <w:tcPr>
                  <w:tcW w:w="386" w:type="pct"/>
                  <w:tcBorders>
                    <w:tl2br w:val="nil"/>
                    <w:tr2bl w:val="nil"/>
                  </w:tcBorders>
                  <w:shd w:val="clear" w:color="auto" w:fill="auto"/>
                  <w:tcMar>
                    <w:top w:w="120" w:type="dxa"/>
                    <w:left w:w="120" w:type="dxa"/>
                    <w:bottom w:w="120" w:type="dxa"/>
                    <w:right w:w="120" w:type="dxa"/>
                  </w:tcMar>
                  <w:vAlign w:val="center"/>
                </w:tcPr>
                <w:p w14:paraId="1E3E495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w:t>
                  </w:r>
                </w:p>
              </w:tc>
              <w:tc>
                <w:tcPr>
                  <w:tcW w:w="670" w:type="pct"/>
                  <w:tcBorders>
                    <w:tl2br w:val="nil"/>
                    <w:tr2bl w:val="nil"/>
                  </w:tcBorders>
                  <w:shd w:val="clear" w:color="auto" w:fill="auto"/>
                  <w:tcMar>
                    <w:top w:w="120" w:type="dxa"/>
                    <w:left w:w="120" w:type="dxa"/>
                    <w:bottom w:w="120" w:type="dxa"/>
                    <w:right w:w="120" w:type="dxa"/>
                  </w:tcMar>
                  <w:vAlign w:val="center"/>
                </w:tcPr>
                <w:p w14:paraId="58BBFB8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vertAlign w:val="baseline"/>
                      <w:lang w:val="en-US" w:eastAsia="zh-CN"/>
                    </w:rPr>
                    <w:t>F-18</w:t>
                  </w:r>
                </w:p>
              </w:tc>
              <w:tc>
                <w:tcPr>
                  <w:tcW w:w="1371" w:type="pct"/>
                  <w:tcBorders>
                    <w:tl2br w:val="nil"/>
                    <w:tr2bl w:val="nil"/>
                  </w:tcBorders>
                  <w:shd w:val="clear" w:color="auto" w:fill="auto"/>
                  <w:tcMar>
                    <w:top w:w="120" w:type="dxa"/>
                    <w:left w:w="120" w:type="dxa"/>
                    <w:bottom w:w="120" w:type="dxa"/>
                    <w:right w:w="120" w:type="dxa"/>
                  </w:tcMar>
                  <w:vAlign w:val="center"/>
                </w:tcPr>
                <w:p w14:paraId="7B506F2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9.99E+9 Bq（270mCi）</w:t>
                  </w:r>
                </w:p>
                <w:p w14:paraId="564B2B92">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活动种类：生产、使用</w:t>
                  </w:r>
                </w:p>
              </w:tc>
              <w:tc>
                <w:tcPr>
                  <w:tcW w:w="1381" w:type="pct"/>
                  <w:tcBorders>
                    <w:tl2br w:val="nil"/>
                    <w:tr2bl w:val="nil"/>
                  </w:tcBorders>
                  <w:shd w:val="clear" w:color="auto" w:fill="auto"/>
                  <w:tcMar>
                    <w:top w:w="120" w:type="dxa"/>
                    <w:left w:w="120" w:type="dxa"/>
                    <w:bottom w:w="120" w:type="dxa"/>
                    <w:right w:w="120" w:type="dxa"/>
                  </w:tcMar>
                  <w:vAlign w:val="center"/>
                </w:tcPr>
                <w:p w14:paraId="575A95D2">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7.40E+10 Bq（2000mCi）</w:t>
                  </w:r>
                </w:p>
                <w:p w14:paraId="047ECF1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活动种类：生产</w:t>
                  </w:r>
                </w:p>
              </w:tc>
              <w:tc>
                <w:tcPr>
                  <w:tcW w:w="1190" w:type="pct"/>
                  <w:tcBorders>
                    <w:tl2br w:val="nil"/>
                    <w:tr2bl w:val="nil"/>
                  </w:tcBorders>
                  <w:shd w:val="clear" w:color="auto" w:fill="auto"/>
                  <w:tcMar>
                    <w:top w:w="120" w:type="dxa"/>
                    <w:left w:w="120" w:type="dxa"/>
                    <w:bottom w:w="120" w:type="dxa"/>
                    <w:right w:w="120" w:type="dxa"/>
                  </w:tcMar>
                  <w:vAlign w:val="center"/>
                </w:tcPr>
                <w:p w14:paraId="11EFFC3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生产、使用单独核算场所等级；使用量为1000mCi考虑半衰期</w:t>
                  </w:r>
                </w:p>
              </w:tc>
            </w:tr>
            <w:tr w14:paraId="2BC4A6F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807" w:hRule="atLeast"/>
                <w:jc w:val="center"/>
              </w:trPr>
              <w:tc>
                <w:tcPr>
                  <w:tcW w:w="386" w:type="pct"/>
                  <w:tcBorders>
                    <w:tl2br w:val="nil"/>
                    <w:tr2bl w:val="nil"/>
                  </w:tcBorders>
                  <w:shd w:val="clear" w:color="auto" w:fill="auto"/>
                  <w:tcMar>
                    <w:top w:w="120" w:type="dxa"/>
                    <w:left w:w="120" w:type="dxa"/>
                    <w:bottom w:w="120" w:type="dxa"/>
                    <w:right w:w="120" w:type="dxa"/>
                  </w:tcMar>
                  <w:vAlign w:val="center"/>
                </w:tcPr>
                <w:p w14:paraId="782E6D0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2</w:t>
                  </w:r>
                </w:p>
              </w:tc>
              <w:tc>
                <w:tcPr>
                  <w:tcW w:w="670" w:type="pct"/>
                  <w:tcBorders>
                    <w:tl2br w:val="nil"/>
                    <w:tr2bl w:val="nil"/>
                  </w:tcBorders>
                  <w:shd w:val="clear" w:color="auto" w:fill="auto"/>
                  <w:tcMar>
                    <w:top w:w="120" w:type="dxa"/>
                    <w:left w:w="120" w:type="dxa"/>
                    <w:bottom w:w="120" w:type="dxa"/>
                    <w:right w:w="120" w:type="dxa"/>
                  </w:tcMar>
                  <w:vAlign w:val="center"/>
                </w:tcPr>
                <w:p w14:paraId="65077CA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Ga-68</w:t>
                  </w:r>
                </w:p>
              </w:tc>
              <w:tc>
                <w:tcPr>
                  <w:tcW w:w="1371" w:type="pct"/>
                  <w:tcBorders>
                    <w:tl2br w:val="nil"/>
                    <w:tr2bl w:val="nil"/>
                  </w:tcBorders>
                  <w:shd w:val="clear" w:color="auto" w:fill="auto"/>
                  <w:tcMar>
                    <w:top w:w="120" w:type="dxa"/>
                    <w:left w:w="120" w:type="dxa"/>
                    <w:bottom w:w="120" w:type="dxa"/>
                    <w:right w:w="120" w:type="dxa"/>
                  </w:tcMar>
                  <w:vAlign w:val="center"/>
                </w:tcPr>
                <w:p w14:paraId="6F1EA57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1.11E+9 Bq（30mCi）</w:t>
                  </w:r>
                </w:p>
                <w:p w14:paraId="7096ADE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活动种类：生产、使用</w:t>
                  </w:r>
                </w:p>
              </w:tc>
              <w:tc>
                <w:tcPr>
                  <w:tcW w:w="1381" w:type="pct"/>
                  <w:tcBorders>
                    <w:tl2br w:val="nil"/>
                    <w:tr2bl w:val="nil"/>
                  </w:tcBorders>
                  <w:shd w:val="clear" w:color="auto" w:fill="auto"/>
                  <w:tcMar>
                    <w:top w:w="120" w:type="dxa"/>
                    <w:left w:w="120" w:type="dxa"/>
                    <w:bottom w:w="120" w:type="dxa"/>
                    <w:right w:w="120" w:type="dxa"/>
                  </w:tcMar>
                  <w:vAlign w:val="center"/>
                </w:tcPr>
                <w:p w14:paraId="6E8BA69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3.70E+10 Bq（1000mCi）</w:t>
                  </w:r>
                </w:p>
                <w:p w14:paraId="43CBAA4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活动种类：生产</w:t>
                  </w:r>
                </w:p>
              </w:tc>
              <w:tc>
                <w:tcPr>
                  <w:tcW w:w="1190" w:type="pct"/>
                  <w:tcBorders>
                    <w:tl2br w:val="nil"/>
                    <w:tr2bl w:val="nil"/>
                  </w:tcBorders>
                  <w:shd w:val="clear" w:color="auto" w:fill="auto"/>
                  <w:tcMar>
                    <w:top w:w="120" w:type="dxa"/>
                    <w:left w:w="120" w:type="dxa"/>
                    <w:bottom w:w="120" w:type="dxa"/>
                    <w:right w:w="120" w:type="dxa"/>
                  </w:tcMar>
                  <w:vAlign w:val="center"/>
                </w:tcPr>
                <w:p w14:paraId="6202BC6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生产、使用单独核算场所等级；使用量为500mCi考虑半衰期</w:t>
                  </w:r>
                </w:p>
              </w:tc>
            </w:tr>
            <w:tr w14:paraId="0CB72AD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938" w:hRule="atLeast"/>
                <w:jc w:val="center"/>
              </w:trPr>
              <w:tc>
                <w:tcPr>
                  <w:tcW w:w="386" w:type="pct"/>
                  <w:tcBorders>
                    <w:tl2br w:val="nil"/>
                    <w:tr2bl w:val="nil"/>
                  </w:tcBorders>
                  <w:shd w:val="clear" w:color="auto" w:fill="auto"/>
                  <w:tcMar>
                    <w:top w:w="120" w:type="dxa"/>
                    <w:left w:w="120" w:type="dxa"/>
                    <w:bottom w:w="120" w:type="dxa"/>
                    <w:right w:w="120" w:type="dxa"/>
                  </w:tcMar>
                  <w:vAlign w:val="center"/>
                </w:tcPr>
                <w:p w14:paraId="5A3DB3C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3</w:t>
                  </w:r>
                </w:p>
              </w:tc>
              <w:tc>
                <w:tcPr>
                  <w:tcW w:w="670" w:type="pct"/>
                  <w:tcBorders>
                    <w:tl2br w:val="nil"/>
                    <w:tr2bl w:val="nil"/>
                  </w:tcBorders>
                  <w:shd w:val="clear" w:color="auto" w:fill="auto"/>
                  <w:tcMar>
                    <w:top w:w="120" w:type="dxa"/>
                    <w:left w:w="120" w:type="dxa"/>
                    <w:bottom w:w="120" w:type="dxa"/>
                    <w:right w:w="120" w:type="dxa"/>
                  </w:tcMar>
                  <w:vAlign w:val="center"/>
                </w:tcPr>
                <w:p w14:paraId="7A293169">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C-11</w:t>
                  </w:r>
                </w:p>
              </w:tc>
              <w:tc>
                <w:tcPr>
                  <w:tcW w:w="1371" w:type="pct"/>
                  <w:tcBorders>
                    <w:tl2br w:val="nil"/>
                    <w:tr2bl w:val="nil"/>
                  </w:tcBorders>
                  <w:shd w:val="clear" w:color="auto" w:fill="auto"/>
                  <w:tcMar>
                    <w:top w:w="120" w:type="dxa"/>
                    <w:left w:w="120" w:type="dxa"/>
                    <w:bottom w:w="120" w:type="dxa"/>
                    <w:right w:w="120" w:type="dxa"/>
                  </w:tcMar>
                  <w:vAlign w:val="center"/>
                </w:tcPr>
                <w:p w14:paraId="46DE5024">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无</w:t>
                  </w:r>
                </w:p>
              </w:tc>
              <w:tc>
                <w:tcPr>
                  <w:tcW w:w="1381" w:type="pct"/>
                  <w:tcBorders>
                    <w:tl2br w:val="nil"/>
                    <w:tr2bl w:val="nil"/>
                  </w:tcBorders>
                  <w:shd w:val="clear" w:color="auto" w:fill="auto"/>
                  <w:tcMar>
                    <w:top w:w="120" w:type="dxa"/>
                    <w:left w:w="120" w:type="dxa"/>
                    <w:bottom w:w="120" w:type="dxa"/>
                    <w:right w:w="120" w:type="dxa"/>
                  </w:tcMar>
                  <w:vAlign w:val="center"/>
                </w:tcPr>
                <w:p w14:paraId="5D69460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1.48E+10 Bq（400mCi）</w:t>
                  </w:r>
                </w:p>
                <w:p w14:paraId="73DDD07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活动种类：生产</w:t>
                  </w:r>
                </w:p>
              </w:tc>
              <w:tc>
                <w:tcPr>
                  <w:tcW w:w="1190" w:type="pct"/>
                  <w:tcBorders>
                    <w:tl2br w:val="nil"/>
                    <w:tr2bl w:val="nil"/>
                  </w:tcBorders>
                  <w:shd w:val="clear" w:color="auto" w:fill="auto"/>
                  <w:tcMar>
                    <w:top w:w="120" w:type="dxa"/>
                    <w:left w:w="120" w:type="dxa"/>
                    <w:bottom w:w="120" w:type="dxa"/>
                    <w:right w:w="120" w:type="dxa"/>
                  </w:tcMar>
                  <w:vAlign w:val="center"/>
                </w:tcPr>
                <w:p w14:paraId="678B88E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eastAsia" w:cs="Times New Roman"/>
                      <w:color w:val="auto"/>
                      <w:kern w:val="0"/>
                      <w:sz w:val="20"/>
                      <w:szCs w:val="21"/>
                      <w:highlight w:val="none"/>
                      <w:lang w:val="en-US" w:eastAsia="zh-CN"/>
                    </w:rPr>
                    <w:t>新增，</w:t>
                  </w:r>
                  <w:r>
                    <w:rPr>
                      <w:rFonts w:hint="default" w:ascii="Times New Roman" w:hAnsi="Times New Roman" w:eastAsia="宋体" w:cs="Times New Roman"/>
                      <w:color w:val="auto"/>
                      <w:kern w:val="0"/>
                      <w:sz w:val="20"/>
                      <w:szCs w:val="21"/>
                      <w:highlight w:val="none"/>
                      <w:lang w:val="en-US" w:eastAsia="zh-CN"/>
                    </w:rPr>
                    <w:t>生产、使用单独核算场所等级；使用量为</w:t>
                  </w:r>
                  <w:r>
                    <w:rPr>
                      <w:rFonts w:hint="default" w:ascii="Times New Roman" w:hAnsi="Times New Roman" w:cs="Times New Roman"/>
                      <w:color w:val="auto"/>
                      <w:kern w:val="0"/>
                      <w:sz w:val="20"/>
                      <w:szCs w:val="21"/>
                      <w:highlight w:val="none"/>
                      <w:lang w:val="en-US" w:eastAsia="zh-CN"/>
                    </w:rPr>
                    <w:t>2</w:t>
                  </w:r>
                  <w:r>
                    <w:rPr>
                      <w:rFonts w:hint="default" w:ascii="Times New Roman" w:hAnsi="Times New Roman" w:eastAsia="宋体" w:cs="Times New Roman"/>
                      <w:color w:val="auto"/>
                      <w:kern w:val="0"/>
                      <w:sz w:val="20"/>
                      <w:szCs w:val="21"/>
                      <w:highlight w:val="none"/>
                      <w:lang w:val="en-US" w:eastAsia="zh-CN"/>
                    </w:rPr>
                    <w:t>00mCi考虑半衰期</w:t>
                  </w:r>
                </w:p>
              </w:tc>
            </w:tr>
            <w:tr w14:paraId="6E6A221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938" w:hRule="atLeast"/>
                <w:jc w:val="center"/>
              </w:trPr>
              <w:tc>
                <w:tcPr>
                  <w:tcW w:w="386" w:type="pct"/>
                  <w:tcBorders>
                    <w:tl2br w:val="nil"/>
                    <w:tr2bl w:val="nil"/>
                  </w:tcBorders>
                  <w:shd w:val="clear" w:color="auto" w:fill="auto"/>
                  <w:tcMar>
                    <w:top w:w="120" w:type="dxa"/>
                    <w:left w:w="120" w:type="dxa"/>
                    <w:bottom w:w="120" w:type="dxa"/>
                    <w:right w:w="120" w:type="dxa"/>
                  </w:tcMar>
                  <w:vAlign w:val="center"/>
                </w:tcPr>
                <w:p w14:paraId="094362D6">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4</w:t>
                  </w:r>
                </w:p>
              </w:tc>
              <w:tc>
                <w:tcPr>
                  <w:tcW w:w="670" w:type="pct"/>
                  <w:tcBorders>
                    <w:tl2br w:val="nil"/>
                    <w:tr2bl w:val="nil"/>
                  </w:tcBorders>
                  <w:shd w:val="clear" w:color="auto" w:fill="auto"/>
                  <w:tcMar>
                    <w:top w:w="120" w:type="dxa"/>
                    <w:left w:w="120" w:type="dxa"/>
                    <w:bottom w:w="120" w:type="dxa"/>
                    <w:right w:w="120" w:type="dxa"/>
                  </w:tcMar>
                  <w:vAlign w:val="center"/>
                </w:tcPr>
                <w:p w14:paraId="550F01C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eastAsia" w:cs="Times New Roman"/>
                      <w:color w:val="auto"/>
                      <w:kern w:val="0"/>
                      <w:sz w:val="20"/>
                      <w:szCs w:val="21"/>
                      <w:highlight w:val="none"/>
                      <w:lang w:val="en-US" w:eastAsia="zh-CN"/>
                    </w:rPr>
                    <w:t>N-13</w:t>
                  </w:r>
                </w:p>
              </w:tc>
              <w:tc>
                <w:tcPr>
                  <w:tcW w:w="1371" w:type="pct"/>
                  <w:tcBorders>
                    <w:tl2br w:val="nil"/>
                    <w:tr2bl w:val="nil"/>
                  </w:tcBorders>
                  <w:shd w:val="clear" w:color="auto" w:fill="auto"/>
                  <w:tcMar>
                    <w:top w:w="120" w:type="dxa"/>
                    <w:left w:w="120" w:type="dxa"/>
                    <w:bottom w:w="120" w:type="dxa"/>
                    <w:right w:w="120" w:type="dxa"/>
                  </w:tcMar>
                  <w:vAlign w:val="center"/>
                </w:tcPr>
                <w:p w14:paraId="3EF2EE5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无</w:t>
                  </w:r>
                </w:p>
              </w:tc>
              <w:tc>
                <w:tcPr>
                  <w:tcW w:w="1381" w:type="pct"/>
                  <w:tcBorders>
                    <w:tl2br w:val="nil"/>
                    <w:tr2bl w:val="nil"/>
                  </w:tcBorders>
                  <w:shd w:val="clear" w:color="auto" w:fill="auto"/>
                  <w:tcMar>
                    <w:top w:w="120" w:type="dxa"/>
                    <w:left w:w="120" w:type="dxa"/>
                    <w:bottom w:w="120" w:type="dxa"/>
                    <w:right w:w="120" w:type="dxa"/>
                  </w:tcMar>
                  <w:vAlign w:val="center"/>
                </w:tcPr>
                <w:p w14:paraId="2E463F9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1.48E+10 Bq（400mCi）</w:t>
                  </w:r>
                </w:p>
                <w:p w14:paraId="3E268D5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活动种类：生产</w:t>
                  </w:r>
                </w:p>
              </w:tc>
              <w:tc>
                <w:tcPr>
                  <w:tcW w:w="1190" w:type="pct"/>
                  <w:tcBorders>
                    <w:tl2br w:val="nil"/>
                    <w:tr2bl w:val="nil"/>
                  </w:tcBorders>
                  <w:shd w:val="clear" w:color="auto" w:fill="auto"/>
                  <w:tcMar>
                    <w:top w:w="120" w:type="dxa"/>
                    <w:left w:w="120" w:type="dxa"/>
                    <w:bottom w:w="120" w:type="dxa"/>
                    <w:right w:w="120" w:type="dxa"/>
                  </w:tcMar>
                  <w:vAlign w:val="center"/>
                </w:tcPr>
                <w:p w14:paraId="1196069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新增，生产、使用单独核算场所等级；使用量为</w:t>
                  </w:r>
                  <w:r>
                    <w:rPr>
                      <w:rFonts w:hint="default" w:ascii="Times New Roman" w:hAnsi="Times New Roman" w:cs="Times New Roman"/>
                      <w:color w:val="auto"/>
                      <w:kern w:val="0"/>
                      <w:sz w:val="20"/>
                      <w:szCs w:val="21"/>
                      <w:highlight w:val="none"/>
                      <w:lang w:val="en-US" w:eastAsia="zh-CN"/>
                    </w:rPr>
                    <w:t>2</w:t>
                  </w:r>
                  <w:r>
                    <w:rPr>
                      <w:rFonts w:hint="default" w:ascii="Times New Roman" w:hAnsi="Times New Roman" w:eastAsia="宋体" w:cs="Times New Roman"/>
                      <w:color w:val="auto"/>
                      <w:kern w:val="0"/>
                      <w:sz w:val="20"/>
                      <w:szCs w:val="21"/>
                      <w:highlight w:val="none"/>
                      <w:lang w:val="en-US" w:eastAsia="zh-CN"/>
                    </w:rPr>
                    <w:t>00mCi考虑半衰期</w:t>
                  </w:r>
                </w:p>
              </w:tc>
            </w:tr>
            <w:tr w14:paraId="1B82E62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807" w:hRule="atLeast"/>
                <w:jc w:val="center"/>
              </w:trPr>
              <w:tc>
                <w:tcPr>
                  <w:tcW w:w="386" w:type="pct"/>
                  <w:tcBorders>
                    <w:tl2br w:val="nil"/>
                    <w:tr2bl w:val="nil"/>
                  </w:tcBorders>
                  <w:shd w:val="clear" w:color="auto" w:fill="auto"/>
                  <w:tcMar>
                    <w:top w:w="120" w:type="dxa"/>
                    <w:left w:w="120" w:type="dxa"/>
                    <w:bottom w:w="120" w:type="dxa"/>
                    <w:right w:w="120" w:type="dxa"/>
                  </w:tcMar>
                  <w:vAlign w:val="center"/>
                </w:tcPr>
                <w:p w14:paraId="37BFCA1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5</w:t>
                  </w:r>
                </w:p>
              </w:tc>
              <w:tc>
                <w:tcPr>
                  <w:tcW w:w="670" w:type="pct"/>
                  <w:tcBorders>
                    <w:tl2br w:val="nil"/>
                    <w:tr2bl w:val="nil"/>
                  </w:tcBorders>
                  <w:shd w:val="clear" w:color="auto" w:fill="auto"/>
                  <w:tcMar>
                    <w:top w:w="120" w:type="dxa"/>
                    <w:left w:w="120" w:type="dxa"/>
                    <w:bottom w:w="120" w:type="dxa"/>
                    <w:right w:w="120" w:type="dxa"/>
                  </w:tcMar>
                  <w:vAlign w:val="center"/>
                </w:tcPr>
                <w:p w14:paraId="5CE2114A">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Mo-99(Tc-99m)</w:t>
                  </w:r>
                </w:p>
              </w:tc>
              <w:tc>
                <w:tcPr>
                  <w:tcW w:w="1371" w:type="pct"/>
                  <w:tcBorders>
                    <w:tl2br w:val="nil"/>
                    <w:tr2bl w:val="nil"/>
                  </w:tcBorders>
                  <w:shd w:val="clear" w:color="auto" w:fill="auto"/>
                  <w:tcMar>
                    <w:top w:w="120" w:type="dxa"/>
                    <w:left w:w="120" w:type="dxa"/>
                    <w:bottom w:w="120" w:type="dxa"/>
                    <w:right w:w="120" w:type="dxa"/>
                  </w:tcMar>
                  <w:vAlign w:val="center"/>
                </w:tcPr>
                <w:p w14:paraId="45CB44C4">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3.70E+10 Bq（1000mCi）</w:t>
                  </w:r>
                </w:p>
                <w:p w14:paraId="53E9598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活动种类：生产、使用</w:t>
                  </w:r>
                </w:p>
              </w:tc>
              <w:tc>
                <w:tcPr>
                  <w:tcW w:w="1381" w:type="pct"/>
                  <w:tcBorders>
                    <w:tl2br w:val="nil"/>
                    <w:tr2bl w:val="nil"/>
                  </w:tcBorders>
                  <w:shd w:val="clear" w:color="auto" w:fill="auto"/>
                  <w:tcMar>
                    <w:top w:w="120" w:type="dxa"/>
                    <w:left w:w="120" w:type="dxa"/>
                    <w:bottom w:w="120" w:type="dxa"/>
                    <w:right w:w="120" w:type="dxa"/>
                  </w:tcMar>
                  <w:vAlign w:val="center"/>
                </w:tcPr>
                <w:p w14:paraId="7C9DB26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8.22E+10 Bq（2222.22mCi）</w:t>
                  </w:r>
                </w:p>
                <w:p w14:paraId="2937584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活动种类：生产</w:t>
                  </w:r>
                </w:p>
              </w:tc>
              <w:tc>
                <w:tcPr>
                  <w:tcW w:w="1190" w:type="pct"/>
                  <w:tcBorders>
                    <w:tl2br w:val="nil"/>
                    <w:tr2bl w:val="nil"/>
                  </w:tcBorders>
                  <w:shd w:val="clear" w:color="auto" w:fill="auto"/>
                  <w:tcMar>
                    <w:top w:w="120" w:type="dxa"/>
                    <w:left w:w="120" w:type="dxa"/>
                    <w:bottom w:w="120" w:type="dxa"/>
                    <w:right w:w="120" w:type="dxa"/>
                  </w:tcMar>
                  <w:vAlign w:val="center"/>
                </w:tcPr>
                <w:p w14:paraId="7FA3492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生产、使用单独核算场所等级</w:t>
                  </w:r>
                </w:p>
                <w:p w14:paraId="22F3B0D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淋洗效率按90%计</w:t>
                  </w:r>
                </w:p>
              </w:tc>
            </w:tr>
            <w:tr w14:paraId="399D778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788" w:hRule="atLeast"/>
                <w:jc w:val="center"/>
              </w:trPr>
              <w:tc>
                <w:tcPr>
                  <w:tcW w:w="386" w:type="pct"/>
                  <w:tcBorders>
                    <w:tl2br w:val="nil"/>
                    <w:tr2bl w:val="nil"/>
                  </w:tcBorders>
                  <w:shd w:val="clear" w:color="auto" w:fill="auto"/>
                  <w:tcMar>
                    <w:top w:w="120" w:type="dxa"/>
                    <w:left w:w="120" w:type="dxa"/>
                    <w:bottom w:w="120" w:type="dxa"/>
                    <w:right w:w="120" w:type="dxa"/>
                  </w:tcMar>
                  <w:vAlign w:val="center"/>
                </w:tcPr>
                <w:p w14:paraId="58F3B6A6">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6</w:t>
                  </w:r>
                </w:p>
              </w:tc>
              <w:tc>
                <w:tcPr>
                  <w:tcW w:w="670" w:type="pct"/>
                  <w:tcBorders>
                    <w:tl2br w:val="nil"/>
                    <w:tr2bl w:val="nil"/>
                  </w:tcBorders>
                  <w:shd w:val="clear" w:color="auto" w:fill="auto"/>
                  <w:tcMar>
                    <w:top w:w="120" w:type="dxa"/>
                    <w:left w:w="120" w:type="dxa"/>
                    <w:bottom w:w="120" w:type="dxa"/>
                    <w:right w:w="120" w:type="dxa"/>
                  </w:tcMar>
                  <w:vAlign w:val="center"/>
                </w:tcPr>
                <w:p w14:paraId="502A7CC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Tc-99m</w:t>
                  </w:r>
                </w:p>
              </w:tc>
              <w:tc>
                <w:tcPr>
                  <w:tcW w:w="1371" w:type="pct"/>
                  <w:tcBorders>
                    <w:tl2br w:val="nil"/>
                    <w:tr2bl w:val="nil"/>
                  </w:tcBorders>
                  <w:shd w:val="clear" w:color="auto" w:fill="auto"/>
                  <w:tcMar>
                    <w:top w:w="120" w:type="dxa"/>
                    <w:left w:w="120" w:type="dxa"/>
                    <w:bottom w:w="120" w:type="dxa"/>
                    <w:right w:w="120" w:type="dxa"/>
                  </w:tcMar>
                  <w:vAlign w:val="center"/>
                </w:tcPr>
                <w:p w14:paraId="5B83D036">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3.07E+10 Bq（829.73mCi）</w:t>
                  </w:r>
                </w:p>
                <w:p w14:paraId="4F8381D8">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活动种类：生产、使用</w:t>
                  </w:r>
                </w:p>
              </w:tc>
              <w:tc>
                <w:tcPr>
                  <w:tcW w:w="1381" w:type="pct"/>
                  <w:tcBorders>
                    <w:tl2br w:val="nil"/>
                    <w:tr2bl w:val="nil"/>
                  </w:tcBorders>
                  <w:shd w:val="clear" w:color="auto" w:fill="auto"/>
                  <w:tcMar>
                    <w:top w:w="120" w:type="dxa"/>
                    <w:left w:w="120" w:type="dxa"/>
                    <w:bottom w:w="120" w:type="dxa"/>
                    <w:right w:w="120" w:type="dxa"/>
                  </w:tcMar>
                  <w:vAlign w:val="center"/>
                </w:tcPr>
                <w:p w14:paraId="79FFD0E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7.40E+10 Bq（2000mCi）</w:t>
                  </w:r>
                </w:p>
                <w:p w14:paraId="26B025D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活动种类：生产</w:t>
                  </w:r>
                </w:p>
              </w:tc>
              <w:tc>
                <w:tcPr>
                  <w:tcW w:w="1190" w:type="pct"/>
                  <w:tcBorders>
                    <w:tl2br w:val="nil"/>
                    <w:tr2bl w:val="nil"/>
                  </w:tcBorders>
                  <w:shd w:val="clear" w:color="auto" w:fill="auto"/>
                  <w:tcMar>
                    <w:top w:w="120" w:type="dxa"/>
                    <w:left w:w="120" w:type="dxa"/>
                    <w:bottom w:w="120" w:type="dxa"/>
                    <w:right w:w="120" w:type="dxa"/>
                  </w:tcMar>
                  <w:vAlign w:val="center"/>
                </w:tcPr>
                <w:p w14:paraId="2AADD5C8">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生产、使用单独核算场所等级</w:t>
                  </w:r>
                </w:p>
              </w:tc>
            </w:tr>
            <w:tr w14:paraId="0557EFA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821" w:hRule="atLeast"/>
                <w:jc w:val="center"/>
              </w:trPr>
              <w:tc>
                <w:tcPr>
                  <w:tcW w:w="386" w:type="pct"/>
                  <w:vMerge w:val="restart"/>
                  <w:tcBorders>
                    <w:tl2br w:val="nil"/>
                    <w:tr2bl w:val="nil"/>
                  </w:tcBorders>
                  <w:shd w:val="clear" w:color="auto" w:fill="auto"/>
                  <w:tcMar>
                    <w:top w:w="120" w:type="dxa"/>
                    <w:left w:w="120" w:type="dxa"/>
                    <w:bottom w:w="120" w:type="dxa"/>
                    <w:right w:w="120" w:type="dxa"/>
                  </w:tcMar>
                  <w:vAlign w:val="center"/>
                </w:tcPr>
                <w:p w14:paraId="2F4EEF1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7</w:t>
                  </w:r>
                </w:p>
              </w:tc>
              <w:tc>
                <w:tcPr>
                  <w:tcW w:w="670" w:type="pct"/>
                  <w:tcBorders>
                    <w:tl2br w:val="nil"/>
                    <w:tr2bl w:val="nil"/>
                  </w:tcBorders>
                  <w:shd w:val="clear" w:color="auto" w:fill="auto"/>
                  <w:tcMar>
                    <w:top w:w="120" w:type="dxa"/>
                    <w:left w:w="120" w:type="dxa"/>
                    <w:bottom w:w="120" w:type="dxa"/>
                    <w:right w:w="120" w:type="dxa"/>
                  </w:tcMar>
                  <w:vAlign w:val="center"/>
                </w:tcPr>
                <w:p w14:paraId="3296A33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vertAlign w:val="baseline"/>
                      <w:lang w:val="en-US" w:eastAsia="zh-CN"/>
                    </w:rPr>
                    <w:t>I-131</w:t>
                  </w:r>
                  <w:r>
                    <w:rPr>
                      <w:rFonts w:hint="default" w:ascii="Times New Roman" w:hAnsi="Times New Roman" w:eastAsia="宋体" w:cs="Times New Roman"/>
                      <w:color w:val="auto"/>
                      <w:kern w:val="0"/>
                      <w:sz w:val="20"/>
                      <w:szCs w:val="21"/>
                      <w:highlight w:val="none"/>
                      <w:lang w:val="en-US" w:eastAsia="zh-CN"/>
                    </w:rPr>
                    <w:t>（治疗）</w:t>
                  </w:r>
                </w:p>
              </w:tc>
              <w:tc>
                <w:tcPr>
                  <w:tcW w:w="1371" w:type="pct"/>
                  <w:tcBorders>
                    <w:tl2br w:val="nil"/>
                    <w:tr2bl w:val="nil"/>
                  </w:tcBorders>
                  <w:shd w:val="clear" w:color="auto" w:fill="auto"/>
                  <w:tcMar>
                    <w:top w:w="120" w:type="dxa"/>
                    <w:left w:w="120" w:type="dxa"/>
                    <w:bottom w:w="120" w:type="dxa"/>
                    <w:right w:w="120" w:type="dxa"/>
                  </w:tcMar>
                  <w:vAlign w:val="center"/>
                </w:tcPr>
                <w:p w14:paraId="469EF85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2.96E+10 Bq（800mCi）</w:t>
                  </w:r>
                </w:p>
                <w:p w14:paraId="557891A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活动种类：使用</w:t>
                  </w:r>
                </w:p>
              </w:tc>
              <w:tc>
                <w:tcPr>
                  <w:tcW w:w="1381" w:type="pct"/>
                  <w:tcBorders>
                    <w:tl2br w:val="nil"/>
                    <w:tr2bl w:val="nil"/>
                  </w:tcBorders>
                  <w:shd w:val="clear" w:color="auto" w:fill="auto"/>
                  <w:tcMar>
                    <w:top w:w="120" w:type="dxa"/>
                    <w:left w:w="120" w:type="dxa"/>
                    <w:bottom w:w="120" w:type="dxa"/>
                    <w:right w:w="120" w:type="dxa"/>
                  </w:tcMar>
                  <w:vAlign w:val="center"/>
                </w:tcPr>
                <w:p w14:paraId="77C34B2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9.44E+10 Bq（2550mCi）</w:t>
                  </w:r>
                </w:p>
                <w:p w14:paraId="3346536E">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活动种类：使用</w:t>
                  </w:r>
                </w:p>
              </w:tc>
              <w:tc>
                <w:tcPr>
                  <w:tcW w:w="1190" w:type="pct"/>
                  <w:tcBorders>
                    <w:tl2br w:val="nil"/>
                    <w:tr2bl w:val="nil"/>
                  </w:tcBorders>
                  <w:shd w:val="clear" w:color="auto" w:fill="auto"/>
                  <w:tcMar>
                    <w:top w:w="120" w:type="dxa"/>
                    <w:left w:w="120" w:type="dxa"/>
                    <w:bottom w:w="120" w:type="dxa"/>
                    <w:right w:w="120" w:type="dxa"/>
                  </w:tcMar>
                  <w:vAlign w:val="center"/>
                </w:tcPr>
                <w:p w14:paraId="1CD20F6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由液态改为胶囊固态；操作修正因子由 1 调整为 10</w:t>
                  </w:r>
                </w:p>
              </w:tc>
            </w:tr>
            <w:tr w14:paraId="5BC3BB9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949" w:hRule="atLeast"/>
                <w:jc w:val="center"/>
              </w:trPr>
              <w:tc>
                <w:tcPr>
                  <w:tcW w:w="386" w:type="pct"/>
                  <w:vMerge w:val="continue"/>
                  <w:tcBorders>
                    <w:tl2br w:val="nil"/>
                    <w:tr2bl w:val="nil"/>
                  </w:tcBorders>
                  <w:shd w:val="clear" w:color="auto" w:fill="auto"/>
                  <w:tcMar>
                    <w:top w:w="120" w:type="dxa"/>
                    <w:left w:w="120" w:type="dxa"/>
                    <w:bottom w:w="120" w:type="dxa"/>
                    <w:right w:w="120" w:type="dxa"/>
                  </w:tcMar>
                  <w:vAlign w:val="center"/>
                </w:tcPr>
                <w:p w14:paraId="0D589E14">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p>
              </w:tc>
              <w:tc>
                <w:tcPr>
                  <w:tcW w:w="670" w:type="pct"/>
                  <w:tcBorders>
                    <w:tl2br w:val="nil"/>
                    <w:tr2bl w:val="nil"/>
                  </w:tcBorders>
                  <w:shd w:val="clear" w:color="auto" w:fill="auto"/>
                  <w:tcMar>
                    <w:top w:w="120" w:type="dxa"/>
                    <w:left w:w="120" w:type="dxa"/>
                    <w:bottom w:w="120" w:type="dxa"/>
                    <w:right w:w="120" w:type="dxa"/>
                  </w:tcMar>
                  <w:vAlign w:val="center"/>
                </w:tcPr>
                <w:p w14:paraId="3EEF6E9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vertAlign w:val="baseline"/>
                      <w:lang w:val="en-US" w:eastAsia="zh-CN"/>
                    </w:rPr>
                    <w:t>I-131</w:t>
                  </w:r>
                  <w:r>
                    <w:rPr>
                      <w:rFonts w:hint="default" w:ascii="Times New Roman" w:hAnsi="Times New Roman" w:eastAsia="宋体" w:cs="Times New Roman"/>
                      <w:color w:val="auto"/>
                      <w:kern w:val="0"/>
                      <w:sz w:val="20"/>
                      <w:szCs w:val="21"/>
                      <w:highlight w:val="none"/>
                      <w:lang w:val="en-US" w:eastAsia="zh-CN"/>
                    </w:rPr>
                    <w:t>（诊断）</w:t>
                  </w:r>
                </w:p>
              </w:tc>
              <w:tc>
                <w:tcPr>
                  <w:tcW w:w="1371" w:type="pct"/>
                  <w:tcBorders>
                    <w:tl2br w:val="nil"/>
                    <w:tr2bl w:val="nil"/>
                  </w:tcBorders>
                  <w:shd w:val="clear" w:color="auto" w:fill="auto"/>
                  <w:tcMar>
                    <w:top w:w="120" w:type="dxa"/>
                    <w:left w:w="120" w:type="dxa"/>
                    <w:bottom w:w="120" w:type="dxa"/>
                    <w:right w:w="120" w:type="dxa"/>
                  </w:tcMar>
                  <w:vAlign w:val="center"/>
                </w:tcPr>
                <w:p w14:paraId="23F50FAB">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1.48E+9 Bq（40mCi）</w:t>
                  </w:r>
                </w:p>
                <w:p w14:paraId="558D0FB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活动种类：使用</w:t>
                  </w:r>
                </w:p>
              </w:tc>
              <w:tc>
                <w:tcPr>
                  <w:tcW w:w="1381" w:type="pct"/>
                  <w:tcBorders>
                    <w:tl2br w:val="nil"/>
                    <w:tr2bl w:val="nil"/>
                  </w:tcBorders>
                  <w:shd w:val="clear" w:color="auto" w:fill="auto"/>
                  <w:tcMar>
                    <w:top w:w="120" w:type="dxa"/>
                    <w:left w:w="120" w:type="dxa"/>
                    <w:bottom w:w="120" w:type="dxa"/>
                    <w:right w:w="120" w:type="dxa"/>
                  </w:tcMar>
                  <w:vAlign w:val="center"/>
                </w:tcPr>
                <w:p w14:paraId="3616FF68">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1.11E+10 Bq（300mCi）</w:t>
                  </w:r>
                </w:p>
                <w:p w14:paraId="2B246FF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活动种类：使用</w:t>
                  </w:r>
                </w:p>
              </w:tc>
              <w:tc>
                <w:tcPr>
                  <w:tcW w:w="1190" w:type="pct"/>
                  <w:tcBorders>
                    <w:tl2br w:val="nil"/>
                    <w:tr2bl w:val="nil"/>
                  </w:tcBorders>
                  <w:shd w:val="clear" w:color="auto" w:fill="auto"/>
                  <w:tcMar>
                    <w:top w:w="120" w:type="dxa"/>
                    <w:left w:w="120" w:type="dxa"/>
                    <w:bottom w:w="120" w:type="dxa"/>
                    <w:right w:w="120" w:type="dxa"/>
                  </w:tcMar>
                  <w:vAlign w:val="center"/>
                </w:tcPr>
                <w:p w14:paraId="76783BE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增加操作量</w:t>
                  </w:r>
                </w:p>
              </w:tc>
            </w:tr>
            <w:tr w14:paraId="000E63B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649" w:hRule="atLeast"/>
                <w:jc w:val="center"/>
              </w:trPr>
              <w:tc>
                <w:tcPr>
                  <w:tcW w:w="386" w:type="pct"/>
                  <w:tcBorders>
                    <w:tl2br w:val="nil"/>
                    <w:tr2bl w:val="nil"/>
                  </w:tcBorders>
                  <w:shd w:val="clear" w:color="auto" w:fill="auto"/>
                  <w:tcMar>
                    <w:top w:w="120" w:type="dxa"/>
                    <w:left w:w="120" w:type="dxa"/>
                    <w:bottom w:w="120" w:type="dxa"/>
                    <w:right w:w="120" w:type="dxa"/>
                  </w:tcMar>
                  <w:vAlign w:val="center"/>
                </w:tcPr>
                <w:p w14:paraId="2EBCCB7B">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8</w:t>
                  </w:r>
                </w:p>
              </w:tc>
              <w:tc>
                <w:tcPr>
                  <w:tcW w:w="670" w:type="pct"/>
                  <w:tcBorders>
                    <w:tl2br w:val="nil"/>
                    <w:tr2bl w:val="nil"/>
                  </w:tcBorders>
                  <w:shd w:val="clear" w:color="auto" w:fill="auto"/>
                  <w:tcMar>
                    <w:top w:w="120" w:type="dxa"/>
                    <w:left w:w="120" w:type="dxa"/>
                    <w:bottom w:w="120" w:type="dxa"/>
                    <w:right w:w="120" w:type="dxa"/>
                  </w:tcMar>
                  <w:vAlign w:val="center"/>
                </w:tcPr>
                <w:p w14:paraId="4B4214F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vertAlign w:val="baseline"/>
                      <w:lang w:val="en-US" w:eastAsia="zh-CN"/>
                    </w:rPr>
                    <w:t>Lu-177</w:t>
                  </w:r>
                </w:p>
              </w:tc>
              <w:tc>
                <w:tcPr>
                  <w:tcW w:w="1371" w:type="pct"/>
                  <w:tcBorders>
                    <w:tl2br w:val="nil"/>
                    <w:tr2bl w:val="nil"/>
                  </w:tcBorders>
                  <w:shd w:val="clear" w:color="auto" w:fill="auto"/>
                  <w:tcMar>
                    <w:top w:w="120" w:type="dxa"/>
                    <w:left w:w="120" w:type="dxa"/>
                    <w:bottom w:w="120" w:type="dxa"/>
                    <w:right w:w="120" w:type="dxa"/>
                  </w:tcMar>
                  <w:vAlign w:val="center"/>
                </w:tcPr>
                <w:p w14:paraId="5301C43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3.7E+9 Bq（100mCi）</w:t>
                  </w:r>
                </w:p>
                <w:p w14:paraId="4CB0262E">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活动种类：使用</w:t>
                  </w:r>
                </w:p>
              </w:tc>
              <w:tc>
                <w:tcPr>
                  <w:tcW w:w="1381" w:type="pct"/>
                  <w:tcBorders>
                    <w:tl2br w:val="nil"/>
                    <w:tr2bl w:val="nil"/>
                  </w:tcBorders>
                  <w:shd w:val="clear" w:color="auto" w:fill="auto"/>
                  <w:tcMar>
                    <w:top w:w="120" w:type="dxa"/>
                    <w:left w:w="120" w:type="dxa"/>
                    <w:bottom w:w="120" w:type="dxa"/>
                    <w:right w:w="120" w:type="dxa"/>
                  </w:tcMar>
                  <w:vAlign w:val="center"/>
                </w:tcPr>
                <w:p w14:paraId="5A0E387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1.11E+10 Bq（300mCi）</w:t>
                  </w:r>
                </w:p>
                <w:p w14:paraId="4F705969">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活动种类：使用</w:t>
                  </w:r>
                </w:p>
              </w:tc>
              <w:tc>
                <w:tcPr>
                  <w:tcW w:w="1190" w:type="pct"/>
                  <w:tcBorders>
                    <w:tl2br w:val="nil"/>
                    <w:tr2bl w:val="nil"/>
                  </w:tcBorders>
                  <w:shd w:val="clear" w:color="auto" w:fill="auto"/>
                  <w:tcMar>
                    <w:top w:w="120" w:type="dxa"/>
                    <w:left w:w="120" w:type="dxa"/>
                    <w:bottom w:w="120" w:type="dxa"/>
                    <w:right w:w="120" w:type="dxa"/>
                  </w:tcMar>
                  <w:vAlign w:val="center"/>
                </w:tcPr>
                <w:p w14:paraId="2C85372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增加操作量</w:t>
                  </w:r>
                </w:p>
              </w:tc>
            </w:tr>
            <w:tr w14:paraId="20C378F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727" w:hRule="atLeast"/>
                <w:jc w:val="center"/>
              </w:trPr>
              <w:tc>
                <w:tcPr>
                  <w:tcW w:w="386" w:type="pct"/>
                  <w:tcBorders>
                    <w:tl2br w:val="nil"/>
                    <w:tr2bl w:val="nil"/>
                  </w:tcBorders>
                  <w:shd w:val="clear" w:color="auto" w:fill="auto"/>
                  <w:tcMar>
                    <w:top w:w="120" w:type="dxa"/>
                    <w:left w:w="120" w:type="dxa"/>
                    <w:bottom w:w="120" w:type="dxa"/>
                    <w:right w:w="120" w:type="dxa"/>
                  </w:tcMar>
                  <w:vAlign w:val="center"/>
                </w:tcPr>
                <w:p w14:paraId="288746AE">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9</w:t>
                  </w:r>
                </w:p>
              </w:tc>
              <w:tc>
                <w:tcPr>
                  <w:tcW w:w="670" w:type="pct"/>
                  <w:tcBorders>
                    <w:tl2br w:val="nil"/>
                    <w:tr2bl w:val="nil"/>
                  </w:tcBorders>
                  <w:shd w:val="clear" w:color="auto" w:fill="auto"/>
                  <w:tcMar>
                    <w:top w:w="120" w:type="dxa"/>
                    <w:left w:w="120" w:type="dxa"/>
                    <w:bottom w:w="120" w:type="dxa"/>
                    <w:right w:w="120" w:type="dxa"/>
                  </w:tcMar>
                  <w:vAlign w:val="center"/>
                </w:tcPr>
                <w:p w14:paraId="782812E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vertAlign w:val="baseline"/>
                      <w:lang w:val="en-US" w:eastAsia="zh-CN"/>
                    </w:rPr>
                    <w:t>Ra-223</w:t>
                  </w:r>
                </w:p>
              </w:tc>
              <w:tc>
                <w:tcPr>
                  <w:tcW w:w="1371" w:type="pct"/>
                  <w:tcBorders>
                    <w:tl2br w:val="nil"/>
                    <w:tr2bl w:val="nil"/>
                  </w:tcBorders>
                  <w:shd w:val="clear" w:color="auto" w:fill="auto"/>
                  <w:tcMar>
                    <w:top w:w="120" w:type="dxa"/>
                    <w:left w:w="120" w:type="dxa"/>
                    <w:bottom w:w="120" w:type="dxa"/>
                    <w:right w:w="120" w:type="dxa"/>
                  </w:tcMar>
                  <w:vAlign w:val="center"/>
                </w:tcPr>
                <w:p w14:paraId="5631A05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3.3E+6 Bq（0.09mCi）</w:t>
                  </w:r>
                </w:p>
                <w:p w14:paraId="51A390AA">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活动种类：使用</w:t>
                  </w:r>
                </w:p>
              </w:tc>
              <w:tc>
                <w:tcPr>
                  <w:tcW w:w="1381" w:type="pct"/>
                  <w:tcBorders>
                    <w:tl2br w:val="nil"/>
                    <w:tr2bl w:val="nil"/>
                  </w:tcBorders>
                  <w:shd w:val="clear" w:color="auto" w:fill="auto"/>
                  <w:tcMar>
                    <w:top w:w="120" w:type="dxa"/>
                    <w:left w:w="120" w:type="dxa"/>
                    <w:bottom w:w="120" w:type="dxa"/>
                    <w:right w:w="120" w:type="dxa"/>
                  </w:tcMar>
                  <w:vAlign w:val="center"/>
                </w:tcPr>
                <w:p w14:paraId="586AF7A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5.50E+06 Bq（0.15mCi）</w:t>
                  </w:r>
                </w:p>
                <w:p w14:paraId="5658C67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活动种类：使用</w:t>
                  </w:r>
                </w:p>
              </w:tc>
              <w:tc>
                <w:tcPr>
                  <w:tcW w:w="1190" w:type="pct"/>
                  <w:tcBorders>
                    <w:tl2br w:val="nil"/>
                    <w:tr2bl w:val="nil"/>
                  </w:tcBorders>
                  <w:shd w:val="clear" w:color="auto" w:fill="auto"/>
                  <w:tcMar>
                    <w:top w:w="120" w:type="dxa"/>
                    <w:left w:w="120" w:type="dxa"/>
                    <w:bottom w:w="120" w:type="dxa"/>
                    <w:right w:w="120" w:type="dxa"/>
                  </w:tcMar>
                  <w:vAlign w:val="center"/>
                </w:tcPr>
                <w:p w14:paraId="373AE79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增加操作量</w:t>
                  </w:r>
                </w:p>
              </w:tc>
            </w:tr>
            <w:tr w14:paraId="63D3197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727" w:hRule="atLeast"/>
                <w:jc w:val="center"/>
              </w:trPr>
              <w:tc>
                <w:tcPr>
                  <w:tcW w:w="386" w:type="pct"/>
                  <w:tcBorders>
                    <w:tl2br w:val="nil"/>
                    <w:tr2bl w:val="nil"/>
                  </w:tcBorders>
                  <w:shd w:val="clear" w:color="auto" w:fill="auto"/>
                  <w:tcMar>
                    <w:top w:w="120" w:type="dxa"/>
                    <w:left w:w="120" w:type="dxa"/>
                    <w:bottom w:w="120" w:type="dxa"/>
                    <w:right w:w="120" w:type="dxa"/>
                  </w:tcMar>
                  <w:vAlign w:val="center"/>
                </w:tcPr>
                <w:p w14:paraId="3B3F93B8">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10</w:t>
                  </w:r>
                </w:p>
              </w:tc>
              <w:tc>
                <w:tcPr>
                  <w:tcW w:w="670" w:type="pct"/>
                  <w:tcBorders>
                    <w:tl2br w:val="nil"/>
                    <w:tr2bl w:val="nil"/>
                  </w:tcBorders>
                  <w:shd w:val="clear" w:color="auto" w:fill="auto"/>
                  <w:tcMar>
                    <w:top w:w="120" w:type="dxa"/>
                    <w:left w:w="120" w:type="dxa"/>
                    <w:bottom w:w="120" w:type="dxa"/>
                    <w:right w:w="120" w:type="dxa"/>
                  </w:tcMar>
                  <w:vAlign w:val="center"/>
                </w:tcPr>
                <w:p w14:paraId="730C4B6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vertAlign w:val="baseline"/>
                      <w:lang w:val="en-US" w:eastAsia="zh-CN"/>
                    </w:rPr>
                    <w:t>Ac-225</w:t>
                  </w:r>
                </w:p>
              </w:tc>
              <w:tc>
                <w:tcPr>
                  <w:tcW w:w="1371" w:type="pct"/>
                  <w:tcBorders>
                    <w:tl2br w:val="nil"/>
                    <w:tr2bl w:val="nil"/>
                  </w:tcBorders>
                  <w:shd w:val="clear" w:color="auto" w:fill="auto"/>
                  <w:tcMar>
                    <w:top w:w="120" w:type="dxa"/>
                    <w:left w:w="120" w:type="dxa"/>
                    <w:bottom w:w="120" w:type="dxa"/>
                    <w:right w:w="120" w:type="dxa"/>
                  </w:tcMar>
                  <w:vAlign w:val="center"/>
                </w:tcPr>
                <w:p w14:paraId="1C7E561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无</w:t>
                  </w:r>
                </w:p>
              </w:tc>
              <w:tc>
                <w:tcPr>
                  <w:tcW w:w="1381" w:type="pct"/>
                  <w:tcBorders>
                    <w:tl2br w:val="nil"/>
                    <w:tr2bl w:val="nil"/>
                  </w:tcBorders>
                  <w:shd w:val="clear" w:color="auto" w:fill="auto"/>
                  <w:tcMar>
                    <w:top w:w="120" w:type="dxa"/>
                    <w:left w:w="120" w:type="dxa"/>
                    <w:bottom w:w="120" w:type="dxa"/>
                    <w:right w:w="120" w:type="dxa"/>
                  </w:tcMar>
                  <w:vAlign w:val="center"/>
                </w:tcPr>
                <w:p w14:paraId="1BA2B7D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1.00E+07 Bq（0.27mCi）</w:t>
                  </w:r>
                </w:p>
                <w:p w14:paraId="0F605579">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活动种类：使用</w:t>
                  </w:r>
                </w:p>
              </w:tc>
              <w:tc>
                <w:tcPr>
                  <w:tcW w:w="1190" w:type="pct"/>
                  <w:tcBorders>
                    <w:tl2br w:val="nil"/>
                    <w:tr2bl w:val="nil"/>
                  </w:tcBorders>
                  <w:shd w:val="clear" w:color="auto" w:fill="auto"/>
                  <w:tcMar>
                    <w:top w:w="120" w:type="dxa"/>
                    <w:left w:w="120" w:type="dxa"/>
                    <w:bottom w:w="120" w:type="dxa"/>
                    <w:right w:w="120" w:type="dxa"/>
                  </w:tcMar>
                  <w:vAlign w:val="center"/>
                </w:tcPr>
                <w:p w14:paraId="14B4E85B">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新增核素</w:t>
                  </w:r>
                </w:p>
              </w:tc>
            </w:tr>
            <w:tr w14:paraId="2D39D17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1105" w:hRule="atLeast"/>
                <w:jc w:val="center"/>
              </w:trPr>
              <w:tc>
                <w:tcPr>
                  <w:tcW w:w="386" w:type="pct"/>
                  <w:vMerge w:val="restart"/>
                  <w:tcBorders>
                    <w:tl2br w:val="nil"/>
                    <w:tr2bl w:val="nil"/>
                  </w:tcBorders>
                  <w:shd w:val="clear" w:color="auto" w:fill="auto"/>
                  <w:tcMar>
                    <w:top w:w="120" w:type="dxa"/>
                    <w:left w:w="120" w:type="dxa"/>
                    <w:bottom w:w="120" w:type="dxa"/>
                    <w:right w:w="120" w:type="dxa"/>
                  </w:tcMar>
                  <w:vAlign w:val="center"/>
                </w:tcPr>
                <w:p w14:paraId="490A363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11</w:t>
                  </w:r>
                </w:p>
              </w:tc>
              <w:tc>
                <w:tcPr>
                  <w:tcW w:w="670" w:type="pct"/>
                  <w:vMerge w:val="restart"/>
                  <w:tcBorders>
                    <w:tl2br w:val="nil"/>
                    <w:tr2bl w:val="nil"/>
                  </w:tcBorders>
                  <w:shd w:val="clear" w:color="auto" w:fill="auto"/>
                  <w:tcMar>
                    <w:top w:w="120" w:type="dxa"/>
                    <w:left w:w="120" w:type="dxa"/>
                    <w:bottom w:w="120" w:type="dxa"/>
                    <w:right w:w="120" w:type="dxa"/>
                  </w:tcMar>
                  <w:vAlign w:val="center"/>
                </w:tcPr>
                <w:p w14:paraId="1ED52966">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Y-90</w:t>
                  </w:r>
                </w:p>
              </w:tc>
              <w:tc>
                <w:tcPr>
                  <w:tcW w:w="1371" w:type="pct"/>
                  <w:vMerge w:val="restart"/>
                  <w:tcBorders>
                    <w:tl2br w:val="nil"/>
                    <w:tr2bl w:val="nil"/>
                  </w:tcBorders>
                  <w:shd w:val="clear" w:color="auto" w:fill="auto"/>
                  <w:tcMar>
                    <w:top w:w="120" w:type="dxa"/>
                    <w:left w:w="120" w:type="dxa"/>
                    <w:bottom w:w="120" w:type="dxa"/>
                    <w:right w:w="120" w:type="dxa"/>
                  </w:tcMar>
                  <w:vAlign w:val="center"/>
                </w:tcPr>
                <w:p w14:paraId="00368FD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无</w:t>
                  </w:r>
                </w:p>
              </w:tc>
              <w:tc>
                <w:tcPr>
                  <w:tcW w:w="1381" w:type="pct"/>
                  <w:tcBorders>
                    <w:bottom w:val="single" w:color="auto" w:sz="4" w:space="0"/>
                    <w:tl2br w:val="nil"/>
                    <w:tr2bl w:val="nil"/>
                  </w:tcBorders>
                  <w:shd w:val="clear" w:color="auto" w:fill="auto"/>
                  <w:tcMar>
                    <w:top w:w="120" w:type="dxa"/>
                    <w:left w:w="120" w:type="dxa"/>
                    <w:bottom w:w="120" w:type="dxa"/>
                    <w:right w:w="120" w:type="dxa"/>
                  </w:tcMar>
                  <w:vAlign w:val="center"/>
                </w:tcPr>
                <w:p w14:paraId="2D3BA2F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eastAsia" w:cs="Times New Roman"/>
                      <w:color w:val="auto"/>
                      <w:kern w:val="0"/>
                      <w:sz w:val="20"/>
                      <w:szCs w:val="21"/>
                      <w:highlight w:val="none"/>
                      <w:lang w:val="en-US" w:eastAsia="zh-CN"/>
                    </w:rPr>
                    <w:t>3.0</w:t>
                  </w:r>
                  <w:r>
                    <w:rPr>
                      <w:rFonts w:hint="default" w:ascii="Times New Roman" w:hAnsi="Times New Roman" w:eastAsia="宋体" w:cs="Times New Roman"/>
                      <w:color w:val="auto"/>
                      <w:kern w:val="0"/>
                      <w:sz w:val="20"/>
                      <w:szCs w:val="21"/>
                      <w:highlight w:val="none"/>
                      <w:lang w:val="en-US" w:eastAsia="zh-CN"/>
                    </w:rPr>
                    <w:t>0E+09 Bq</w:t>
                  </w:r>
                </w:p>
                <w:p w14:paraId="1989710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eastAsia" w:cs="Times New Roman"/>
                      <w:color w:val="auto"/>
                      <w:kern w:val="0"/>
                      <w:sz w:val="20"/>
                      <w:szCs w:val="21"/>
                      <w:highlight w:val="none"/>
                      <w:lang w:val="en-US" w:eastAsia="zh-CN"/>
                    </w:rPr>
                  </w:pPr>
                  <w:r>
                    <w:rPr>
                      <w:rFonts w:hint="eastAsia" w:cs="Times New Roman"/>
                      <w:color w:val="auto"/>
                      <w:kern w:val="0"/>
                      <w:sz w:val="20"/>
                      <w:szCs w:val="21"/>
                      <w:highlight w:val="none"/>
                      <w:lang w:val="en-US" w:eastAsia="zh-CN"/>
                    </w:rPr>
                    <w:t>（81</w:t>
                  </w:r>
                  <w:r>
                    <w:rPr>
                      <w:rFonts w:hint="default" w:ascii="Times New Roman" w:hAnsi="Times New Roman" w:eastAsia="宋体" w:cs="Times New Roman"/>
                      <w:color w:val="auto"/>
                      <w:kern w:val="0"/>
                      <w:sz w:val="20"/>
                      <w:szCs w:val="21"/>
                      <w:highlight w:val="none"/>
                      <w:lang w:val="en-US" w:eastAsia="zh-CN"/>
                    </w:rPr>
                    <w:t>mCi</w:t>
                  </w:r>
                  <w:r>
                    <w:rPr>
                      <w:rFonts w:hint="eastAsia" w:cs="Times New Roman"/>
                      <w:color w:val="auto"/>
                      <w:kern w:val="0"/>
                      <w:sz w:val="20"/>
                      <w:szCs w:val="21"/>
                      <w:highlight w:val="none"/>
                      <w:lang w:val="en-US" w:eastAsia="zh-CN"/>
                    </w:rPr>
                    <w:t>）</w:t>
                  </w:r>
                </w:p>
                <w:p w14:paraId="38E4A634">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cs="Times New Roman"/>
                      <w:color w:val="auto"/>
                      <w:kern w:val="0"/>
                      <w:sz w:val="20"/>
                      <w:szCs w:val="21"/>
                      <w:highlight w:val="none"/>
                      <w:lang w:val="en-US" w:eastAsia="zh-CN"/>
                    </w:rPr>
                  </w:pPr>
                  <w:r>
                    <w:rPr>
                      <w:rFonts w:hint="default" w:cs="Times New Roman"/>
                      <w:color w:val="auto"/>
                      <w:kern w:val="0"/>
                      <w:sz w:val="20"/>
                      <w:szCs w:val="21"/>
                      <w:highlight w:val="none"/>
                      <w:lang w:val="en-US" w:eastAsia="zh-CN"/>
                    </w:rPr>
                    <w:t>活动种类：使用</w:t>
                  </w:r>
                </w:p>
                <w:p w14:paraId="6E01B32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cs="Times New Roman"/>
                      <w:color w:val="auto"/>
                      <w:kern w:val="0"/>
                      <w:sz w:val="20"/>
                      <w:szCs w:val="21"/>
                      <w:highlight w:val="none"/>
                      <w:lang w:val="en-US" w:eastAsia="zh-CN"/>
                    </w:rPr>
                  </w:pPr>
                  <w:r>
                    <w:rPr>
                      <w:rFonts w:hint="default" w:cs="Times New Roman"/>
                      <w:color w:val="auto"/>
                      <w:kern w:val="0"/>
                      <w:sz w:val="20"/>
                      <w:szCs w:val="21"/>
                      <w:highlight w:val="none"/>
                      <w:lang w:val="en-US" w:eastAsia="zh-CN"/>
                    </w:rPr>
                    <w:t>（</w:t>
                  </w:r>
                  <w:r>
                    <w:rPr>
                      <w:rFonts w:hint="eastAsia" w:cs="Times New Roman"/>
                      <w:color w:val="auto"/>
                      <w:kern w:val="0"/>
                      <w:sz w:val="20"/>
                      <w:szCs w:val="21"/>
                      <w:highlight w:val="none"/>
                      <w:lang w:val="en-US" w:eastAsia="zh-CN"/>
                    </w:rPr>
                    <w:t>核医学楼负一层单光子药物生产车间</w:t>
                  </w:r>
                  <w:r>
                    <w:rPr>
                      <w:rFonts w:hint="default" w:cs="Times New Roman"/>
                      <w:color w:val="auto"/>
                      <w:kern w:val="0"/>
                      <w:sz w:val="20"/>
                      <w:szCs w:val="21"/>
                      <w:highlight w:val="none"/>
                      <w:lang w:val="en-US" w:eastAsia="zh-CN"/>
                    </w:rPr>
                    <w:t>）</w:t>
                  </w:r>
                </w:p>
              </w:tc>
              <w:tc>
                <w:tcPr>
                  <w:tcW w:w="1190" w:type="pct"/>
                  <w:vMerge w:val="restart"/>
                  <w:tcBorders>
                    <w:tl2br w:val="nil"/>
                    <w:tr2bl w:val="nil"/>
                  </w:tcBorders>
                  <w:shd w:val="clear" w:color="auto" w:fill="auto"/>
                  <w:tcMar>
                    <w:top w:w="120" w:type="dxa"/>
                    <w:left w:w="120" w:type="dxa"/>
                    <w:bottom w:w="120" w:type="dxa"/>
                    <w:right w:w="120" w:type="dxa"/>
                  </w:tcMar>
                  <w:vAlign w:val="center"/>
                </w:tcPr>
                <w:p w14:paraId="2D28E60E">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新增核素</w:t>
                  </w:r>
                </w:p>
              </w:tc>
            </w:tr>
            <w:tr w14:paraId="18B684F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938" w:hRule="atLeast"/>
                <w:jc w:val="center"/>
              </w:trPr>
              <w:tc>
                <w:tcPr>
                  <w:tcW w:w="386" w:type="pct"/>
                  <w:vMerge w:val="continue"/>
                  <w:tcBorders>
                    <w:tl2br w:val="nil"/>
                    <w:tr2bl w:val="nil"/>
                  </w:tcBorders>
                  <w:shd w:val="clear" w:color="auto" w:fill="auto"/>
                  <w:tcMar>
                    <w:top w:w="120" w:type="dxa"/>
                    <w:left w:w="120" w:type="dxa"/>
                    <w:bottom w:w="120" w:type="dxa"/>
                    <w:right w:w="120" w:type="dxa"/>
                  </w:tcMar>
                  <w:vAlign w:val="center"/>
                </w:tcPr>
                <w:p w14:paraId="73D0EEA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p>
              </w:tc>
              <w:tc>
                <w:tcPr>
                  <w:tcW w:w="670" w:type="pct"/>
                  <w:vMerge w:val="continue"/>
                  <w:tcBorders>
                    <w:tl2br w:val="nil"/>
                    <w:tr2bl w:val="nil"/>
                  </w:tcBorders>
                  <w:shd w:val="clear" w:color="auto" w:fill="auto"/>
                  <w:tcMar>
                    <w:top w:w="120" w:type="dxa"/>
                    <w:left w:w="120" w:type="dxa"/>
                    <w:bottom w:w="120" w:type="dxa"/>
                    <w:right w:w="120" w:type="dxa"/>
                  </w:tcMar>
                  <w:vAlign w:val="center"/>
                </w:tcPr>
                <w:p w14:paraId="43AFA729">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p>
              </w:tc>
              <w:tc>
                <w:tcPr>
                  <w:tcW w:w="1371" w:type="pct"/>
                  <w:vMerge w:val="continue"/>
                  <w:tcBorders>
                    <w:tl2br w:val="nil"/>
                    <w:tr2bl w:val="nil"/>
                  </w:tcBorders>
                  <w:shd w:val="clear" w:color="auto" w:fill="auto"/>
                  <w:tcMar>
                    <w:top w:w="120" w:type="dxa"/>
                    <w:left w:w="120" w:type="dxa"/>
                    <w:bottom w:w="120" w:type="dxa"/>
                    <w:right w:w="120" w:type="dxa"/>
                  </w:tcMar>
                  <w:vAlign w:val="center"/>
                </w:tcPr>
                <w:p w14:paraId="18F1A5AA">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p>
              </w:tc>
              <w:tc>
                <w:tcPr>
                  <w:tcW w:w="1381" w:type="pct"/>
                  <w:tcBorders>
                    <w:top w:val="single" w:color="auto" w:sz="4" w:space="0"/>
                    <w:tl2br w:val="nil"/>
                    <w:tr2bl w:val="nil"/>
                  </w:tcBorders>
                  <w:shd w:val="clear" w:color="auto" w:fill="auto"/>
                  <w:tcMar>
                    <w:top w:w="120" w:type="dxa"/>
                    <w:left w:w="120" w:type="dxa"/>
                    <w:bottom w:w="120" w:type="dxa"/>
                    <w:right w:w="120" w:type="dxa"/>
                  </w:tcMar>
                  <w:vAlign w:val="center"/>
                </w:tcPr>
                <w:p w14:paraId="0FA2FAD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2.50E+09 Bq（67.57mCi）</w:t>
                  </w:r>
                </w:p>
                <w:p w14:paraId="3514DDAA">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活动种类：使用</w:t>
                  </w:r>
                </w:p>
                <w:p w14:paraId="2DB8EAEA">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eastAsia" w:cs="Times New Roman"/>
                      <w:color w:val="auto"/>
                      <w:kern w:val="0"/>
                      <w:sz w:val="20"/>
                      <w:szCs w:val="21"/>
                      <w:highlight w:val="none"/>
                      <w:lang w:val="en-US" w:eastAsia="zh-CN"/>
                    </w:rPr>
                    <w:t>（综合楼介入2室内）</w:t>
                  </w:r>
                </w:p>
              </w:tc>
              <w:tc>
                <w:tcPr>
                  <w:tcW w:w="1190" w:type="pct"/>
                  <w:vMerge w:val="continue"/>
                  <w:tcBorders>
                    <w:tl2br w:val="nil"/>
                    <w:tr2bl w:val="nil"/>
                  </w:tcBorders>
                  <w:shd w:val="clear" w:color="auto" w:fill="auto"/>
                  <w:tcMar>
                    <w:top w:w="120" w:type="dxa"/>
                    <w:left w:w="120" w:type="dxa"/>
                    <w:bottom w:w="120" w:type="dxa"/>
                    <w:right w:w="120" w:type="dxa"/>
                  </w:tcMar>
                  <w:vAlign w:val="center"/>
                </w:tcPr>
                <w:p w14:paraId="5E0C703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p>
              </w:tc>
            </w:tr>
          </w:tbl>
          <w:p w14:paraId="635BE989">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cs="Times New Roman"/>
                <w:b/>
                <w:bCs w:val="0"/>
                <w:color w:val="auto"/>
                <w:kern w:val="0"/>
                <w:sz w:val="24"/>
                <w:szCs w:val="24"/>
                <w:highlight w:val="none"/>
                <w:lang w:val="en-US" w:eastAsia="zh-CN" w:bidi="ar"/>
              </w:rPr>
              <w:t>核素诊断工艺设备和工艺分析：</w:t>
            </w:r>
          </w:p>
          <w:p w14:paraId="2C0D83B7">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cs="Times New Roman"/>
                <w:b w:val="0"/>
                <w:bCs/>
                <w:color w:val="auto"/>
                <w:kern w:val="0"/>
                <w:sz w:val="24"/>
                <w:szCs w:val="24"/>
                <w:highlight w:val="none"/>
                <w:lang w:val="en-US" w:eastAsia="zh-CN" w:bidi="ar"/>
              </w:rPr>
            </w:pPr>
            <w:r>
              <w:rPr>
                <w:rFonts w:hint="default" w:ascii="Times New Roman" w:hAnsi="Times New Roman" w:cs="Times New Roman"/>
                <w:b w:val="0"/>
                <w:bCs/>
                <w:color w:val="auto"/>
                <w:kern w:val="0"/>
                <w:sz w:val="24"/>
                <w:szCs w:val="24"/>
                <w:highlight w:val="none"/>
                <w:lang w:val="en-US" w:eastAsia="zh-CN" w:bidi="ar"/>
              </w:rPr>
              <w:t>PET</w:t>
            </w:r>
            <w:r>
              <w:rPr>
                <w:rFonts w:hint="default" w:ascii="Times New Roman" w:hAnsi="Times New Roman" w:eastAsia="宋体" w:cs="Times New Roman"/>
                <w:b w:val="0"/>
                <w:bCs/>
                <w:color w:val="auto"/>
                <w:kern w:val="0"/>
                <w:sz w:val="24"/>
                <w:szCs w:val="24"/>
                <w:highlight w:val="none"/>
                <w:lang w:val="en-US" w:eastAsia="zh-CN" w:bidi="ar"/>
              </w:rPr>
              <w:t>核素诊断</w:t>
            </w:r>
            <w:r>
              <w:rPr>
                <w:rFonts w:hint="default" w:ascii="Times New Roman" w:hAnsi="Times New Roman" w:cs="Times New Roman"/>
                <w:b w:val="0"/>
                <w:bCs/>
                <w:color w:val="auto"/>
                <w:kern w:val="0"/>
                <w:sz w:val="24"/>
                <w:szCs w:val="24"/>
                <w:highlight w:val="none"/>
                <w:lang w:val="en-US" w:eastAsia="zh-CN" w:bidi="ar"/>
              </w:rPr>
              <w:t>共涉及</w:t>
            </w:r>
            <w:r>
              <w:rPr>
                <w:rFonts w:hint="default" w:ascii="Times New Roman" w:hAnsi="Times New Roman" w:cs="Times New Roman"/>
                <w:b w:val="0"/>
                <w:bCs/>
                <w:color w:val="auto"/>
                <w:kern w:val="0"/>
                <w:sz w:val="24"/>
                <w:szCs w:val="24"/>
                <w:highlight w:val="none"/>
                <w:vertAlign w:val="baseline"/>
                <w:lang w:val="en-US" w:eastAsia="zh-CN" w:bidi="ar"/>
              </w:rPr>
              <w:t>F-18</w:t>
            </w:r>
            <w:r>
              <w:rPr>
                <w:rFonts w:hint="default" w:ascii="Times New Roman" w:hAnsi="Times New Roman" w:cs="Times New Roman"/>
                <w:b w:val="0"/>
                <w:bCs/>
                <w:color w:val="auto"/>
                <w:kern w:val="0"/>
                <w:sz w:val="24"/>
                <w:szCs w:val="24"/>
                <w:highlight w:val="none"/>
                <w:lang w:val="en-US" w:eastAsia="zh-CN" w:bidi="ar"/>
              </w:rPr>
              <w:t>、Ga-68、C-11、</w:t>
            </w:r>
            <w:r>
              <w:rPr>
                <w:rFonts w:hint="eastAsia" w:cs="Times New Roman"/>
                <w:b w:val="0"/>
                <w:bCs/>
                <w:color w:val="auto"/>
                <w:kern w:val="0"/>
                <w:sz w:val="24"/>
                <w:szCs w:val="24"/>
                <w:highlight w:val="none"/>
                <w:lang w:val="en-US" w:eastAsia="zh-CN" w:bidi="ar"/>
              </w:rPr>
              <w:t>N-13</w:t>
            </w:r>
            <w:r>
              <w:rPr>
                <w:rFonts w:hint="default" w:ascii="Times New Roman" w:hAnsi="Times New Roman" w:cs="Times New Roman"/>
                <w:b w:val="0"/>
                <w:bCs/>
                <w:color w:val="auto"/>
                <w:kern w:val="0"/>
                <w:sz w:val="24"/>
                <w:szCs w:val="24"/>
                <w:highlight w:val="none"/>
                <w:lang w:val="en-US" w:eastAsia="zh-CN" w:bidi="ar"/>
              </w:rPr>
              <w:t>四种核素、SPECT核素诊断共涉及</w:t>
            </w:r>
            <w:r>
              <w:rPr>
                <w:rFonts w:hint="default" w:ascii="Times New Roman" w:hAnsi="Times New Roman" w:cs="Times New Roman"/>
                <w:b w:val="0"/>
                <w:bCs/>
                <w:color w:val="auto"/>
                <w:kern w:val="0"/>
                <w:sz w:val="24"/>
                <w:szCs w:val="24"/>
                <w:highlight w:val="none"/>
                <w:vertAlign w:val="baseline"/>
                <w:lang w:val="en-US" w:eastAsia="zh-CN" w:bidi="ar"/>
              </w:rPr>
              <w:t>Mo-99、Tc-99m、I-131三种核素。</w:t>
            </w:r>
          </w:p>
          <w:p w14:paraId="5CBC16BC">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eastAsia="宋体" w:cs="Times New Roman"/>
                <w:b/>
                <w:bCs w:val="0"/>
                <w:color w:val="auto"/>
                <w:kern w:val="0"/>
                <w:sz w:val="24"/>
                <w:szCs w:val="24"/>
                <w:highlight w:val="none"/>
                <w:lang w:val="en-US" w:eastAsia="zh-CN" w:bidi="ar"/>
              </w:rPr>
              <w:t xml:space="preserve">9.1.1 回旋加速器生产正电子药物 </w:t>
            </w:r>
          </w:p>
          <w:p w14:paraId="34275B5C">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PET 正电子发射断层扫描（Positron Emission Tomography，PET）的工作原理是通过正电子核素（</w:t>
            </w:r>
            <w:r>
              <w:rPr>
                <w:rFonts w:hint="default" w:ascii="Times New Roman" w:hAnsi="Times New Roman" w:eastAsia="宋体" w:cs="Times New Roman"/>
                <w:b w:val="0"/>
                <w:bCs/>
                <w:color w:val="auto"/>
                <w:kern w:val="0"/>
                <w:sz w:val="24"/>
                <w:szCs w:val="24"/>
                <w:highlight w:val="none"/>
                <w:vertAlign w:val="baseline"/>
                <w:lang w:val="en-US" w:eastAsia="zh-CN" w:bidi="ar"/>
              </w:rPr>
              <w:t>F-18</w:t>
            </w:r>
            <w:r>
              <w:rPr>
                <w:rFonts w:hint="default" w:ascii="Times New Roman" w:hAnsi="Times New Roman" w:eastAsia="宋体" w:cs="Times New Roman"/>
                <w:b w:val="0"/>
                <w:bCs/>
                <w:color w:val="auto"/>
                <w:kern w:val="0"/>
                <w:sz w:val="24"/>
                <w:szCs w:val="24"/>
                <w:highlight w:val="none"/>
                <w:lang w:val="en-US" w:eastAsia="zh-CN" w:bidi="ar"/>
              </w:rPr>
              <w:t>、Ga-68、C-11、</w:t>
            </w:r>
            <w:r>
              <w:rPr>
                <w:rFonts w:hint="eastAsia" w:cs="Times New Roman"/>
                <w:b w:val="0"/>
                <w:bCs/>
                <w:color w:val="auto"/>
                <w:kern w:val="0"/>
                <w:sz w:val="24"/>
                <w:szCs w:val="24"/>
                <w:highlight w:val="none"/>
                <w:lang w:val="en-US" w:eastAsia="zh-CN" w:bidi="ar"/>
              </w:rPr>
              <w:t>N-13</w:t>
            </w:r>
            <w:r>
              <w:rPr>
                <w:rFonts w:hint="default" w:ascii="Times New Roman" w:hAnsi="Times New Roman" w:eastAsia="宋体" w:cs="Times New Roman"/>
                <w:b w:val="0"/>
                <w:bCs/>
                <w:color w:val="auto"/>
                <w:kern w:val="0"/>
                <w:sz w:val="24"/>
                <w:szCs w:val="24"/>
                <w:highlight w:val="none"/>
                <w:lang w:val="en-US" w:eastAsia="zh-CN" w:bidi="ar"/>
              </w:rPr>
              <w:t>）或其标记的示踪剂，示踪人体内特定生物物质的生物活动，采用多层、环形排列于发射体周围的探头，由体外探测正电子示踪剂湮灭辐射所产生的光子，然后将获得的信息，通过计算机处理，以解剖影像的形式及其相应的生理参数，显示靶器官或病变组织的状况，借此诊断疾病，又称为生化显像或功能因子显像，可以在活体分子水平完成生物学显示的影像技术。</w:t>
            </w:r>
          </w:p>
          <w:p w14:paraId="55B2F6B4">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医院前期已取得回旋加速器（型号：HM-10HC+，场所：核医学楼负一层回旋加速器机房）的许可和</w:t>
            </w:r>
            <w:r>
              <w:rPr>
                <w:rFonts w:hint="default" w:ascii="Times New Roman" w:hAnsi="Times New Roman" w:eastAsia="宋体" w:cs="Times New Roman"/>
                <w:b w:val="0"/>
                <w:bCs/>
                <w:color w:val="auto"/>
                <w:kern w:val="0"/>
                <w:sz w:val="24"/>
                <w:szCs w:val="24"/>
                <w:highlight w:val="none"/>
                <w:vertAlign w:val="baseline"/>
                <w:lang w:val="en-US" w:eastAsia="zh-CN" w:bidi="ar"/>
              </w:rPr>
              <w:t>F-18</w:t>
            </w:r>
            <w:r>
              <w:rPr>
                <w:rFonts w:hint="default" w:ascii="Times New Roman" w:hAnsi="Times New Roman" w:eastAsia="宋体" w:cs="Times New Roman"/>
                <w:b w:val="0"/>
                <w:bCs/>
                <w:color w:val="auto"/>
                <w:kern w:val="0"/>
                <w:sz w:val="24"/>
                <w:szCs w:val="24"/>
                <w:highlight w:val="none"/>
                <w:lang w:val="en-US" w:eastAsia="zh-CN" w:bidi="ar"/>
              </w:rPr>
              <w:t>、Ga-68的许可，本次新增</w:t>
            </w:r>
            <w:r>
              <w:rPr>
                <w:rFonts w:hint="default" w:ascii="Times New Roman" w:hAnsi="Times New Roman" w:eastAsia="宋体" w:cs="Times New Roman"/>
                <w:b w:val="0"/>
                <w:bCs/>
                <w:color w:val="auto"/>
                <w:kern w:val="0"/>
                <w:sz w:val="24"/>
                <w:szCs w:val="24"/>
                <w:highlight w:val="none"/>
                <w:vertAlign w:val="baseline"/>
                <w:lang w:val="en-US" w:eastAsia="zh-CN" w:bidi="ar"/>
              </w:rPr>
              <w:t>F-18</w:t>
            </w:r>
            <w:r>
              <w:rPr>
                <w:rFonts w:hint="default" w:ascii="Times New Roman" w:hAnsi="Times New Roman" w:eastAsia="宋体" w:cs="Times New Roman"/>
                <w:b w:val="0"/>
                <w:bCs/>
                <w:color w:val="auto"/>
                <w:kern w:val="0"/>
                <w:sz w:val="24"/>
                <w:szCs w:val="24"/>
                <w:highlight w:val="none"/>
                <w:lang w:val="en-US" w:eastAsia="zh-CN" w:bidi="ar"/>
              </w:rPr>
              <w:t>、Ga-68的使用量，新增C-11、</w:t>
            </w:r>
            <w:r>
              <w:rPr>
                <w:rFonts w:hint="eastAsia" w:cs="Times New Roman"/>
                <w:b w:val="0"/>
                <w:bCs/>
                <w:color w:val="auto"/>
                <w:kern w:val="0"/>
                <w:sz w:val="24"/>
                <w:szCs w:val="24"/>
                <w:highlight w:val="none"/>
                <w:lang w:val="en-US" w:eastAsia="zh-CN" w:bidi="ar"/>
              </w:rPr>
              <w:t>N-13</w:t>
            </w:r>
            <w:r>
              <w:rPr>
                <w:rFonts w:hint="default" w:ascii="Times New Roman" w:hAnsi="Times New Roman" w:eastAsia="宋体" w:cs="Times New Roman"/>
                <w:b w:val="0"/>
                <w:bCs/>
                <w:color w:val="auto"/>
                <w:kern w:val="0"/>
                <w:sz w:val="24"/>
                <w:szCs w:val="24"/>
                <w:highlight w:val="none"/>
                <w:lang w:val="en-US" w:eastAsia="zh-CN" w:bidi="ar"/>
              </w:rPr>
              <w:t>的使用。使用</w:t>
            </w:r>
            <w:r>
              <w:rPr>
                <w:rFonts w:hint="default" w:ascii="Times New Roman" w:hAnsi="Times New Roman" w:eastAsia="宋体" w:cs="Times New Roman"/>
                <w:b w:val="0"/>
                <w:bCs/>
                <w:color w:val="auto"/>
                <w:kern w:val="0"/>
                <w:sz w:val="24"/>
                <w:szCs w:val="24"/>
                <w:highlight w:val="none"/>
                <w:vertAlign w:val="baseline"/>
                <w:lang w:val="en-US" w:eastAsia="zh-CN" w:bidi="ar"/>
              </w:rPr>
              <w:t>F-18</w:t>
            </w:r>
            <w:r>
              <w:rPr>
                <w:rFonts w:hint="default" w:ascii="Times New Roman" w:hAnsi="Times New Roman" w:eastAsia="宋体" w:cs="Times New Roman"/>
                <w:b w:val="0"/>
                <w:bCs/>
                <w:color w:val="auto"/>
                <w:kern w:val="0"/>
                <w:sz w:val="24"/>
                <w:szCs w:val="24"/>
                <w:highlight w:val="none"/>
                <w:lang w:val="en-US" w:eastAsia="zh-CN" w:bidi="ar"/>
              </w:rPr>
              <w:t>、Ga-68、C-11、</w:t>
            </w:r>
            <w:r>
              <w:rPr>
                <w:rFonts w:hint="eastAsia" w:cs="Times New Roman"/>
                <w:b w:val="0"/>
                <w:bCs/>
                <w:color w:val="auto"/>
                <w:kern w:val="0"/>
                <w:sz w:val="24"/>
                <w:szCs w:val="24"/>
                <w:highlight w:val="none"/>
                <w:lang w:val="en-US" w:eastAsia="zh-CN" w:bidi="ar"/>
              </w:rPr>
              <w:t>N-13</w:t>
            </w:r>
            <w:r>
              <w:rPr>
                <w:rFonts w:hint="default" w:ascii="Times New Roman" w:hAnsi="Times New Roman" w:eastAsia="宋体" w:cs="Times New Roman"/>
                <w:b w:val="0"/>
                <w:bCs/>
                <w:color w:val="auto"/>
                <w:kern w:val="0"/>
                <w:sz w:val="24"/>
                <w:szCs w:val="24"/>
                <w:highlight w:val="none"/>
                <w:lang w:val="en-US" w:eastAsia="zh-CN" w:bidi="ar"/>
              </w:rPr>
              <w:t>开展 PET/CT显像，依托医院前期已获得许可的PET/CT设备（正电子发射/X射线计算机断层成像系统，场所：核医学楼二层PET/CT1室，型号：uMIPanorama28C），本项目不新增射线装置，不对PET/CT设备工艺流程进行介绍。</w:t>
            </w:r>
          </w:p>
          <w:p w14:paraId="737F26E0">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bidi="ar"/>
              </w:rPr>
            </w:pPr>
          </w:p>
          <w:p w14:paraId="30BF0E06">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eastAsia="宋体" w:cs="Times New Roman"/>
                <w:b/>
                <w:bCs w:val="0"/>
                <w:color w:val="auto"/>
                <w:kern w:val="0"/>
                <w:sz w:val="24"/>
                <w:szCs w:val="24"/>
                <w:highlight w:val="none"/>
                <w:lang w:val="en-US" w:eastAsia="zh-CN" w:bidi="ar"/>
              </w:rPr>
              <w:t xml:space="preserve">9.1.1.1 回旋加速器系统组成 </w:t>
            </w:r>
          </w:p>
          <w:p w14:paraId="55FF2FBD">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医院前期已取得回旋加速器（型号：HM-10HC+，场所：核医学楼负一层回旋加速器机房）的许可和</w:t>
            </w:r>
            <w:r>
              <w:rPr>
                <w:rFonts w:hint="default" w:ascii="Times New Roman" w:hAnsi="Times New Roman" w:eastAsia="宋体" w:cs="Times New Roman"/>
                <w:b w:val="0"/>
                <w:bCs/>
                <w:color w:val="auto"/>
                <w:kern w:val="0"/>
                <w:sz w:val="24"/>
                <w:szCs w:val="24"/>
                <w:highlight w:val="none"/>
                <w:vertAlign w:val="baseline"/>
                <w:lang w:val="en-US" w:eastAsia="zh-CN" w:bidi="ar"/>
              </w:rPr>
              <w:t>F-18</w:t>
            </w:r>
            <w:r>
              <w:rPr>
                <w:rFonts w:hint="default" w:ascii="Times New Roman" w:hAnsi="Times New Roman" w:eastAsia="宋体" w:cs="Times New Roman"/>
                <w:b w:val="0"/>
                <w:bCs/>
                <w:color w:val="auto"/>
                <w:kern w:val="0"/>
                <w:sz w:val="24"/>
                <w:szCs w:val="24"/>
                <w:highlight w:val="none"/>
                <w:lang w:val="en-US" w:eastAsia="zh-CN" w:bidi="ar"/>
              </w:rPr>
              <w:t>、Ga-68的许可，本次新增</w:t>
            </w:r>
            <w:r>
              <w:rPr>
                <w:rFonts w:hint="default" w:ascii="Times New Roman" w:hAnsi="Times New Roman" w:eastAsia="宋体" w:cs="Times New Roman"/>
                <w:b w:val="0"/>
                <w:bCs/>
                <w:color w:val="auto"/>
                <w:kern w:val="0"/>
                <w:sz w:val="24"/>
                <w:szCs w:val="24"/>
                <w:highlight w:val="none"/>
                <w:vertAlign w:val="baseline"/>
                <w:lang w:val="en-US" w:eastAsia="zh-CN" w:bidi="ar"/>
              </w:rPr>
              <w:t>F-18</w:t>
            </w:r>
            <w:r>
              <w:rPr>
                <w:rFonts w:hint="default" w:ascii="Times New Roman" w:hAnsi="Times New Roman" w:eastAsia="宋体" w:cs="Times New Roman"/>
                <w:b w:val="0"/>
                <w:bCs/>
                <w:color w:val="auto"/>
                <w:kern w:val="0"/>
                <w:sz w:val="24"/>
                <w:szCs w:val="24"/>
                <w:highlight w:val="none"/>
                <w:lang w:val="en-US" w:eastAsia="zh-CN" w:bidi="ar"/>
              </w:rPr>
              <w:t>、Ga-68的使用量，新增C-11、</w:t>
            </w:r>
            <w:r>
              <w:rPr>
                <w:rFonts w:hint="eastAsia" w:cs="Times New Roman"/>
                <w:b w:val="0"/>
                <w:bCs/>
                <w:color w:val="auto"/>
                <w:kern w:val="0"/>
                <w:sz w:val="24"/>
                <w:szCs w:val="24"/>
                <w:highlight w:val="none"/>
                <w:lang w:val="en-US" w:eastAsia="zh-CN" w:bidi="ar"/>
              </w:rPr>
              <w:t>N-13</w:t>
            </w:r>
            <w:r>
              <w:rPr>
                <w:rFonts w:hint="default" w:ascii="Times New Roman" w:hAnsi="Times New Roman" w:eastAsia="宋体" w:cs="Times New Roman"/>
                <w:b w:val="0"/>
                <w:bCs/>
                <w:color w:val="auto"/>
                <w:kern w:val="0"/>
                <w:sz w:val="24"/>
                <w:szCs w:val="24"/>
                <w:highlight w:val="none"/>
                <w:lang w:val="en-US" w:eastAsia="zh-CN" w:bidi="ar"/>
              </w:rPr>
              <w:t>的使用。</w:t>
            </w:r>
          </w:p>
          <w:p w14:paraId="30F1F09A">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回旋加速器系统由磁场系统、高频系统、真空系统、离子源系统、束流引出系统、控制系统、靶系统和冷却系统等组成，各系统的具体情况如下： </w:t>
            </w:r>
          </w:p>
          <w:p w14:paraId="7B040473">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（1）磁场系统 </w:t>
            </w:r>
          </w:p>
          <w:p w14:paraId="3B86B083">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磁场系统包括上下磁轭、磁场线圈、磁场电源等。通过励磁电源提供稳定直流电流，产生随轨道半径逐步增强的磁场以满足等时性条件，保证质子回旋周期与射频加速电场同步，同时依靠扇区磁场差异实现束流轴向聚焦，防止粒子束上下发散</w:t>
            </w:r>
            <w:r>
              <w:rPr>
                <w:rFonts w:hint="default" w:ascii="Times New Roman" w:hAnsi="Times New Roman" w:cs="Times New Roman"/>
                <w:b w:val="0"/>
                <w:bCs/>
                <w:color w:val="auto"/>
                <w:kern w:val="0"/>
                <w:sz w:val="24"/>
                <w:szCs w:val="24"/>
                <w:highlight w:val="none"/>
                <w:lang w:val="en-US" w:eastAsia="zh-CN" w:bidi="ar"/>
              </w:rPr>
              <w:t>，</w:t>
            </w:r>
            <w:r>
              <w:rPr>
                <w:rFonts w:hint="default" w:ascii="Times New Roman" w:hAnsi="Times New Roman" w:eastAsia="宋体" w:cs="Times New Roman"/>
                <w:b w:val="0"/>
                <w:bCs/>
                <w:color w:val="auto"/>
                <w:kern w:val="0"/>
                <w:sz w:val="24"/>
                <w:szCs w:val="24"/>
                <w:highlight w:val="none"/>
                <w:lang w:val="en-US" w:eastAsia="zh-CN" w:bidi="ar"/>
              </w:rPr>
              <w:t>产生高的束流引出效率。</w:t>
            </w:r>
          </w:p>
          <w:p w14:paraId="58B27ABD">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（2）高频(RF)系统 </w:t>
            </w:r>
          </w:p>
          <w:p w14:paraId="1DC1D2FC">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高频系统作用是对“D”盒结构提供一个交替的高电压用以加速 H-离子。“D”盒结构为径 向的扇形小腔体，束流每一圈经过 2 个“D”盒各一次，得到 2 次加速。束流以这种方式得到能量，其轨道半径也逐渐增加。因此，当向提取半径方向加速时，束流的轨迹被描述为准螺旋形。当束流提取到达提取半径时，其能量也将达到预定能量。射频系统包括初级放大器、中级放大器、末级放大器、频率合成器、耦合器，以及相应的控制和检测电路，随着温度的变化，频率也不断且自动地受 RF 控制元件调整以维持共振。 </w:t>
            </w:r>
          </w:p>
          <w:p w14:paraId="3E509E7D">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（3）离子源系统 </w:t>
            </w:r>
          </w:p>
          <w:p w14:paraId="5CC6F012">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回旋加速器的离子源系统是垂直安装在真空内部的潘宁离子源(PIG 离子源)。离子源的机械安装与更换仅在维修中进行，在正常操作中不需要进行调试或干预性操作。离子源有 2 个位于中心层面上下的钽电极，1 个中空的位于两个阴极之间</w:t>
            </w:r>
            <w:r>
              <w:rPr>
                <w:rFonts w:hint="eastAsia" w:cs="Times New Roman"/>
                <w:b w:val="0"/>
                <w:bCs/>
                <w:color w:val="auto"/>
                <w:kern w:val="0"/>
                <w:sz w:val="24"/>
                <w:szCs w:val="24"/>
                <w:highlight w:val="none"/>
                <w:lang w:val="en-US" w:eastAsia="zh-CN" w:bidi="ar"/>
              </w:rPr>
              <w:t>圆柱形</w:t>
            </w:r>
            <w:r>
              <w:rPr>
                <w:rFonts w:hint="default" w:ascii="Times New Roman" w:hAnsi="Times New Roman" w:eastAsia="宋体" w:cs="Times New Roman"/>
                <w:b w:val="0"/>
                <w:bCs/>
                <w:color w:val="auto"/>
                <w:kern w:val="0"/>
                <w:sz w:val="24"/>
                <w:szCs w:val="24"/>
                <w:highlight w:val="none"/>
                <w:lang w:val="en-US" w:eastAsia="zh-CN" w:bidi="ar"/>
              </w:rPr>
              <w:t xml:space="preserve">阳极。氢气分子电离子产生等离子体，偏压下提取出氢负离子，进入加速区域，不断得到能量，直到达到需要的能量并被引出。 </w:t>
            </w:r>
          </w:p>
          <w:p w14:paraId="74A3D33F">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（4）真空系统 </w:t>
            </w:r>
          </w:p>
          <w:p w14:paraId="7C83F5E1">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真空系统包括磁辄之间的真空仓，用于抽气的泵，仪表和控制部分。真空仪表和控制部分用于监测仓室的压力及在系统出现故障时对仪器起到保护作用。真空仓连续不断的抽取以排除来源于离子源及真空室内表面的气体。真空系统通常要求每天 24 小时不停的工作以保证真空仓内残留的气体达到最小，加速器的性能最优化，这将有利于提高离子的提取效率，减少加速器内部的活化。真空泵分为两种：机械泵用于初级真空的获得，扩散泵用于高真空的获得。当维修时或有提前通知停电时，需要手动关闭真空系统，此时需要先关闭扩散泵，等冷却后才能</w:t>
            </w:r>
            <w:r>
              <w:rPr>
                <w:rFonts w:hint="eastAsia" w:cs="Times New Roman"/>
                <w:b w:val="0"/>
                <w:bCs/>
                <w:color w:val="auto"/>
                <w:kern w:val="0"/>
                <w:sz w:val="24"/>
                <w:szCs w:val="24"/>
                <w:highlight w:val="none"/>
                <w:lang w:val="en-US" w:eastAsia="zh-CN" w:bidi="ar"/>
              </w:rPr>
              <w:t>关闭</w:t>
            </w:r>
            <w:r>
              <w:rPr>
                <w:rFonts w:hint="default" w:ascii="Times New Roman" w:hAnsi="Times New Roman" w:eastAsia="宋体" w:cs="Times New Roman"/>
                <w:b w:val="0"/>
                <w:bCs/>
                <w:color w:val="auto"/>
                <w:kern w:val="0"/>
                <w:sz w:val="24"/>
                <w:szCs w:val="24"/>
                <w:highlight w:val="none"/>
                <w:lang w:val="en-US" w:eastAsia="zh-CN" w:bidi="ar"/>
              </w:rPr>
              <w:t xml:space="preserve">机械泵。 </w:t>
            </w:r>
          </w:p>
          <w:p w14:paraId="1644F8DF">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（5）束流引出系统 </w:t>
            </w:r>
          </w:p>
          <w:p w14:paraId="220F9BCA">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束流引出系统的作用主要是将加速器加速到一定能量的束流靶体上，与相应原料发生核反应。现代很多回旋加速器都使用 H-离子源，因此，引出系统相对简单。这种引出系统仅使用一块很薄的碳膜(微米量级)，当 H-经过碳膜时，H-中 2 个电子被剥离，</w:t>
            </w:r>
            <w:r>
              <w:rPr>
                <w:rFonts w:hint="eastAsia" w:cs="Times New Roman"/>
                <w:b w:val="0"/>
                <w:bCs/>
                <w:color w:val="auto"/>
                <w:kern w:val="0"/>
                <w:sz w:val="24"/>
                <w:szCs w:val="24"/>
                <w:highlight w:val="none"/>
                <w:lang w:val="en-US" w:eastAsia="zh-CN" w:bidi="ar"/>
              </w:rPr>
              <w:t>使</w:t>
            </w:r>
            <w:r>
              <w:rPr>
                <w:rFonts w:hint="default" w:ascii="Times New Roman" w:hAnsi="Times New Roman" w:eastAsia="宋体" w:cs="Times New Roman"/>
                <w:b w:val="0"/>
                <w:bCs/>
                <w:color w:val="auto"/>
                <w:kern w:val="0"/>
                <w:sz w:val="24"/>
                <w:szCs w:val="24"/>
                <w:highlight w:val="none"/>
                <w:lang w:val="en-US" w:eastAsia="zh-CN" w:bidi="ar"/>
              </w:rPr>
              <w:t xml:space="preserve">束流从负离子变成正离子 H+，结果使其受到的磁场作用力相反，带正电荷的束流偏向预定的出口并轰击靶体。 </w:t>
            </w:r>
          </w:p>
          <w:p w14:paraId="2433036D">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（6）靶系统 </w:t>
            </w:r>
          </w:p>
          <w:p w14:paraId="1AA78077">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回旋加速器的靶系统包括准直器、装靶接口和对应靶体支持单元。循环的冷却水和氦气，通过换靶装置流动，用于排除靶内的热量。靶支持单元模块安装在加速器旁的橱柜内，这些模块含有使用每个靶所必需的控制与检测仪器、用于轰击的原材料传输、阀门等。靶材料包括液态、气态和固态靶三种类型。其中气体靶是由气瓶间通过管道自动输送到加速器，更换气体罐的操作室在气瓶间完成。固体靶是装在靶面板上，可重复使用。液态靶，需工作人员定期进入加速器机房添加靶水，通常每月一次。 </w:t>
            </w:r>
          </w:p>
          <w:p w14:paraId="6287DF59">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（7）冷却系统 </w:t>
            </w:r>
          </w:p>
          <w:p w14:paraId="55276DDA">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加速器运行中产生的热量有三种方式加以排出，第一种是用 He 冷，第二种是水冷，第三种是风冷。在回旋加速器中，对靶窗的冷却采用 He 冷却，氦冷却系统主要在轰击期间对 靶室和靶窗的箔膜和钛箔膜之间进行冷却，两个箔膜之间的氦气流提供了所必须的冷却；而对其他很多系统产生的热量，如：磁体、D 盒、真空泵、离子源等，则采用水冷却。风冷则主要使用在一些不方便或者不能使用水冷却的系统，如高频以及集成电路板等。 </w:t>
            </w:r>
          </w:p>
          <w:p w14:paraId="6565034F">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8）控制系统：在控制系统计算机的界面上，可以独立地操作和控制每个子系统。而且更重要的运行参数，系统都有反馈值，便于了解系统的工作状态以及进一步的调整。系统能够根据条件和环境的改变，自动优化系统参数，使系统工作在最优的条件下，生产的效率得以提高，并延长了机器和相关部件的使用寿命。另外，这种智能化也包括了机器的连锁保护，可以有效的避免各种失误造成的对机器或者人身的伤害。 </w:t>
            </w:r>
          </w:p>
          <w:p w14:paraId="1E4EE9E1">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eastAsia="宋体" w:cs="Times New Roman"/>
                <w:b/>
                <w:bCs w:val="0"/>
                <w:color w:val="auto"/>
                <w:kern w:val="0"/>
                <w:sz w:val="24"/>
                <w:szCs w:val="24"/>
                <w:highlight w:val="none"/>
                <w:lang w:val="en-US" w:eastAsia="zh-CN" w:bidi="ar"/>
              </w:rPr>
              <w:t>9.1.1.2 回旋加速器制备</w:t>
            </w:r>
            <w:r>
              <w:rPr>
                <w:rFonts w:hint="default" w:ascii="Times New Roman" w:hAnsi="Times New Roman" w:eastAsia="宋体" w:cs="Times New Roman"/>
                <w:b/>
                <w:bCs w:val="0"/>
                <w:color w:val="auto"/>
                <w:kern w:val="0"/>
                <w:sz w:val="24"/>
                <w:szCs w:val="24"/>
                <w:highlight w:val="none"/>
                <w:vertAlign w:val="baseline"/>
                <w:lang w:val="en-US" w:eastAsia="zh-CN" w:bidi="ar"/>
              </w:rPr>
              <w:t>放射性同位素</w:t>
            </w:r>
            <w:r>
              <w:rPr>
                <w:rFonts w:hint="default" w:ascii="Times New Roman" w:hAnsi="Times New Roman" w:eastAsia="宋体" w:cs="Times New Roman"/>
                <w:b/>
                <w:bCs w:val="0"/>
                <w:color w:val="auto"/>
                <w:kern w:val="0"/>
                <w:sz w:val="24"/>
                <w:szCs w:val="24"/>
                <w:highlight w:val="none"/>
                <w:lang w:val="en-US" w:eastAsia="zh-CN" w:bidi="ar"/>
              </w:rPr>
              <w:t xml:space="preserve">工作原理 </w:t>
            </w:r>
          </w:p>
          <w:p w14:paraId="75259F6F">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回旋加速器制备</w:t>
            </w:r>
            <w:r>
              <w:rPr>
                <w:rFonts w:hint="default" w:ascii="Times New Roman" w:hAnsi="Times New Roman" w:eastAsia="宋体" w:cs="Times New Roman"/>
                <w:b w:val="0"/>
                <w:bCs/>
                <w:color w:val="auto"/>
                <w:kern w:val="0"/>
                <w:sz w:val="24"/>
                <w:szCs w:val="24"/>
                <w:highlight w:val="none"/>
                <w:vertAlign w:val="baseline"/>
                <w:lang w:val="en-US" w:eastAsia="zh-CN" w:bidi="ar"/>
              </w:rPr>
              <w:t>放射性同位素</w:t>
            </w:r>
            <w:r>
              <w:rPr>
                <w:rFonts w:hint="default" w:ascii="Times New Roman" w:hAnsi="Times New Roman" w:eastAsia="宋体" w:cs="Times New Roman"/>
                <w:b w:val="0"/>
                <w:bCs/>
                <w:color w:val="auto"/>
                <w:kern w:val="0"/>
                <w:sz w:val="24"/>
                <w:szCs w:val="24"/>
                <w:highlight w:val="none"/>
                <w:lang w:val="en-US" w:eastAsia="zh-CN" w:bidi="ar"/>
              </w:rPr>
              <w:t xml:space="preserve">的工作原理是利用加速器将带电粒子加速到一定的能量 时引出轰击特定的靶材料，通过核反应而生成放射性核素。回旋加速器生产正电子示踪剂的 </w:t>
            </w:r>
          </w:p>
          <w:p w14:paraId="72AB96C2">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基础原理就是回旋加速器使处于真空室内的带电粒子在射频、交变磁场作用下，不断加速， 当被加速粒子能量达到一定值时偏转引出，引出到加速器外部靶体上，与其束流路径上的靶 核碰撞，入射粒子被靶体吸收，激活的靶体发生核反应并发射出中子、质子或α粒子，同时可产生具有一定阈能的正电子放射性核素，如</w:t>
            </w:r>
            <w:r>
              <w:rPr>
                <w:rFonts w:hint="default" w:ascii="Times New Roman" w:hAnsi="Times New Roman" w:eastAsia="宋体" w:cs="Times New Roman"/>
                <w:b w:val="0"/>
                <w:bCs/>
                <w:color w:val="auto"/>
                <w:kern w:val="0"/>
                <w:sz w:val="24"/>
                <w:szCs w:val="24"/>
                <w:highlight w:val="none"/>
                <w:vertAlign w:val="baseline"/>
                <w:lang w:val="en-US" w:eastAsia="zh-CN" w:bidi="ar"/>
              </w:rPr>
              <w:t>F-18</w:t>
            </w:r>
            <w:r>
              <w:rPr>
                <w:rFonts w:hint="default" w:ascii="Times New Roman" w:hAnsi="Times New Roman" w:eastAsia="宋体" w:cs="Times New Roman"/>
                <w:b w:val="0"/>
                <w:bCs/>
                <w:color w:val="auto"/>
                <w:kern w:val="0"/>
                <w:sz w:val="24"/>
                <w:szCs w:val="24"/>
                <w:highlight w:val="none"/>
                <w:lang w:val="en-US" w:eastAsia="zh-CN" w:bidi="ar"/>
              </w:rPr>
              <w:t>、Ga-68</w:t>
            </w:r>
            <w:r>
              <w:rPr>
                <w:rFonts w:hint="default" w:ascii="Times New Roman" w:hAnsi="Times New Roman" w:cs="Times New Roman"/>
                <w:b w:val="0"/>
                <w:bCs/>
                <w:color w:val="auto"/>
                <w:kern w:val="0"/>
                <w:sz w:val="24"/>
                <w:szCs w:val="24"/>
                <w:highlight w:val="none"/>
                <w:lang w:val="en-US" w:eastAsia="zh-CN" w:bidi="ar"/>
              </w:rPr>
              <w:t>、</w:t>
            </w:r>
            <w:r>
              <w:rPr>
                <w:rFonts w:hint="default" w:ascii="Times New Roman" w:hAnsi="Times New Roman" w:eastAsia="宋体" w:cs="Times New Roman"/>
                <w:b w:val="0"/>
                <w:bCs/>
                <w:color w:val="auto"/>
                <w:kern w:val="0"/>
                <w:sz w:val="24"/>
                <w:szCs w:val="24"/>
                <w:highlight w:val="none"/>
                <w:lang w:val="en-US" w:eastAsia="zh-CN" w:bidi="ar"/>
              </w:rPr>
              <w:t>C-11、</w:t>
            </w:r>
            <w:r>
              <w:rPr>
                <w:rFonts w:hint="eastAsia" w:cs="Times New Roman"/>
                <w:b w:val="0"/>
                <w:bCs/>
                <w:color w:val="auto"/>
                <w:kern w:val="0"/>
                <w:sz w:val="24"/>
                <w:szCs w:val="24"/>
                <w:highlight w:val="none"/>
                <w:lang w:val="en-US" w:eastAsia="zh-CN" w:bidi="ar"/>
              </w:rPr>
              <w:t>N-13</w:t>
            </w:r>
            <w:r>
              <w:rPr>
                <w:rFonts w:hint="default" w:ascii="Times New Roman" w:hAnsi="Times New Roman" w:eastAsia="宋体" w:cs="Times New Roman"/>
                <w:b w:val="0"/>
                <w:bCs/>
                <w:color w:val="auto"/>
                <w:kern w:val="0"/>
                <w:sz w:val="24"/>
                <w:szCs w:val="24"/>
                <w:highlight w:val="none"/>
                <w:lang w:val="en-US" w:eastAsia="zh-CN" w:bidi="ar"/>
              </w:rPr>
              <w:t>等。产生的 正电子放射性核素进入放化合成系统，通过化学反应，将该核素标记到生理性代谢物质上（如葡萄糖、氨基酸、多肽、蛋白、核酸等），最终生成以发射β+或电子俘获形式进行衰变，能量适度，半衰期短，辐射危害小，适合 PET 显像所需的示踪剂。本项目回旋加速器加速粒子为质子（P），回旋加速器工作原理简图见</w:t>
            </w:r>
            <w:r>
              <w:rPr>
                <w:rFonts w:hint="eastAsia" w:cs="Times New Roman"/>
                <w:b w:val="0"/>
                <w:bCs/>
                <w:color w:val="auto"/>
                <w:kern w:val="0"/>
                <w:sz w:val="24"/>
                <w:szCs w:val="24"/>
                <w:highlight w:val="none"/>
                <w:lang w:val="en-US" w:eastAsia="zh-CN" w:bidi="ar"/>
              </w:rPr>
              <w:t>图9</w:t>
            </w:r>
            <w:r>
              <w:rPr>
                <w:rFonts w:hint="default" w:ascii="Times New Roman" w:hAnsi="Times New Roman" w:eastAsia="宋体" w:cs="Times New Roman"/>
                <w:b w:val="0"/>
                <w:bCs/>
                <w:color w:val="auto"/>
                <w:kern w:val="0"/>
                <w:sz w:val="24"/>
                <w:szCs w:val="24"/>
                <w:highlight w:val="none"/>
                <w:lang w:val="en-US" w:eastAsia="zh-CN" w:bidi="ar"/>
              </w:rPr>
              <w:t>-1。</w:t>
            </w:r>
          </w:p>
          <w:p w14:paraId="7B40B149">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bidi="ar"/>
              </w:rPr>
            </w:pPr>
          </w:p>
          <w:p w14:paraId="38D149D3">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center"/>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cs="Times New Roman"/>
                <w:b/>
                <w:bCs w:val="0"/>
                <w:color w:val="auto"/>
                <w:kern w:val="0"/>
                <w:sz w:val="24"/>
                <w:szCs w:val="24"/>
                <w:highlight w:val="none"/>
                <w:lang w:val="en-US" w:eastAsia="zh-CN" w:bidi="ar"/>
              </w:rPr>
              <w:t xml:space="preserve">图9-1  </w:t>
            </w:r>
            <w:r>
              <w:rPr>
                <w:rFonts w:hint="default" w:ascii="Times New Roman" w:hAnsi="Times New Roman" w:eastAsia="宋体" w:cs="Times New Roman"/>
                <w:b/>
                <w:bCs w:val="0"/>
                <w:color w:val="auto"/>
                <w:kern w:val="0"/>
                <w:sz w:val="24"/>
                <w:szCs w:val="24"/>
                <w:highlight w:val="none"/>
                <w:lang w:val="en-US" w:eastAsia="zh-CN" w:bidi="ar"/>
              </w:rPr>
              <w:t>回旋加速器工作原理简图</w:t>
            </w:r>
          </w:p>
          <w:p w14:paraId="3614980D">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eastAsia="宋体" w:cs="Times New Roman"/>
                <w:b/>
                <w:bCs w:val="0"/>
                <w:color w:val="auto"/>
                <w:kern w:val="0"/>
                <w:sz w:val="24"/>
                <w:szCs w:val="24"/>
                <w:highlight w:val="none"/>
                <w:lang w:val="en-US" w:eastAsia="zh-CN" w:bidi="ar"/>
              </w:rPr>
              <w:t>9.1.1.3 回旋加速器设备固有安全性</w:t>
            </w:r>
          </w:p>
          <w:p w14:paraId="416606B8">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本项目</w:t>
            </w:r>
            <w:r>
              <w:rPr>
                <w:rFonts w:hint="default" w:ascii="Times New Roman" w:hAnsi="Times New Roman" w:cs="Times New Roman"/>
                <w:b w:val="0"/>
                <w:bCs/>
                <w:color w:val="auto"/>
                <w:kern w:val="0"/>
                <w:sz w:val="24"/>
                <w:szCs w:val="24"/>
                <w:highlight w:val="none"/>
                <w:lang w:val="en-US" w:eastAsia="zh-CN" w:bidi="ar"/>
              </w:rPr>
              <w:t>使用</w:t>
            </w:r>
            <w:r>
              <w:rPr>
                <w:rFonts w:hint="default" w:ascii="Times New Roman" w:hAnsi="Times New Roman" w:eastAsia="宋体" w:cs="Times New Roman"/>
                <w:b w:val="0"/>
                <w:bCs/>
                <w:color w:val="auto"/>
                <w:kern w:val="0"/>
                <w:sz w:val="24"/>
                <w:szCs w:val="24"/>
                <w:highlight w:val="none"/>
                <w:lang w:val="en-US" w:eastAsia="zh-CN" w:bidi="ar"/>
              </w:rPr>
              <w:t>住友公司回旋加速器</w:t>
            </w:r>
            <w:r>
              <w:rPr>
                <w:rFonts w:hint="default" w:ascii="Times New Roman" w:hAnsi="Times New Roman" w:cs="Times New Roman"/>
                <w:b w:val="0"/>
                <w:bCs/>
                <w:color w:val="auto"/>
                <w:kern w:val="0"/>
                <w:sz w:val="24"/>
                <w:szCs w:val="24"/>
                <w:highlight w:val="none"/>
                <w:lang w:val="en-US" w:eastAsia="zh-CN" w:bidi="ar"/>
              </w:rPr>
              <w:t>（型号：HM-10HC+，场所：核医学楼负一层回旋加速器机房）</w:t>
            </w:r>
            <w:r>
              <w:rPr>
                <w:rFonts w:hint="default" w:ascii="Times New Roman" w:hAnsi="Times New Roman" w:eastAsia="宋体" w:cs="Times New Roman"/>
                <w:b w:val="0"/>
                <w:bCs/>
                <w:color w:val="auto"/>
                <w:kern w:val="0"/>
                <w:sz w:val="24"/>
                <w:szCs w:val="24"/>
                <w:highlight w:val="none"/>
                <w:lang w:val="en-US" w:eastAsia="zh-CN" w:bidi="ar"/>
              </w:rPr>
              <w:t xml:space="preserve">，设备各项安全措施齐备，仪器本身采取了多种安全防护措施： </w:t>
            </w:r>
          </w:p>
          <w:p w14:paraId="2107CBFC">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（1）回旋加速器本身自带有屏蔽装置，自屏蔽体由内、外两层组成，内层约为 30cm厚的铅、环氧树脂和碳化硼混合的高密度铸件，用于慢化快中子，吸收热中子，外层约为 70cm 厚含聚乙烯和碳化硼的混凝土，用于慢化和吸收中子，降低次级γ辐射； </w:t>
            </w:r>
          </w:p>
          <w:p w14:paraId="5E0C1D03">
            <w:pPr>
              <w:keepNext w:val="0"/>
              <w:keepLines w:val="0"/>
              <w:widowControl w:val="0"/>
              <w:suppressLineNumbers w:val="0"/>
              <w:autoSpaceDE w:val="0"/>
              <w:autoSpaceDN w:val="0"/>
              <w:spacing w:before="0" w:beforeLines="0" w:beforeAutospacing="0" w:after="0" w:afterLines="0" w:afterAutospacing="0" w:line="48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（2）回旋加速器界面设有用户登录密码，防止非相关人员操作机器； </w:t>
            </w:r>
          </w:p>
          <w:p w14:paraId="570F57E9">
            <w:pPr>
              <w:keepNext w:val="0"/>
              <w:keepLines w:val="0"/>
              <w:widowControl w:val="0"/>
              <w:suppressLineNumbers w:val="0"/>
              <w:autoSpaceDE w:val="0"/>
              <w:autoSpaceDN w:val="0"/>
              <w:spacing w:before="0" w:beforeLines="0" w:beforeAutospacing="0" w:after="0" w:afterLines="0" w:afterAutospacing="0" w:line="48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 xml:space="preserve">（3）正常情况下，操作人员必须按规定程序并经过控制台确认验证设置无误时，才能 “启动”键启动引流； </w:t>
            </w:r>
          </w:p>
          <w:p w14:paraId="3FA974A9">
            <w:pPr>
              <w:keepNext w:val="0"/>
              <w:keepLines w:val="0"/>
              <w:widowControl w:val="0"/>
              <w:suppressLineNumbers w:val="0"/>
              <w:autoSpaceDE w:val="0"/>
              <w:autoSpaceDN w:val="0"/>
              <w:spacing w:before="0" w:beforeLines="0" w:beforeAutospacing="0" w:after="0" w:afterLines="0" w:afterAutospacing="0" w:line="48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（4）在操作台上设置有“紧急停止”按钮，一旦发现异常情况，工作人员可立即按下 此按钮来停止束流引出，并可通过循环冷却水冷却靶。</w:t>
            </w:r>
          </w:p>
          <w:p w14:paraId="4F1FB857">
            <w:pPr>
              <w:pStyle w:val="43"/>
              <w:keepNext w:val="0"/>
              <w:keepLines w:val="0"/>
              <w:suppressLineNumbers w:val="0"/>
              <w:spacing w:before="0" w:beforeAutospacing="0" w:after="0" w:afterAutospacing="0" w:line="219" w:lineRule="auto"/>
              <w:ind w:left="115" w:right="0" w:firstLine="472" w:firstLineChars="200"/>
              <w:jc w:val="both"/>
              <w:rPr>
                <w:rFonts w:hint="default" w:ascii="Times New Roman" w:hAnsi="Times New Roman" w:cs="Times New Roman"/>
                <w:color w:val="auto"/>
                <w:highlight w:val="none"/>
              </w:rPr>
            </w:pPr>
            <w:r>
              <w:rPr>
                <w:rFonts w:hint="default" w:ascii="Times New Roman" w:hAnsi="Times New Roman" w:eastAsia="Times New Roman" w:cs="Times New Roman"/>
                <w:b/>
                <w:bCs/>
                <w:color w:val="auto"/>
                <w:spacing w:val="-2"/>
                <w:highlight w:val="none"/>
              </w:rPr>
              <w:t xml:space="preserve">9.1.1.4  </w:t>
            </w:r>
            <w:r>
              <w:rPr>
                <w:rFonts w:hint="default" w:ascii="Times New Roman" w:hAnsi="Times New Roman" w:cs="Times New Roman"/>
                <w:b/>
                <w:bCs/>
                <w:color w:val="auto"/>
                <w:spacing w:val="-2"/>
                <w:highlight w:val="none"/>
              </w:rPr>
              <w:t>设备参数</w:t>
            </w:r>
          </w:p>
          <w:p w14:paraId="6E0776BC">
            <w:pPr>
              <w:pStyle w:val="43"/>
              <w:keepNext w:val="0"/>
              <w:keepLines w:val="0"/>
              <w:suppressLineNumbers w:val="0"/>
              <w:spacing w:before="127" w:beforeAutospacing="0" w:after="0" w:afterAutospacing="0" w:line="228" w:lineRule="auto"/>
              <w:ind w:left="3451" w:right="0"/>
              <w:jc w:val="both"/>
              <w:rPr>
                <w:rFonts w:hint="default" w:ascii="Times New Roman" w:hAnsi="Times New Roman" w:cs="Times New Roman"/>
                <w:color w:val="auto"/>
                <w:sz w:val="24"/>
                <w:szCs w:val="24"/>
                <w:highlight w:val="none"/>
              </w:rPr>
            </w:pPr>
            <w:r>
              <w:rPr>
                <w:rFonts w:hint="default" w:ascii="Times New Roman" w:hAnsi="Times New Roman" w:cs="Times New Roman"/>
                <w:b/>
                <w:bCs/>
                <w:color w:val="auto"/>
                <w:spacing w:val="5"/>
                <w:sz w:val="24"/>
                <w:szCs w:val="24"/>
                <w:highlight w:val="none"/>
              </w:rPr>
              <w:t>表</w:t>
            </w:r>
            <w:r>
              <w:rPr>
                <w:rFonts w:hint="default" w:ascii="Times New Roman" w:hAnsi="Times New Roman" w:eastAsia="Times New Roman" w:cs="Times New Roman"/>
                <w:b/>
                <w:bCs/>
                <w:color w:val="auto"/>
                <w:spacing w:val="5"/>
                <w:sz w:val="24"/>
                <w:szCs w:val="24"/>
                <w:highlight w:val="none"/>
              </w:rPr>
              <w:t>9-</w:t>
            </w:r>
            <w:r>
              <w:rPr>
                <w:rFonts w:hint="eastAsia" w:ascii="Times New Roman" w:hAnsi="Times New Roman" w:eastAsia="宋体" w:cs="Times New Roman"/>
                <w:b/>
                <w:bCs/>
                <w:color w:val="auto"/>
                <w:spacing w:val="5"/>
                <w:sz w:val="24"/>
                <w:szCs w:val="24"/>
                <w:highlight w:val="none"/>
                <w:lang w:val="en-US" w:eastAsia="zh-CN"/>
              </w:rPr>
              <w:t>2</w:t>
            </w:r>
            <w:r>
              <w:rPr>
                <w:rFonts w:hint="default" w:ascii="Times New Roman" w:hAnsi="Times New Roman" w:eastAsia="Times New Roman" w:cs="Times New Roman"/>
                <w:b/>
                <w:bCs/>
                <w:color w:val="auto"/>
                <w:spacing w:val="18"/>
                <w:sz w:val="24"/>
                <w:szCs w:val="24"/>
                <w:highlight w:val="none"/>
              </w:rPr>
              <w:t xml:space="preserve">  </w:t>
            </w:r>
            <w:r>
              <w:rPr>
                <w:rFonts w:hint="default" w:ascii="Times New Roman" w:hAnsi="Times New Roman" w:cs="Times New Roman"/>
                <w:b/>
                <w:bCs/>
                <w:color w:val="auto"/>
                <w:spacing w:val="5"/>
                <w:sz w:val="24"/>
                <w:szCs w:val="24"/>
                <w:highlight w:val="none"/>
              </w:rPr>
              <w:t>回旋加速器主要设备参数</w:t>
            </w:r>
          </w:p>
          <w:p w14:paraId="1136723A">
            <w:pPr>
              <w:keepNext w:val="0"/>
              <w:keepLines w:val="0"/>
              <w:suppressLineNumbers w:val="0"/>
              <w:spacing w:before="0" w:beforeAutospacing="0" w:after="0" w:afterAutospacing="0" w:line="18" w:lineRule="exact"/>
              <w:ind w:left="0" w:right="0"/>
              <w:jc w:val="both"/>
              <w:rPr>
                <w:rFonts w:hint="default" w:ascii="Times New Roman" w:hAnsi="Times New Roman" w:cs="Times New Roman"/>
                <w:color w:val="auto"/>
                <w:highlight w:val="none"/>
              </w:rPr>
            </w:pPr>
          </w:p>
          <w:tbl>
            <w:tblPr>
              <w:tblStyle w:val="30"/>
              <w:tblW w:w="8879" w:type="dxa"/>
              <w:tblInd w:w="97"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239"/>
              <w:gridCol w:w="1487"/>
              <w:gridCol w:w="6153"/>
            </w:tblGrid>
            <w:tr w14:paraId="27AA4D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2726" w:type="dxa"/>
                  <w:gridSpan w:val="2"/>
                  <w:tcBorders>
                    <w:tl2br w:val="nil"/>
                    <w:tr2bl w:val="nil"/>
                  </w:tcBorders>
                  <w:vAlign w:val="top"/>
                </w:tcPr>
                <w:p w14:paraId="46565C6A">
                  <w:pPr>
                    <w:keepNext w:val="0"/>
                    <w:keepLines w:val="0"/>
                    <w:suppressLineNumbers w:val="0"/>
                    <w:bidi w:val="0"/>
                    <w:spacing w:before="0" w:beforeAutospacing="0" w:after="0" w:afterAutospacing="0"/>
                    <w:ind w:left="0" w:right="0"/>
                    <w:rPr>
                      <w:rFonts w:hint="default"/>
                      <w:color w:val="auto"/>
                      <w:sz w:val="21"/>
                      <w:szCs w:val="20"/>
                      <w:highlight w:val="none"/>
                    </w:rPr>
                  </w:pPr>
                  <w:r>
                    <w:rPr>
                      <w:rFonts w:hint="default"/>
                      <w:color w:val="auto"/>
                      <w:sz w:val="21"/>
                      <w:szCs w:val="20"/>
                      <w:highlight w:val="none"/>
                    </w:rPr>
                    <w:t>厂家型号</w:t>
                  </w:r>
                </w:p>
              </w:tc>
              <w:tc>
                <w:tcPr>
                  <w:tcW w:w="6153" w:type="dxa"/>
                  <w:tcBorders>
                    <w:tl2br w:val="nil"/>
                    <w:tr2bl w:val="nil"/>
                  </w:tcBorders>
                  <w:vAlign w:val="top"/>
                </w:tcPr>
                <w:p w14:paraId="668AD058">
                  <w:pPr>
                    <w:keepNext w:val="0"/>
                    <w:keepLines w:val="0"/>
                    <w:suppressLineNumbers w:val="0"/>
                    <w:bidi w:val="0"/>
                    <w:spacing w:before="0" w:beforeAutospacing="0" w:after="0" w:afterAutospacing="0"/>
                    <w:ind w:left="0" w:right="0"/>
                    <w:jc w:val="center"/>
                    <w:rPr>
                      <w:rFonts w:hint="default"/>
                      <w:color w:val="auto"/>
                      <w:sz w:val="21"/>
                      <w:szCs w:val="20"/>
                      <w:highlight w:val="none"/>
                    </w:rPr>
                  </w:pPr>
                  <w:r>
                    <w:rPr>
                      <w:rFonts w:hint="default"/>
                      <w:color w:val="auto"/>
                      <w:sz w:val="21"/>
                      <w:szCs w:val="20"/>
                      <w:highlight w:val="none"/>
                    </w:rPr>
                    <w:t>HM- 10HC+</w:t>
                  </w:r>
                </w:p>
              </w:tc>
            </w:tr>
            <w:tr w14:paraId="091F7D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2726" w:type="dxa"/>
                  <w:gridSpan w:val="2"/>
                  <w:tcBorders>
                    <w:tl2br w:val="nil"/>
                    <w:tr2bl w:val="nil"/>
                  </w:tcBorders>
                  <w:vAlign w:val="top"/>
                </w:tcPr>
                <w:p w14:paraId="1F19F918">
                  <w:pPr>
                    <w:keepNext w:val="0"/>
                    <w:keepLines w:val="0"/>
                    <w:suppressLineNumbers w:val="0"/>
                    <w:bidi w:val="0"/>
                    <w:spacing w:before="0" w:beforeAutospacing="0" w:after="0" w:afterAutospacing="0"/>
                    <w:ind w:left="0" w:right="0"/>
                    <w:rPr>
                      <w:rFonts w:hint="default"/>
                      <w:color w:val="auto"/>
                      <w:sz w:val="21"/>
                      <w:szCs w:val="20"/>
                      <w:highlight w:val="none"/>
                    </w:rPr>
                  </w:pPr>
                  <w:r>
                    <w:rPr>
                      <w:rFonts w:hint="default"/>
                      <w:color w:val="auto"/>
                      <w:sz w:val="21"/>
                      <w:szCs w:val="20"/>
                      <w:highlight w:val="none"/>
                    </w:rPr>
                    <w:t>加速粒子</w:t>
                  </w:r>
                </w:p>
              </w:tc>
              <w:tc>
                <w:tcPr>
                  <w:tcW w:w="6153" w:type="dxa"/>
                  <w:tcBorders>
                    <w:tl2br w:val="nil"/>
                    <w:tr2bl w:val="nil"/>
                  </w:tcBorders>
                  <w:vAlign w:val="top"/>
                </w:tcPr>
                <w:p w14:paraId="3E9CD4FA">
                  <w:pPr>
                    <w:keepNext w:val="0"/>
                    <w:keepLines w:val="0"/>
                    <w:suppressLineNumbers w:val="0"/>
                    <w:bidi w:val="0"/>
                    <w:spacing w:before="0" w:beforeAutospacing="0" w:after="0" w:afterAutospacing="0"/>
                    <w:ind w:left="0" w:right="0"/>
                    <w:jc w:val="center"/>
                    <w:rPr>
                      <w:rFonts w:hint="default"/>
                      <w:color w:val="auto"/>
                      <w:sz w:val="21"/>
                      <w:szCs w:val="20"/>
                      <w:highlight w:val="none"/>
                    </w:rPr>
                  </w:pPr>
                  <w:r>
                    <w:rPr>
                      <w:rFonts w:hint="default"/>
                      <w:color w:val="auto"/>
                      <w:sz w:val="21"/>
                      <w:szCs w:val="20"/>
                      <w:highlight w:val="none"/>
                    </w:rPr>
                    <w:t>质子</w:t>
                  </w:r>
                </w:p>
              </w:tc>
            </w:tr>
            <w:tr w14:paraId="321DCD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2726" w:type="dxa"/>
                  <w:gridSpan w:val="2"/>
                  <w:tcBorders>
                    <w:tl2br w:val="nil"/>
                    <w:tr2bl w:val="nil"/>
                  </w:tcBorders>
                  <w:vAlign w:val="top"/>
                </w:tcPr>
                <w:p w14:paraId="2A57A8CC">
                  <w:pPr>
                    <w:keepNext w:val="0"/>
                    <w:keepLines w:val="0"/>
                    <w:suppressLineNumbers w:val="0"/>
                    <w:bidi w:val="0"/>
                    <w:spacing w:before="0" w:beforeAutospacing="0" w:after="0" w:afterAutospacing="0"/>
                    <w:ind w:left="0" w:right="0"/>
                    <w:rPr>
                      <w:rFonts w:hint="default"/>
                      <w:color w:val="auto"/>
                      <w:sz w:val="21"/>
                      <w:szCs w:val="20"/>
                      <w:highlight w:val="none"/>
                    </w:rPr>
                  </w:pPr>
                  <w:r>
                    <w:rPr>
                      <w:rFonts w:hint="default"/>
                      <w:color w:val="auto"/>
                      <w:sz w:val="21"/>
                      <w:szCs w:val="20"/>
                      <w:highlight w:val="none"/>
                    </w:rPr>
                    <w:t>加速质子最大能量</w:t>
                  </w:r>
                </w:p>
              </w:tc>
              <w:tc>
                <w:tcPr>
                  <w:tcW w:w="6153" w:type="dxa"/>
                  <w:tcBorders>
                    <w:tl2br w:val="nil"/>
                    <w:tr2bl w:val="nil"/>
                  </w:tcBorders>
                  <w:vAlign w:val="top"/>
                </w:tcPr>
                <w:p w14:paraId="0E566953">
                  <w:pPr>
                    <w:keepNext w:val="0"/>
                    <w:keepLines w:val="0"/>
                    <w:suppressLineNumbers w:val="0"/>
                    <w:bidi w:val="0"/>
                    <w:spacing w:before="0" w:beforeAutospacing="0" w:after="0" w:afterAutospacing="0"/>
                    <w:ind w:left="0" w:right="0"/>
                    <w:jc w:val="center"/>
                    <w:rPr>
                      <w:rFonts w:hint="default"/>
                      <w:color w:val="auto"/>
                      <w:sz w:val="21"/>
                      <w:szCs w:val="20"/>
                      <w:highlight w:val="none"/>
                    </w:rPr>
                  </w:pPr>
                  <w:r>
                    <w:rPr>
                      <w:rFonts w:hint="default"/>
                      <w:color w:val="auto"/>
                      <w:sz w:val="21"/>
                      <w:szCs w:val="20"/>
                      <w:highlight w:val="none"/>
                    </w:rPr>
                    <w:t>10MeV</w:t>
                  </w:r>
                </w:p>
              </w:tc>
            </w:tr>
            <w:tr w14:paraId="352620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2726" w:type="dxa"/>
                  <w:gridSpan w:val="2"/>
                  <w:tcBorders>
                    <w:tl2br w:val="nil"/>
                    <w:tr2bl w:val="nil"/>
                  </w:tcBorders>
                  <w:vAlign w:val="top"/>
                </w:tcPr>
                <w:p w14:paraId="5DB8124B">
                  <w:pPr>
                    <w:keepNext w:val="0"/>
                    <w:keepLines w:val="0"/>
                    <w:suppressLineNumbers w:val="0"/>
                    <w:bidi w:val="0"/>
                    <w:spacing w:before="0" w:beforeAutospacing="0" w:after="0" w:afterAutospacing="0"/>
                    <w:ind w:left="0" w:right="0"/>
                    <w:rPr>
                      <w:rFonts w:hint="default"/>
                      <w:color w:val="auto"/>
                      <w:sz w:val="21"/>
                      <w:szCs w:val="20"/>
                      <w:highlight w:val="none"/>
                    </w:rPr>
                  </w:pPr>
                  <w:r>
                    <w:rPr>
                      <w:rFonts w:hint="default"/>
                      <w:color w:val="auto"/>
                      <w:sz w:val="21"/>
                      <w:szCs w:val="20"/>
                      <w:highlight w:val="none"/>
                    </w:rPr>
                    <w:t>最大束流强度</w:t>
                  </w:r>
                </w:p>
              </w:tc>
              <w:tc>
                <w:tcPr>
                  <w:tcW w:w="6153" w:type="dxa"/>
                  <w:tcBorders>
                    <w:tl2br w:val="nil"/>
                    <w:tr2bl w:val="nil"/>
                  </w:tcBorders>
                  <w:vAlign w:val="top"/>
                </w:tcPr>
                <w:p w14:paraId="17E6586E">
                  <w:pPr>
                    <w:keepNext w:val="0"/>
                    <w:keepLines w:val="0"/>
                    <w:suppressLineNumbers w:val="0"/>
                    <w:bidi w:val="0"/>
                    <w:spacing w:before="0" w:beforeAutospacing="0" w:after="0" w:afterAutospacing="0"/>
                    <w:ind w:left="0" w:right="0"/>
                    <w:jc w:val="center"/>
                    <w:rPr>
                      <w:rFonts w:hint="default"/>
                      <w:color w:val="auto"/>
                      <w:sz w:val="21"/>
                      <w:szCs w:val="20"/>
                      <w:highlight w:val="none"/>
                    </w:rPr>
                  </w:pPr>
                  <w:r>
                    <w:rPr>
                      <w:rFonts w:hint="default"/>
                      <w:color w:val="auto"/>
                      <w:sz w:val="21"/>
                      <w:szCs w:val="20"/>
                      <w:highlight w:val="none"/>
                    </w:rPr>
                    <w:t>100μA</w:t>
                  </w:r>
                </w:p>
              </w:tc>
            </w:tr>
            <w:tr w14:paraId="52105E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39" w:type="dxa"/>
                  <w:vMerge w:val="restart"/>
                  <w:tcBorders>
                    <w:tl2br w:val="nil"/>
                    <w:tr2bl w:val="nil"/>
                  </w:tcBorders>
                  <w:vAlign w:val="center"/>
                </w:tcPr>
                <w:p w14:paraId="2AF9163C">
                  <w:pPr>
                    <w:keepNext w:val="0"/>
                    <w:keepLines w:val="0"/>
                    <w:suppressLineNumbers w:val="0"/>
                    <w:bidi w:val="0"/>
                    <w:spacing w:before="0" w:beforeAutospacing="0" w:after="0" w:afterAutospacing="0"/>
                    <w:ind w:left="0" w:right="0"/>
                    <w:jc w:val="center"/>
                    <w:rPr>
                      <w:rFonts w:hint="default"/>
                      <w:color w:val="auto"/>
                      <w:sz w:val="21"/>
                      <w:szCs w:val="20"/>
                      <w:highlight w:val="none"/>
                    </w:rPr>
                  </w:pPr>
                  <w:r>
                    <w:rPr>
                      <w:rFonts w:hint="default"/>
                      <w:color w:val="auto"/>
                      <w:sz w:val="21"/>
                      <w:szCs w:val="20"/>
                      <w:highlight w:val="none"/>
                    </w:rPr>
                    <w:t>生产药物</w:t>
                  </w:r>
                </w:p>
              </w:tc>
              <w:tc>
                <w:tcPr>
                  <w:tcW w:w="1487" w:type="dxa"/>
                  <w:tcBorders>
                    <w:tl2br w:val="nil"/>
                    <w:tr2bl w:val="nil"/>
                  </w:tcBorders>
                  <w:vAlign w:val="center"/>
                </w:tcPr>
                <w:p w14:paraId="6D078139">
                  <w:pPr>
                    <w:keepNext w:val="0"/>
                    <w:keepLines w:val="0"/>
                    <w:suppressLineNumbers w:val="0"/>
                    <w:bidi w:val="0"/>
                    <w:spacing w:before="0" w:beforeAutospacing="0" w:after="0" w:afterAutospacing="0"/>
                    <w:ind w:left="0" w:right="0"/>
                    <w:rPr>
                      <w:rFonts w:hint="eastAsia" w:eastAsia="宋体"/>
                      <w:color w:val="auto"/>
                      <w:sz w:val="21"/>
                      <w:szCs w:val="20"/>
                      <w:highlight w:val="none"/>
                      <w:lang w:val="en-US" w:eastAsia="zh-CN"/>
                    </w:rPr>
                  </w:pPr>
                  <w:r>
                    <w:rPr>
                      <w:rFonts w:hint="default"/>
                      <w:color w:val="auto"/>
                      <w:sz w:val="21"/>
                      <w:szCs w:val="20"/>
                      <w:highlight w:val="none"/>
                      <w:vertAlign w:val="baseline"/>
                    </w:rPr>
                    <w:t>F</w:t>
                  </w:r>
                  <w:r>
                    <w:rPr>
                      <w:rFonts w:hint="eastAsia"/>
                      <w:color w:val="auto"/>
                      <w:sz w:val="21"/>
                      <w:szCs w:val="20"/>
                      <w:highlight w:val="none"/>
                      <w:vertAlign w:val="baseline"/>
                      <w:lang w:val="en-US" w:eastAsia="zh-CN"/>
                    </w:rPr>
                    <w:t>-18</w:t>
                  </w:r>
                </w:p>
              </w:tc>
              <w:tc>
                <w:tcPr>
                  <w:tcW w:w="6153" w:type="dxa"/>
                  <w:tcBorders>
                    <w:tl2br w:val="nil"/>
                    <w:tr2bl w:val="nil"/>
                  </w:tcBorders>
                  <w:vAlign w:val="center"/>
                </w:tcPr>
                <w:p w14:paraId="1BB2DDFA">
                  <w:pPr>
                    <w:keepNext w:val="0"/>
                    <w:keepLines w:val="0"/>
                    <w:suppressLineNumbers w:val="0"/>
                    <w:bidi w:val="0"/>
                    <w:spacing w:before="0" w:beforeAutospacing="0" w:after="0" w:afterAutospacing="0"/>
                    <w:ind w:left="0" w:right="0"/>
                    <w:jc w:val="center"/>
                    <w:rPr>
                      <w:rFonts w:hint="eastAsia" w:eastAsia="宋体"/>
                      <w:color w:val="auto"/>
                      <w:sz w:val="21"/>
                      <w:szCs w:val="20"/>
                      <w:highlight w:val="none"/>
                      <w:lang w:eastAsia="zh-CN"/>
                    </w:rPr>
                  </w:pPr>
                  <w:r>
                    <w:rPr>
                      <w:rFonts w:hint="default"/>
                      <w:color w:val="auto"/>
                      <w:sz w:val="21"/>
                      <w:szCs w:val="20"/>
                      <w:highlight w:val="none"/>
                    </w:rPr>
                    <w:t>靶室材料：铌靶；靶物质：富集H</w:t>
                  </w:r>
                  <w:r>
                    <w:rPr>
                      <w:rFonts w:hint="default"/>
                      <w:color w:val="auto"/>
                      <w:sz w:val="21"/>
                      <w:szCs w:val="20"/>
                      <w:highlight w:val="none"/>
                      <w:vertAlign w:val="subscript"/>
                    </w:rPr>
                    <w:t>2</w:t>
                  </w:r>
                  <w:r>
                    <w:rPr>
                      <w:rFonts w:hint="default"/>
                      <w:color w:val="auto"/>
                      <w:sz w:val="21"/>
                      <w:szCs w:val="20"/>
                      <w:highlight w:val="none"/>
                      <w:vertAlign w:val="superscript"/>
                    </w:rPr>
                    <w:t>18</w:t>
                  </w:r>
                  <w:r>
                    <w:rPr>
                      <w:rFonts w:hint="default"/>
                      <w:color w:val="auto"/>
                      <w:sz w:val="21"/>
                      <w:szCs w:val="20"/>
                      <w:highlight w:val="none"/>
                    </w:rPr>
                    <w:t>O；核反应</w:t>
                  </w:r>
                  <w:r>
                    <w:rPr>
                      <w:rFonts w:hint="default"/>
                      <w:color w:val="auto"/>
                      <w:sz w:val="21"/>
                      <w:szCs w:val="20"/>
                      <w:highlight w:val="none"/>
                      <w:vertAlign w:val="superscript"/>
                    </w:rPr>
                    <w:t>18</w:t>
                  </w:r>
                  <w:r>
                    <w:rPr>
                      <w:rFonts w:hint="default"/>
                      <w:color w:val="auto"/>
                      <w:sz w:val="21"/>
                      <w:szCs w:val="20"/>
                      <w:highlight w:val="none"/>
                    </w:rPr>
                    <w:t>O（p，n）</w:t>
                  </w:r>
                  <w:r>
                    <w:rPr>
                      <w:rFonts w:hint="eastAsia"/>
                      <w:color w:val="auto"/>
                      <w:sz w:val="21"/>
                      <w:szCs w:val="20"/>
                      <w:highlight w:val="none"/>
                      <w:vertAlign w:val="baseline"/>
                      <w:lang w:eastAsia="zh-CN"/>
                    </w:rPr>
                    <w:t>F-18</w:t>
                  </w:r>
                </w:p>
              </w:tc>
            </w:tr>
            <w:tr w14:paraId="7BC0E3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39" w:type="dxa"/>
                  <w:vMerge w:val="continue"/>
                  <w:tcBorders>
                    <w:tl2br w:val="nil"/>
                    <w:tr2bl w:val="nil"/>
                  </w:tcBorders>
                  <w:vAlign w:val="center"/>
                </w:tcPr>
                <w:p w14:paraId="7C35EFA3">
                  <w:pPr>
                    <w:keepNext w:val="0"/>
                    <w:keepLines w:val="0"/>
                    <w:suppressLineNumbers w:val="0"/>
                    <w:bidi w:val="0"/>
                    <w:spacing w:before="0" w:beforeAutospacing="0" w:after="0" w:afterAutospacing="0"/>
                    <w:ind w:left="0" w:right="0"/>
                    <w:jc w:val="center"/>
                    <w:rPr>
                      <w:rFonts w:hint="default"/>
                      <w:color w:val="auto"/>
                      <w:sz w:val="21"/>
                      <w:szCs w:val="20"/>
                      <w:highlight w:val="none"/>
                    </w:rPr>
                  </w:pPr>
                </w:p>
              </w:tc>
              <w:tc>
                <w:tcPr>
                  <w:tcW w:w="1487" w:type="dxa"/>
                  <w:tcBorders>
                    <w:tl2br w:val="nil"/>
                    <w:tr2bl w:val="nil"/>
                  </w:tcBorders>
                  <w:shd w:val="clear" w:color="auto" w:fill="auto"/>
                  <w:vAlign w:val="center"/>
                </w:tcPr>
                <w:p w14:paraId="1320C39E">
                  <w:pPr>
                    <w:keepNext w:val="0"/>
                    <w:keepLines w:val="0"/>
                    <w:suppressLineNumbers w:val="0"/>
                    <w:bidi w:val="0"/>
                    <w:spacing w:before="0" w:beforeAutospacing="0" w:after="0" w:afterAutospacing="0"/>
                    <w:ind w:left="0" w:right="0"/>
                    <w:rPr>
                      <w:rFonts w:hint="eastAsia" w:eastAsia="宋体"/>
                      <w:color w:val="auto"/>
                      <w:sz w:val="21"/>
                      <w:szCs w:val="20"/>
                      <w:highlight w:val="none"/>
                      <w:lang w:val="en-US" w:eastAsia="zh-CN"/>
                    </w:rPr>
                  </w:pPr>
                  <w:r>
                    <w:rPr>
                      <w:rFonts w:hint="default"/>
                      <w:color w:val="auto"/>
                      <w:sz w:val="21"/>
                      <w:szCs w:val="20"/>
                      <w:highlight w:val="none"/>
                    </w:rPr>
                    <w:t>Ga</w:t>
                  </w:r>
                  <w:r>
                    <w:rPr>
                      <w:rFonts w:hint="eastAsia"/>
                      <w:color w:val="auto"/>
                      <w:sz w:val="21"/>
                      <w:szCs w:val="20"/>
                      <w:highlight w:val="none"/>
                      <w:lang w:val="en-US" w:eastAsia="zh-CN"/>
                    </w:rPr>
                    <w:t>-68</w:t>
                  </w:r>
                </w:p>
              </w:tc>
              <w:tc>
                <w:tcPr>
                  <w:tcW w:w="6153" w:type="dxa"/>
                  <w:tcBorders>
                    <w:tl2br w:val="nil"/>
                    <w:tr2bl w:val="nil"/>
                  </w:tcBorders>
                  <w:shd w:val="clear" w:color="auto" w:fill="auto"/>
                  <w:vAlign w:val="center"/>
                </w:tcPr>
                <w:p w14:paraId="1A03457D">
                  <w:pPr>
                    <w:keepNext w:val="0"/>
                    <w:keepLines w:val="0"/>
                    <w:suppressLineNumbers w:val="0"/>
                    <w:bidi w:val="0"/>
                    <w:spacing w:before="0" w:beforeAutospacing="0" w:after="0" w:afterAutospacing="0"/>
                    <w:ind w:left="0" w:right="0"/>
                    <w:jc w:val="center"/>
                    <w:rPr>
                      <w:rFonts w:hint="default"/>
                      <w:color w:val="auto"/>
                      <w:sz w:val="21"/>
                      <w:szCs w:val="20"/>
                      <w:highlight w:val="none"/>
                      <w:lang w:val="en-US" w:eastAsia="zh-CN"/>
                    </w:rPr>
                  </w:pPr>
                  <w:r>
                    <w:rPr>
                      <w:rFonts w:hint="default"/>
                      <w:color w:val="auto"/>
                      <w:sz w:val="21"/>
                      <w:szCs w:val="20"/>
                      <w:highlight w:val="none"/>
                    </w:rPr>
                    <w:t>靶室材料：锌靶；靶物质：纯金属 68Zn；核反应 68Zn(p，n)</w:t>
                  </w:r>
                  <w:r>
                    <w:rPr>
                      <w:rFonts w:hint="default"/>
                      <w:color w:val="auto"/>
                      <w:sz w:val="21"/>
                      <w:szCs w:val="20"/>
                      <w:highlight w:val="none"/>
                      <w:vertAlign w:val="superscript"/>
                    </w:rPr>
                    <w:t>68</w:t>
                  </w:r>
                  <w:r>
                    <w:rPr>
                      <w:rFonts w:hint="default"/>
                      <w:color w:val="auto"/>
                      <w:sz w:val="21"/>
                      <w:szCs w:val="20"/>
                      <w:highlight w:val="none"/>
                    </w:rPr>
                    <w:t>Ga</w:t>
                  </w:r>
                </w:p>
              </w:tc>
            </w:tr>
            <w:tr w14:paraId="62FBBB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39" w:type="dxa"/>
                  <w:vMerge w:val="continue"/>
                  <w:tcBorders>
                    <w:tl2br w:val="nil"/>
                    <w:tr2bl w:val="nil"/>
                  </w:tcBorders>
                  <w:vAlign w:val="center"/>
                </w:tcPr>
                <w:p w14:paraId="1C01097C">
                  <w:pPr>
                    <w:keepNext w:val="0"/>
                    <w:keepLines w:val="0"/>
                    <w:suppressLineNumbers w:val="0"/>
                    <w:bidi w:val="0"/>
                    <w:spacing w:before="0" w:beforeAutospacing="0" w:after="0" w:afterAutospacing="0"/>
                    <w:ind w:left="0" w:right="0"/>
                    <w:jc w:val="center"/>
                    <w:rPr>
                      <w:rFonts w:hint="default"/>
                      <w:color w:val="auto"/>
                      <w:sz w:val="21"/>
                      <w:szCs w:val="20"/>
                      <w:highlight w:val="none"/>
                    </w:rPr>
                  </w:pPr>
                </w:p>
              </w:tc>
              <w:tc>
                <w:tcPr>
                  <w:tcW w:w="1487" w:type="dxa"/>
                  <w:tcBorders>
                    <w:tl2br w:val="nil"/>
                    <w:tr2bl w:val="nil"/>
                  </w:tcBorders>
                  <w:shd w:val="clear" w:color="auto" w:fill="auto"/>
                  <w:vAlign w:val="center"/>
                </w:tcPr>
                <w:p w14:paraId="58A55C8D">
                  <w:pPr>
                    <w:keepNext w:val="0"/>
                    <w:keepLines w:val="0"/>
                    <w:suppressLineNumbers w:val="0"/>
                    <w:bidi w:val="0"/>
                    <w:spacing w:before="0" w:beforeAutospacing="0" w:after="0" w:afterAutospacing="0"/>
                    <w:ind w:left="0" w:right="0"/>
                    <w:rPr>
                      <w:rFonts w:hint="eastAsia" w:eastAsia="宋体"/>
                      <w:color w:val="auto"/>
                      <w:sz w:val="21"/>
                      <w:szCs w:val="20"/>
                      <w:highlight w:val="none"/>
                      <w:lang w:val="en-US" w:eastAsia="zh-CN"/>
                    </w:rPr>
                  </w:pPr>
                  <w:r>
                    <w:rPr>
                      <w:rFonts w:hint="default"/>
                      <w:color w:val="auto"/>
                      <w:sz w:val="21"/>
                      <w:szCs w:val="20"/>
                      <w:highlight w:val="none"/>
                    </w:rPr>
                    <w:t>C</w:t>
                  </w:r>
                  <w:r>
                    <w:rPr>
                      <w:rFonts w:hint="eastAsia"/>
                      <w:color w:val="auto"/>
                      <w:sz w:val="21"/>
                      <w:szCs w:val="20"/>
                      <w:highlight w:val="none"/>
                      <w:lang w:val="en-US" w:eastAsia="zh-CN"/>
                    </w:rPr>
                    <w:t>-11</w:t>
                  </w:r>
                </w:p>
              </w:tc>
              <w:tc>
                <w:tcPr>
                  <w:tcW w:w="6153" w:type="dxa"/>
                  <w:tcBorders>
                    <w:tl2br w:val="nil"/>
                    <w:tr2bl w:val="nil"/>
                  </w:tcBorders>
                  <w:shd w:val="clear" w:color="auto" w:fill="auto"/>
                  <w:vAlign w:val="center"/>
                </w:tcPr>
                <w:p w14:paraId="22392B78">
                  <w:pPr>
                    <w:keepNext w:val="0"/>
                    <w:keepLines w:val="0"/>
                    <w:suppressLineNumbers w:val="0"/>
                    <w:bidi w:val="0"/>
                    <w:spacing w:before="0" w:beforeAutospacing="0" w:after="0" w:afterAutospacing="0"/>
                    <w:ind w:left="0" w:right="0"/>
                    <w:jc w:val="center"/>
                    <w:rPr>
                      <w:rFonts w:hint="default"/>
                      <w:color w:val="auto"/>
                      <w:sz w:val="21"/>
                      <w:szCs w:val="20"/>
                      <w:highlight w:val="none"/>
                      <w:lang w:val="en-US" w:eastAsia="zh-CN"/>
                    </w:rPr>
                  </w:pPr>
                  <w:r>
                    <w:rPr>
                      <w:rFonts w:hint="default"/>
                      <w:color w:val="auto"/>
                      <w:sz w:val="21"/>
                      <w:szCs w:val="20"/>
                      <w:highlight w:val="none"/>
                    </w:rPr>
                    <w:t xml:space="preserve">靶室材料：铝靶；靶物质：氮氧混合气 ；核反应 </w:t>
                  </w:r>
                  <w:r>
                    <w:rPr>
                      <w:rFonts w:hint="default"/>
                      <w:color w:val="auto"/>
                      <w:sz w:val="21"/>
                      <w:szCs w:val="20"/>
                      <w:highlight w:val="none"/>
                      <w:vertAlign w:val="superscript"/>
                    </w:rPr>
                    <w:t>14</w:t>
                  </w:r>
                  <w:r>
                    <w:rPr>
                      <w:rFonts w:hint="default"/>
                      <w:color w:val="auto"/>
                      <w:sz w:val="21"/>
                      <w:szCs w:val="20"/>
                      <w:highlight w:val="none"/>
                    </w:rPr>
                    <w:t xml:space="preserve">N（p，α) </w:t>
                  </w:r>
                  <w:r>
                    <w:rPr>
                      <w:rFonts w:hint="default"/>
                      <w:color w:val="auto"/>
                      <w:sz w:val="21"/>
                      <w:szCs w:val="20"/>
                      <w:highlight w:val="none"/>
                      <w:vertAlign w:val="superscript"/>
                    </w:rPr>
                    <w:t>11</w:t>
                  </w:r>
                  <w:r>
                    <w:rPr>
                      <w:rFonts w:hint="default"/>
                      <w:color w:val="auto"/>
                      <w:sz w:val="21"/>
                      <w:szCs w:val="20"/>
                      <w:highlight w:val="none"/>
                    </w:rPr>
                    <w:t>C</w:t>
                  </w:r>
                </w:p>
              </w:tc>
            </w:tr>
            <w:tr w14:paraId="408ACE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39" w:type="dxa"/>
                  <w:vMerge w:val="continue"/>
                  <w:tcBorders>
                    <w:tl2br w:val="nil"/>
                    <w:tr2bl w:val="nil"/>
                  </w:tcBorders>
                  <w:vAlign w:val="center"/>
                </w:tcPr>
                <w:p w14:paraId="6F572CE4">
                  <w:pPr>
                    <w:keepNext w:val="0"/>
                    <w:keepLines w:val="0"/>
                    <w:suppressLineNumbers w:val="0"/>
                    <w:bidi w:val="0"/>
                    <w:spacing w:before="0" w:beforeAutospacing="0" w:after="0" w:afterAutospacing="0"/>
                    <w:ind w:left="0" w:right="0"/>
                    <w:jc w:val="center"/>
                    <w:rPr>
                      <w:rFonts w:hint="default"/>
                      <w:color w:val="auto"/>
                      <w:sz w:val="21"/>
                      <w:szCs w:val="20"/>
                      <w:highlight w:val="none"/>
                    </w:rPr>
                  </w:pPr>
                </w:p>
              </w:tc>
              <w:tc>
                <w:tcPr>
                  <w:tcW w:w="1487" w:type="dxa"/>
                  <w:tcBorders>
                    <w:tl2br w:val="nil"/>
                    <w:tr2bl w:val="nil"/>
                  </w:tcBorders>
                  <w:shd w:val="clear" w:color="auto" w:fill="auto"/>
                  <w:vAlign w:val="center"/>
                </w:tcPr>
                <w:p w14:paraId="274AA8C9">
                  <w:pPr>
                    <w:keepNext w:val="0"/>
                    <w:keepLines w:val="0"/>
                    <w:suppressLineNumbers w:val="0"/>
                    <w:bidi w:val="0"/>
                    <w:spacing w:before="0" w:beforeAutospacing="0" w:after="0" w:afterAutospacing="0"/>
                    <w:ind w:left="0" w:right="0"/>
                    <w:rPr>
                      <w:rFonts w:hint="eastAsia" w:eastAsia="宋体"/>
                      <w:color w:val="auto"/>
                      <w:sz w:val="21"/>
                      <w:szCs w:val="20"/>
                      <w:highlight w:val="none"/>
                      <w:lang w:val="en-US" w:eastAsia="zh-CN"/>
                    </w:rPr>
                  </w:pPr>
                  <w:r>
                    <w:rPr>
                      <w:rFonts w:hint="default"/>
                      <w:color w:val="auto"/>
                      <w:sz w:val="21"/>
                      <w:szCs w:val="20"/>
                      <w:highlight w:val="none"/>
                    </w:rPr>
                    <w:t>N</w:t>
                  </w:r>
                  <w:r>
                    <w:rPr>
                      <w:rFonts w:hint="eastAsia"/>
                      <w:color w:val="auto"/>
                      <w:sz w:val="21"/>
                      <w:szCs w:val="20"/>
                      <w:highlight w:val="none"/>
                      <w:lang w:val="en-US" w:eastAsia="zh-CN"/>
                    </w:rPr>
                    <w:t>-13</w:t>
                  </w:r>
                </w:p>
              </w:tc>
              <w:tc>
                <w:tcPr>
                  <w:tcW w:w="6153" w:type="dxa"/>
                  <w:tcBorders>
                    <w:tl2br w:val="nil"/>
                    <w:tr2bl w:val="nil"/>
                  </w:tcBorders>
                  <w:shd w:val="clear" w:color="auto" w:fill="auto"/>
                  <w:vAlign w:val="center"/>
                </w:tcPr>
                <w:p w14:paraId="123768FE">
                  <w:pPr>
                    <w:keepNext w:val="0"/>
                    <w:keepLines w:val="0"/>
                    <w:suppressLineNumbers w:val="0"/>
                    <w:bidi w:val="0"/>
                    <w:spacing w:before="0" w:beforeAutospacing="0" w:after="0" w:afterAutospacing="0"/>
                    <w:ind w:left="0" w:right="0"/>
                    <w:jc w:val="center"/>
                    <w:rPr>
                      <w:rFonts w:hint="default"/>
                      <w:color w:val="auto"/>
                      <w:sz w:val="21"/>
                      <w:szCs w:val="20"/>
                      <w:highlight w:val="none"/>
                      <w:lang w:val="en-US" w:eastAsia="zh-CN"/>
                    </w:rPr>
                  </w:pPr>
                  <w:r>
                    <w:rPr>
                      <w:rFonts w:hint="default"/>
                      <w:color w:val="auto"/>
                      <w:sz w:val="21"/>
                      <w:szCs w:val="20"/>
                      <w:highlight w:val="none"/>
                    </w:rPr>
                    <w:t>靶室材料：铌靶；靶物质：纯水；核反应</w:t>
                  </w:r>
                  <w:r>
                    <w:rPr>
                      <w:rFonts w:hint="default"/>
                      <w:color w:val="auto"/>
                      <w:sz w:val="21"/>
                      <w:szCs w:val="20"/>
                      <w:highlight w:val="none"/>
                      <w:vertAlign w:val="superscript"/>
                    </w:rPr>
                    <w:t>16</w:t>
                  </w:r>
                  <w:r>
                    <w:rPr>
                      <w:rFonts w:hint="default"/>
                      <w:color w:val="auto"/>
                      <w:sz w:val="21"/>
                      <w:szCs w:val="20"/>
                      <w:highlight w:val="none"/>
                    </w:rPr>
                    <w:t xml:space="preserve">O（p ，α) </w:t>
                  </w:r>
                  <w:r>
                    <w:rPr>
                      <w:rFonts w:hint="default"/>
                      <w:color w:val="auto"/>
                      <w:sz w:val="21"/>
                      <w:szCs w:val="20"/>
                      <w:highlight w:val="none"/>
                      <w:vertAlign w:val="superscript"/>
                    </w:rPr>
                    <w:t>13</w:t>
                  </w:r>
                  <w:r>
                    <w:rPr>
                      <w:rFonts w:hint="default"/>
                      <w:color w:val="auto"/>
                      <w:sz w:val="21"/>
                      <w:szCs w:val="20"/>
                      <w:highlight w:val="none"/>
                    </w:rPr>
                    <w:t>N</w:t>
                  </w:r>
                </w:p>
              </w:tc>
            </w:tr>
            <w:tr w14:paraId="5EE15E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39" w:type="dxa"/>
                  <w:vMerge w:val="restart"/>
                  <w:tcBorders>
                    <w:tl2br w:val="nil"/>
                    <w:tr2bl w:val="nil"/>
                  </w:tcBorders>
                  <w:vAlign w:val="center"/>
                </w:tcPr>
                <w:p w14:paraId="7474342C">
                  <w:pPr>
                    <w:keepNext w:val="0"/>
                    <w:keepLines w:val="0"/>
                    <w:suppressLineNumbers w:val="0"/>
                    <w:bidi w:val="0"/>
                    <w:spacing w:before="0" w:beforeAutospacing="0" w:after="0" w:afterAutospacing="0"/>
                    <w:ind w:left="0" w:right="0"/>
                    <w:jc w:val="center"/>
                    <w:rPr>
                      <w:rFonts w:hint="default"/>
                      <w:color w:val="auto"/>
                      <w:sz w:val="21"/>
                      <w:szCs w:val="20"/>
                      <w:highlight w:val="none"/>
                    </w:rPr>
                  </w:pPr>
                  <w:r>
                    <w:rPr>
                      <w:rFonts w:hint="default"/>
                      <w:color w:val="auto"/>
                      <w:sz w:val="21"/>
                      <w:szCs w:val="20"/>
                      <w:highlight w:val="none"/>
                    </w:rPr>
                    <w:t>生产能力</w:t>
                  </w:r>
                </w:p>
              </w:tc>
              <w:tc>
                <w:tcPr>
                  <w:tcW w:w="1487" w:type="dxa"/>
                  <w:tcBorders>
                    <w:tl2br w:val="nil"/>
                    <w:tr2bl w:val="nil"/>
                  </w:tcBorders>
                  <w:vAlign w:val="center"/>
                </w:tcPr>
                <w:p w14:paraId="148ED53C">
                  <w:pPr>
                    <w:keepNext w:val="0"/>
                    <w:keepLines w:val="0"/>
                    <w:suppressLineNumbers w:val="0"/>
                    <w:bidi w:val="0"/>
                    <w:spacing w:before="0" w:beforeAutospacing="0" w:after="0" w:afterAutospacing="0"/>
                    <w:ind w:left="0" w:right="0"/>
                    <w:rPr>
                      <w:rFonts w:hint="eastAsia" w:eastAsia="宋体"/>
                      <w:color w:val="auto"/>
                      <w:sz w:val="21"/>
                      <w:szCs w:val="20"/>
                      <w:highlight w:val="none"/>
                      <w:lang w:val="en-US" w:eastAsia="zh-CN"/>
                    </w:rPr>
                  </w:pPr>
                  <w:r>
                    <w:rPr>
                      <w:rFonts w:hint="default"/>
                      <w:color w:val="auto"/>
                      <w:sz w:val="21"/>
                      <w:szCs w:val="20"/>
                      <w:highlight w:val="none"/>
                      <w:vertAlign w:val="baseline"/>
                    </w:rPr>
                    <w:t>F</w:t>
                  </w:r>
                  <w:r>
                    <w:rPr>
                      <w:rFonts w:hint="eastAsia"/>
                      <w:color w:val="auto"/>
                      <w:sz w:val="21"/>
                      <w:szCs w:val="20"/>
                      <w:highlight w:val="none"/>
                      <w:vertAlign w:val="baseline"/>
                      <w:lang w:val="en-US" w:eastAsia="zh-CN"/>
                    </w:rPr>
                    <w:t>-18</w:t>
                  </w:r>
                </w:p>
              </w:tc>
              <w:tc>
                <w:tcPr>
                  <w:tcW w:w="6153" w:type="dxa"/>
                  <w:tcBorders>
                    <w:tl2br w:val="nil"/>
                    <w:tr2bl w:val="nil"/>
                  </w:tcBorders>
                  <w:vAlign w:val="center"/>
                </w:tcPr>
                <w:p w14:paraId="205A6E4D">
                  <w:pPr>
                    <w:keepNext w:val="0"/>
                    <w:keepLines w:val="0"/>
                    <w:suppressLineNumbers w:val="0"/>
                    <w:bidi w:val="0"/>
                    <w:spacing w:before="0" w:beforeAutospacing="0" w:after="0" w:afterAutospacing="0"/>
                    <w:ind w:left="0" w:right="0"/>
                    <w:jc w:val="center"/>
                    <w:rPr>
                      <w:rFonts w:hint="default"/>
                      <w:color w:val="auto"/>
                      <w:sz w:val="21"/>
                      <w:szCs w:val="20"/>
                      <w:highlight w:val="none"/>
                    </w:rPr>
                  </w:pPr>
                  <w:r>
                    <w:rPr>
                      <w:rFonts w:hint="default"/>
                      <w:color w:val="auto"/>
                      <w:sz w:val="21"/>
                      <w:szCs w:val="20"/>
                      <w:highlight w:val="none"/>
                    </w:rPr>
                    <w:t>生产能力最高 1.45Ci/30min（单靶 EOB）</w:t>
                  </w:r>
                </w:p>
              </w:tc>
            </w:tr>
            <w:tr w14:paraId="02B5D7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39" w:type="dxa"/>
                  <w:vMerge w:val="continue"/>
                  <w:tcBorders>
                    <w:tl2br w:val="nil"/>
                    <w:tr2bl w:val="nil"/>
                  </w:tcBorders>
                  <w:vAlign w:val="center"/>
                </w:tcPr>
                <w:p w14:paraId="05361431">
                  <w:pPr>
                    <w:keepNext w:val="0"/>
                    <w:keepLines w:val="0"/>
                    <w:suppressLineNumbers w:val="0"/>
                    <w:bidi w:val="0"/>
                    <w:spacing w:before="0" w:beforeAutospacing="0" w:after="0" w:afterAutospacing="0"/>
                    <w:ind w:left="0" w:right="0"/>
                    <w:rPr>
                      <w:rFonts w:hint="default"/>
                      <w:color w:val="auto"/>
                      <w:sz w:val="21"/>
                      <w:szCs w:val="20"/>
                      <w:highlight w:val="none"/>
                    </w:rPr>
                  </w:pPr>
                </w:p>
              </w:tc>
              <w:tc>
                <w:tcPr>
                  <w:tcW w:w="1487" w:type="dxa"/>
                  <w:tcBorders>
                    <w:tl2br w:val="nil"/>
                    <w:tr2bl w:val="nil"/>
                  </w:tcBorders>
                  <w:shd w:val="clear" w:color="auto" w:fill="auto"/>
                  <w:vAlign w:val="center"/>
                </w:tcPr>
                <w:p w14:paraId="4490D7C0">
                  <w:pPr>
                    <w:keepNext w:val="0"/>
                    <w:keepLines w:val="0"/>
                    <w:suppressLineNumbers w:val="0"/>
                    <w:bidi w:val="0"/>
                    <w:spacing w:before="0" w:beforeAutospacing="0" w:after="0" w:afterAutospacing="0"/>
                    <w:ind w:left="0" w:right="0"/>
                    <w:rPr>
                      <w:rFonts w:hint="eastAsia" w:eastAsia="宋体"/>
                      <w:color w:val="auto"/>
                      <w:sz w:val="21"/>
                      <w:szCs w:val="20"/>
                      <w:highlight w:val="none"/>
                      <w:lang w:val="en-US" w:eastAsia="zh-CN"/>
                    </w:rPr>
                  </w:pPr>
                  <w:r>
                    <w:rPr>
                      <w:rFonts w:hint="default"/>
                      <w:color w:val="auto"/>
                      <w:sz w:val="21"/>
                      <w:szCs w:val="20"/>
                      <w:highlight w:val="none"/>
                    </w:rPr>
                    <w:t>Ga</w:t>
                  </w:r>
                  <w:r>
                    <w:rPr>
                      <w:rFonts w:hint="eastAsia"/>
                      <w:color w:val="auto"/>
                      <w:sz w:val="21"/>
                      <w:szCs w:val="20"/>
                      <w:highlight w:val="none"/>
                      <w:lang w:val="en-US" w:eastAsia="zh-CN"/>
                    </w:rPr>
                    <w:t>-68</w:t>
                  </w:r>
                </w:p>
              </w:tc>
              <w:tc>
                <w:tcPr>
                  <w:tcW w:w="6153" w:type="dxa"/>
                  <w:tcBorders>
                    <w:tl2br w:val="nil"/>
                    <w:tr2bl w:val="nil"/>
                  </w:tcBorders>
                  <w:shd w:val="clear" w:color="auto" w:fill="auto"/>
                  <w:vAlign w:val="center"/>
                </w:tcPr>
                <w:p w14:paraId="5FB2F2CB">
                  <w:pPr>
                    <w:keepNext w:val="0"/>
                    <w:keepLines w:val="0"/>
                    <w:suppressLineNumbers w:val="0"/>
                    <w:bidi w:val="0"/>
                    <w:spacing w:before="0" w:beforeAutospacing="0" w:after="0" w:afterAutospacing="0"/>
                    <w:ind w:left="0" w:right="0"/>
                    <w:jc w:val="center"/>
                    <w:rPr>
                      <w:rFonts w:hint="default"/>
                      <w:color w:val="auto"/>
                      <w:sz w:val="21"/>
                      <w:szCs w:val="20"/>
                      <w:highlight w:val="none"/>
                      <w:lang w:val="en-US" w:eastAsia="zh-CN"/>
                    </w:rPr>
                  </w:pPr>
                  <w:r>
                    <w:rPr>
                      <w:rFonts w:hint="default"/>
                      <w:color w:val="auto"/>
                      <w:sz w:val="21"/>
                      <w:szCs w:val="20"/>
                      <w:highlight w:val="none"/>
                    </w:rPr>
                    <w:t>生产能力最高200mCi/30min（单靶EOB）</w:t>
                  </w:r>
                </w:p>
              </w:tc>
            </w:tr>
            <w:tr w14:paraId="396615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39" w:type="dxa"/>
                  <w:vMerge w:val="continue"/>
                  <w:tcBorders>
                    <w:tl2br w:val="nil"/>
                    <w:tr2bl w:val="nil"/>
                  </w:tcBorders>
                  <w:vAlign w:val="center"/>
                </w:tcPr>
                <w:p w14:paraId="321DF07E">
                  <w:pPr>
                    <w:keepNext w:val="0"/>
                    <w:keepLines w:val="0"/>
                    <w:suppressLineNumbers w:val="0"/>
                    <w:bidi w:val="0"/>
                    <w:spacing w:before="0" w:beforeAutospacing="0" w:after="0" w:afterAutospacing="0"/>
                    <w:ind w:left="0" w:right="0"/>
                    <w:rPr>
                      <w:rFonts w:hint="default"/>
                      <w:color w:val="auto"/>
                      <w:sz w:val="21"/>
                      <w:szCs w:val="20"/>
                      <w:highlight w:val="none"/>
                    </w:rPr>
                  </w:pPr>
                </w:p>
              </w:tc>
              <w:tc>
                <w:tcPr>
                  <w:tcW w:w="1487" w:type="dxa"/>
                  <w:tcBorders>
                    <w:tl2br w:val="nil"/>
                    <w:tr2bl w:val="nil"/>
                  </w:tcBorders>
                  <w:shd w:val="clear" w:color="auto" w:fill="auto"/>
                  <w:vAlign w:val="center"/>
                </w:tcPr>
                <w:p w14:paraId="146F2839">
                  <w:pPr>
                    <w:keepNext w:val="0"/>
                    <w:keepLines w:val="0"/>
                    <w:suppressLineNumbers w:val="0"/>
                    <w:bidi w:val="0"/>
                    <w:spacing w:before="0" w:beforeAutospacing="0" w:after="0" w:afterAutospacing="0"/>
                    <w:ind w:left="0" w:right="0"/>
                    <w:rPr>
                      <w:rFonts w:hint="eastAsia" w:eastAsia="宋体"/>
                      <w:color w:val="auto"/>
                      <w:sz w:val="21"/>
                      <w:szCs w:val="20"/>
                      <w:highlight w:val="none"/>
                      <w:lang w:val="en-US" w:eastAsia="zh-CN"/>
                    </w:rPr>
                  </w:pPr>
                  <w:r>
                    <w:rPr>
                      <w:rFonts w:hint="default"/>
                      <w:color w:val="auto"/>
                      <w:sz w:val="21"/>
                      <w:szCs w:val="20"/>
                      <w:highlight w:val="none"/>
                    </w:rPr>
                    <w:t>C</w:t>
                  </w:r>
                  <w:r>
                    <w:rPr>
                      <w:rFonts w:hint="eastAsia"/>
                      <w:color w:val="auto"/>
                      <w:sz w:val="21"/>
                      <w:szCs w:val="20"/>
                      <w:highlight w:val="none"/>
                      <w:lang w:val="en-US" w:eastAsia="zh-CN"/>
                    </w:rPr>
                    <w:t>-11</w:t>
                  </w:r>
                </w:p>
              </w:tc>
              <w:tc>
                <w:tcPr>
                  <w:tcW w:w="6153" w:type="dxa"/>
                  <w:tcBorders>
                    <w:tl2br w:val="nil"/>
                    <w:tr2bl w:val="nil"/>
                  </w:tcBorders>
                  <w:shd w:val="clear" w:color="auto" w:fill="auto"/>
                  <w:vAlign w:val="center"/>
                </w:tcPr>
                <w:p w14:paraId="6158D574">
                  <w:pPr>
                    <w:keepNext w:val="0"/>
                    <w:keepLines w:val="0"/>
                    <w:suppressLineNumbers w:val="0"/>
                    <w:bidi w:val="0"/>
                    <w:spacing w:before="0" w:beforeAutospacing="0" w:after="0" w:afterAutospacing="0"/>
                    <w:ind w:left="0" w:right="0"/>
                    <w:jc w:val="center"/>
                    <w:rPr>
                      <w:rFonts w:hint="default"/>
                      <w:color w:val="auto"/>
                      <w:sz w:val="21"/>
                      <w:szCs w:val="20"/>
                      <w:highlight w:val="none"/>
                      <w:lang w:val="en-US" w:eastAsia="zh-CN"/>
                    </w:rPr>
                  </w:pPr>
                  <w:r>
                    <w:rPr>
                      <w:rFonts w:hint="default"/>
                      <w:color w:val="auto"/>
                      <w:sz w:val="21"/>
                      <w:szCs w:val="20"/>
                      <w:highlight w:val="none"/>
                    </w:rPr>
                    <w:t>生产能力最高 1.32Ci/30min（单靶 EOB）</w:t>
                  </w:r>
                </w:p>
              </w:tc>
            </w:tr>
            <w:tr w14:paraId="2C86DC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1239" w:type="dxa"/>
                  <w:vMerge w:val="continue"/>
                  <w:tcBorders>
                    <w:tl2br w:val="nil"/>
                    <w:tr2bl w:val="nil"/>
                  </w:tcBorders>
                  <w:vAlign w:val="center"/>
                </w:tcPr>
                <w:p w14:paraId="57BF580C">
                  <w:pPr>
                    <w:keepNext w:val="0"/>
                    <w:keepLines w:val="0"/>
                    <w:suppressLineNumbers w:val="0"/>
                    <w:bidi w:val="0"/>
                    <w:spacing w:before="0" w:beforeAutospacing="0" w:after="0" w:afterAutospacing="0"/>
                    <w:ind w:left="0" w:right="0"/>
                    <w:rPr>
                      <w:rFonts w:hint="default"/>
                      <w:color w:val="auto"/>
                      <w:sz w:val="21"/>
                      <w:szCs w:val="20"/>
                      <w:highlight w:val="none"/>
                    </w:rPr>
                  </w:pPr>
                </w:p>
              </w:tc>
              <w:tc>
                <w:tcPr>
                  <w:tcW w:w="1487" w:type="dxa"/>
                  <w:tcBorders>
                    <w:tl2br w:val="nil"/>
                    <w:tr2bl w:val="nil"/>
                  </w:tcBorders>
                  <w:shd w:val="clear" w:color="auto" w:fill="auto"/>
                  <w:vAlign w:val="center"/>
                </w:tcPr>
                <w:p w14:paraId="35DE8D12">
                  <w:pPr>
                    <w:keepNext w:val="0"/>
                    <w:keepLines w:val="0"/>
                    <w:suppressLineNumbers w:val="0"/>
                    <w:bidi w:val="0"/>
                    <w:spacing w:before="0" w:beforeAutospacing="0" w:after="0" w:afterAutospacing="0"/>
                    <w:ind w:left="0" w:right="0"/>
                    <w:rPr>
                      <w:rFonts w:hint="eastAsia" w:eastAsia="宋体"/>
                      <w:color w:val="auto"/>
                      <w:sz w:val="21"/>
                      <w:szCs w:val="20"/>
                      <w:highlight w:val="none"/>
                      <w:lang w:val="en-US" w:eastAsia="zh-CN"/>
                    </w:rPr>
                  </w:pPr>
                  <w:r>
                    <w:rPr>
                      <w:rFonts w:hint="default"/>
                      <w:color w:val="auto"/>
                      <w:sz w:val="21"/>
                      <w:szCs w:val="20"/>
                      <w:highlight w:val="none"/>
                    </w:rPr>
                    <w:t>N</w:t>
                  </w:r>
                  <w:r>
                    <w:rPr>
                      <w:rFonts w:hint="eastAsia"/>
                      <w:color w:val="auto"/>
                      <w:sz w:val="21"/>
                      <w:szCs w:val="20"/>
                      <w:highlight w:val="none"/>
                      <w:lang w:val="en-US" w:eastAsia="zh-CN"/>
                    </w:rPr>
                    <w:t>-13</w:t>
                  </w:r>
                </w:p>
              </w:tc>
              <w:tc>
                <w:tcPr>
                  <w:tcW w:w="6153" w:type="dxa"/>
                  <w:tcBorders>
                    <w:tl2br w:val="nil"/>
                    <w:tr2bl w:val="nil"/>
                  </w:tcBorders>
                  <w:shd w:val="clear" w:color="auto" w:fill="auto"/>
                  <w:vAlign w:val="center"/>
                </w:tcPr>
                <w:p w14:paraId="1EFA9D36">
                  <w:pPr>
                    <w:keepNext w:val="0"/>
                    <w:keepLines w:val="0"/>
                    <w:suppressLineNumbers w:val="0"/>
                    <w:bidi w:val="0"/>
                    <w:spacing w:before="0" w:beforeAutospacing="0" w:after="0" w:afterAutospacing="0"/>
                    <w:ind w:left="0" w:right="0"/>
                    <w:jc w:val="center"/>
                    <w:rPr>
                      <w:rFonts w:hint="default"/>
                      <w:color w:val="auto"/>
                      <w:sz w:val="21"/>
                      <w:szCs w:val="20"/>
                      <w:highlight w:val="none"/>
                      <w:lang w:val="en-US" w:eastAsia="zh-CN"/>
                    </w:rPr>
                  </w:pPr>
                  <w:r>
                    <w:rPr>
                      <w:rFonts w:hint="default"/>
                      <w:color w:val="auto"/>
                      <w:sz w:val="21"/>
                      <w:szCs w:val="20"/>
                      <w:highlight w:val="none"/>
                    </w:rPr>
                    <w:t>生产能力最高 110mCi/10min（单靶 EOB）</w:t>
                  </w:r>
                </w:p>
              </w:tc>
            </w:tr>
          </w:tbl>
          <w:p w14:paraId="2DC28A39">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bidi="ar"/>
              </w:rPr>
            </w:pPr>
          </w:p>
          <w:p w14:paraId="624AFFAA">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eastAsia="宋体" w:cs="Times New Roman"/>
                <w:b/>
                <w:bCs w:val="0"/>
                <w:color w:val="auto"/>
                <w:kern w:val="0"/>
                <w:sz w:val="24"/>
                <w:szCs w:val="24"/>
                <w:highlight w:val="none"/>
                <w:lang w:val="en-US" w:eastAsia="zh-CN" w:bidi="ar"/>
              </w:rPr>
              <w:t>9.1.1.5  核素特性</w:t>
            </w:r>
          </w:p>
          <w:p w14:paraId="19A76787">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本项目回旋加速器拟生产核素的放射性属性参数见</w:t>
            </w:r>
            <w:r>
              <w:rPr>
                <w:rFonts w:hint="default" w:ascii="Times New Roman" w:hAnsi="Times New Roman" w:cs="Times New Roman"/>
                <w:b w:val="0"/>
                <w:bCs/>
                <w:color w:val="auto"/>
                <w:kern w:val="0"/>
                <w:sz w:val="24"/>
                <w:szCs w:val="24"/>
                <w:highlight w:val="none"/>
                <w:lang w:val="en-US" w:eastAsia="zh-CN" w:bidi="ar"/>
              </w:rPr>
              <w:t>表</w:t>
            </w:r>
            <w:r>
              <w:rPr>
                <w:rFonts w:hint="default" w:ascii="Times New Roman" w:hAnsi="Times New Roman" w:eastAsia="宋体" w:cs="Times New Roman"/>
                <w:b w:val="0"/>
                <w:bCs/>
                <w:color w:val="auto"/>
                <w:kern w:val="0"/>
                <w:sz w:val="24"/>
                <w:szCs w:val="24"/>
                <w:highlight w:val="none"/>
                <w:lang w:val="en-US" w:eastAsia="zh-CN" w:bidi="ar"/>
              </w:rPr>
              <w:t>9-</w:t>
            </w:r>
            <w:r>
              <w:rPr>
                <w:rFonts w:hint="eastAsia" w:cs="Times New Roman"/>
                <w:b w:val="0"/>
                <w:bCs/>
                <w:color w:val="auto"/>
                <w:kern w:val="0"/>
                <w:sz w:val="24"/>
                <w:szCs w:val="24"/>
                <w:highlight w:val="none"/>
                <w:lang w:val="en-US" w:eastAsia="zh-CN" w:bidi="ar"/>
              </w:rPr>
              <w:t>3</w:t>
            </w:r>
            <w:r>
              <w:rPr>
                <w:rFonts w:hint="default" w:ascii="Times New Roman" w:hAnsi="Times New Roman" w:eastAsia="宋体" w:cs="Times New Roman"/>
                <w:b w:val="0"/>
                <w:bCs/>
                <w:color w:val="auto"/>
                <w:kern w:val="0"/>
                <w:sz w:val="24"/>
                <w:szCs w:val="24"/>
                <w:highlight w:val="none"/>
                <w:lang w:val="en-US" w:eastAsia="zh-CN" w:bidi="ar"/>
              </w:rPr>
              <w:t>。</w:t>
            </w:r>
          </w:p>
          <w:p w14:paraId="479C7F64">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center"/>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cs="Times New Roman"/>
                <w:b/>
                <w:bCs w:val="0"/>
                <w:color w:val="auto"/>
                <w:kern w:val="0"/>
                <w:sz w:val="24"/>
                <w:szCs w:val="24"/>
                <w:highlight w:val="none"/>
                <w:lang w:val="en-US" w:eastAsia="zh-CN" w:bidi="ar"/>
              </w:rPr>
              <w:t>表</w:t>
            </w:r>
            <w:r>
              <w:rPr>
                <w:rFonts w:hint="default" w:ascii="Times New Roman" w:hAnsi="Times New Roman" w:eastAsia="宋体" w:cs="Times New Roman"/>
                <w:b/>
                <w:bCs w:val="0"/>
                <w:color w:val="auto"/>
                <w:kern w:val="0"/>
                <w:sz w:val="24"/>
                <w:szCs w:val="24"/>
                <w:highlight w:val="none"/>
                <w:lang w:val="en-US" w:eastAsia="zh-CN" w:bidi="ar"/>
              </w:rPr>
              <w:t>9-</w:t>
            </w:r>
            <w:r>
              <w:rPr>
                <w:rFonts w:hint="eastAsia" w:cs="Times New Roman"/>
                <w:b/>
                <w:bCs w:val="0"/>
                <w:color w:val="auto"/>
                <w:kern w:val="0"/>
                <w:sz w:val="24"/>
                <w:szCs w:val="24"/>
                <w:highlight w:val="none"/>
                <w:lang w:val="en-US" w:eastAsia="zh-CN" w:bidi="ar"/>
              </w:rPr>
              <w:t>3</w:t>
            </w:r>
            <w:r>
              <w:rPr>
                <w:rFonts w:hint="default" w:ascii="Times New Roman" w:hAnsi="Times New Roman" w:eastAsia="宋体" w:cs="Times New Roman"/>
                <w:b/>
                <w:bCs w:val="0"/>
                <w:color w:val="auto"/>
                <w:kern w:val="0"/>
                <w:sz w:val="24"/>
                <w:szCs w:val="24"/>
                <w:highlight w:val="none"/>
                <w:lang w:val="en-US" w:eastAsia="zh-CN" w:bidi="ar"/>
              </w:rPr>
              <w:t xml:space="preserve">  本项目回旋加速器生产核素</w:t>
            </w:r>
            <w:r>
              <w:rPr>
                <w:rFonts w:hint="default" w:ascii="Times New Roman" w:hAnsi="Times New Roman" w:cs="Times New Roman"/>
                <w:b/>
                <w:bCs w:val="0"/>
                <w:color w:val="auto"/>
                <w:kern w:val="0"/>
                <w:sz w:val="24"/>
                <w:szCs w:val="24"/>
                <w:highlight w:val="none"/>
                <w:lang w:val="en-US" w:eastAsia="zh-CN" w:bidi="ar"/>
              </w:rPr>
              <w:t>参数</w:t>
            </w:r>
          </w:p>
          <w:tbl>
            <w:tblPr>
              <w:tblStyle w:val="30"/>
              <w:tblW w:w="9038" w:type="dxa"/>
              <w:tblInd w:w="-1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598"/>
              <w:gridCol w:w="1488"/>
              <w:gridCol w:w="1488"/>
              <w:gridCol w:w="1120"/>
              <w:gridCol w:w="1391"/>
              <w:gridCol w:w="1953"/>
            </w:tblGrid>
            <w:tr w14:paraId="35F26F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1598" w:type="dxa"/>
                  <w:tcBorders>
                    <w:tl2br w:val="nil"/>
                    <w:tr2bl w:val="nil"/>
                  </w:tcBorders>
                  <w:shd w:val="clear" w:color="auto" w:fill="auto"/>
                  <w:vAlign w:val="top"/>
                </w:tcPr>
                <w:p w14:paraId="747BAA30">
                  <w:pPr>
                    <w:pStyle w:val="43"/>
                    <w:keepNext w:val="0"/>
                    <w:keepLines w:val="0"/>
                    <w:suppressLineNumbers w:val="0"/>
                    <w:spacing w:before="215" w:beforeAutospacing="0" w:after="0" w:afterAutospacing="0" w:line="228" w:lineRule="auto"/>
                    <w:ind w:left="382" w:leftChars="0" w:right="0"/>
                    <w:rPr>
                      <w:rFonts w:hint="default" w:ascii="Times New Roman" w:hAnsi="Times New Roman" w:eastAsia="Times New Roman" w:cs="Times New Roman"/>
                      <w:b w:val="0"/>
                      <w:bCs w:val="0"/>
                      <w:color w:val="auto"/>
                      <w:spacing w:val="2"/>
                      <w:position w:val="6"/>
                      <w:sz w:val="13"/>
                      <w:szCs w:val="13"/>
                      <w:highlight w:val="none"/>
                    </w:rPr>
                  </w:pPr>
                  <w:r>
                    <w:rPr>
                      <w:rFonts w:hint="default" w:ascii="Times New Roman" w:hAnsi="Times New Roman" w:cs="Times New Roman"/>
                      <w:b/>
                      <w:bCs/>
                      <w:color w:val="auto"/>
                      <w:spacing w:val="5"/>
                      <w:sz w:val="20"/>
                      <w:szCs w:val="20"/>
                      <w:highlight w:val="none"/>
                    </w:rPr>
                    <w:t>核素名称</w:t>
                  </w:r>
                </w:p>
              </w:tc>
              <w:tc>
                <w:tcPr>
                  <w:tcW w:w="1488" w:type="dxa"/>
                  <w:tcBorders>
                    <w:tl2br w:val="nil"/>
                    <w:tr2bl w:val="nil"/>
                  </w:tcBorders>
                  <w:shd w:val="clear" w:color="auto" w:fill="auto"/>
                  <w:vAlign w:val="top"/>
                </w:tcPr>
                <w:p w14:paraId="3506D80C">
                  <w:pPr>
                    <w:pStyle w:val="43"/>
                    <w:keepNext w:val="0"/>
                    <w:keepLines w:val="0"/>
                    <w:suppressLineNumbers w:val="0"/>
                    <w:spacing w:before="215" w:beforeAutospacing="0" w:after="0" w:afterAutospacing="0" w:line="228" w:lineRule="auto"/>
                    <w:ind w:left="591" w:leftChars="0" w:right="0"/>
                    <w:rPr>
                      <w:rFonts w:hint="default" w:ascii="Times New Roman" w:hAnsi="Times New Roman" w:cs="Times New Roman"/>
                      <w:b w:val="0"/>
                      <w:bCs w:val="0"/>
                      <w:color w:val="auto"/>
                      <w:spacing w:val="3"/>
                      <w:sz w:val="20"/>
                      <w:szCs w:val="20"/>
                      <w:highlight w:val="none"/>
                    </w:rPr>
                  </w:pPr>
                  <w:r>
                    <w:rPr>
                      <w:rFonts w:hint="default" w:ascii="Times New Roman" w:hAnsi="Times New Roman" w:cs="Times New Roman"/>
                      <w:b/>
                      <w:bCs/>
                      <w:color w:val="auto"/>
                      <w:spacing w:val="3"/>
                      <w:sz w:val="20"/>
                      <w:szCs w:val="20"/>
                      <w:highlight w:val="none"/>
                    </w:rPr>
                    <w:t>状态</w:t>
                  </w:r>
                </w:p>
              </w:tc>
              <w:tc>
                <w:tcPr>
                  <w:tcW w:w="1488" w:type="dxa"/>
                  <w:tcBorders>
                    <w:tl2br w:val="nil"/>
                    <w:tr2bl w:val="nil"/>
                  </w:tcBorders>
                  <w:shd w:val="clear" w:color="auto" w:fill="auto"/>
                  <w:vAlign w:val="top"/>
                </w:tcPr>
                <w:p w14:paraId="28137162">
                  <w:pPr>
                    <w:pStyle w:val="43"/>
                    <w:keepNext w:val="0"/>
                    <w:keepLines w:val="0"/>
                    <w:suppressLineNumbers w:val="0"/>
                    <w:spacing w:before="216" w:beforeAutospacing="0" w:after="0" w:afterAutospacing="0" w:line="228" w:lineRule="auto"/>
                    <w:ind w:left="491" w:leftChars="0" w:right="0"/>
                    <w:rPr>
                      <w:rFonts w:hint="default" w:ascii="Times New Roman" w:hAnsi="Times New Roman" w:eastAsia="Times New Roman" w:cs="Times New Roman"/>
                      <w:b w:val="0"/>
                      <w:bCs w:val="0"/>
                      <w:color w:val="auto"/>
                      <w:sz w:val="18"/>
                      <w:szCs w:val="18"/>
                      <w:highlight w:val="none"/>
                      <w:lang w:val="en-US" w:eastAsia="zh-CN" w:bidi="ar-SA"/>
                    </w:rPr>
                  </w:pPr>
                  <w:r>
                    <w:rPr>
                      <w:rFonts w:hint="default" w:ascii="Times New Roman" w:hAnsi="Times New Roman" w:cs="Times New Roman"/>
                      <w:b/>
                      <w:bCs/>
                      <w:color w:val="auto"/>
                      <w:spacing w:val="4"/>
                      <w:sz w:val="20"/>
                      <w:szCs w:val="20"/>
                      <w:highlight w:val="none"/>
                    </w:rPr>
                    <w:t>半衰期</w:t>
                  </w:r>
                </w:p>
              </w:tc>
              <w:tc>
                <w:tcPr>
                  <w:tcW w:w="1120" w:type="dxa"/>
                  <w:tcBorders>
                    <w:tl2br w:val="nil"/>
                    <w:tr2bl w:val="nil"/>
                  </w:tcBorders>
                  <w:vAlign w:val="top"/>
                </w:tcPr>
                <w:p w14:paraId="74A3BDC6">
                  <w:pPr>
                    <w:pStyle w:val="43"/>
                    <w:keepNext w:val="0"/>
                    <w:keepLines w:val="0"/>
                    <w:suppressLineNumbers w:val="0"/>
                    <w:spacing w:before="215" w:beforeAutospacing="0" w:after="0" w:afterAutospacing="0" w:line="228" w:lineRule="auto"/>
                    <w:ind w:left="0" w:right="0"/>
                    <w:rPr>
                      <w:rFonts w:hint="default" w:ascii="Times New Roman" w:hAnsi="Times New Roman" w:cs="Times New Roman"/>
                      <w:b w:val="0"/>
                      <w:bCs w:val="0"/>
                      <w:color w:val="auto"/>
                      <w:sz w:val="20"/>
                      <w:szCs w:val="20"/>
                      <w:highlight w:val="none"/>
                    </w:rPr>
                  </w:pPr>
                  <w:r>
                    <w:rPr>
                      <w:rFonts w:hint="default" w:ascii="Times New Roman" w:hAnsi="Times New Roman" w:cs="Times New Roman"/>
                      <w:b/>
                      <w:bCs/>
                      <w:color w:val="auto"/>
                      <w:spacing w:val="6"/>
                      <w:sz w:val="20"/>
                      <w:szCs w:val="20"/>
                      <w:highlight w:val="none"/>
                    </w:rPr>
                    <w:t>毒性级别</w:t>
                  </w:r>
                </w:p>
              </w:tc>
              <w:tc>
                <w:tcPr>
                  <w:tcW w:w="1391" w:type="dxa"/>
                  <w:tcBorders>
                    <w:tl2br w:val="nil"/>
                    <w:tr2bl w:val="nil"/>
                  </w:tcBorders>
                  <w:vAlign w:val="top"/>
                </w:tcPr>
                <w:p w14:paraId="37300F1A">
                  <w:pPr>
                    <w:pStyle w:val="43"/>
                    <w:keepNext w:val="0"/>
                    <w:keepLines w:val="0"/>
                    <w:suppressLineNumbers w:val="0"/>
                    <w:spacing w:before="216" w:beforeAutospacing="0" w:after="0" w:afterAutospacing="0" w:line="228" w:lineRule="auto"/>
                    <w:ind w:left="385" w:leftChars="0" w:right="0"/>
                    <w:rPr>
                      <w:rFonts w:hint="default" w:ascii="Times New Roman" w:hAnsi="Times New Roman" w:eastAsia="Times New Roman" w:cs="Times New Roman"/>
                      <w:b w:val="0"/>
                      <w:bCs w:val="0"/>
                      <w:color w:val="auto"/>
                      <w:sz w:val="21"/>
                      <w:szCs w:val="21"/>
                      <w:highlight w:val="none"/>
                    </w:rPr>
                  </w:pPr>
                  <w:r>
                    <w:rPr>
                      <w:rFonts w:hint="default" w:ascii="Times New Roman" w:hAnsi="Times New Roman" w:cs="Times New Roman"/>
                      <w:b/>
                      <w:bCs/>
                      <w:color w:val="auto"/>
                      <w:spacing w:val="6"/>
                      <w:sz w:val="20"/>
                      <w:szCs w:val="20"/>
                      <w:highlight w:val="none"/>
                    </w:rPr>
                    <w:t>衰变方式</w:t>
                  </w:r>
                </w:p>
              </w:tc>
              <w:tc>
                <w:tcPr>
                  <w:tcW w:w="1953" w:type="dxa"/>
                  <w:tcBorders>
                    <w:tl2br w:val="nil"/>
                    <w:tr2bl w:val="nil"/>
                  </w:tcBorders>
                  <w:vAlign w:val="top"/>
                </w:tcPr>
                <w:p w14:paraId="1F7EA52B">
                  <w:pPr>
                    <w:pStyle w:val="43"/>
                    <w:keepNext w:val="0"/>
                    <w:keepLines w:val="0"/>
                    <w:suppressLineNumbers w:val="0"/>
                    <w:spacing w:before="58" w:beforeAutospacing="0" w:after="0" w:afterAutospacing="0" w:line="228" w:lineRule="auto"/>
                    <w:ind w:left="176" w:right="0"/>
                    <w:rPr>
                      <w:rFonts w:hint="default" w:ascii="Times New Roman" w:hAnsi="Times New Roman" w:cs="Times New Roman"/>
                      <w:color w:val="auto"/>
                      <w:sz w:val="20"/>
                      <w:szCs w:val="20"/>
                      <w:highlight w:val="none"/>
                    </w:rPr>
                  </w:pPr>
                  <w:r>
                    <w:rPr>
                      <w:rFonts w:hint="default" w:ascii="Times New Roman" w:hAnsi="Times New Roman" w:cs="Times New Roman"/>
                      <w:b/>
                      <w:bCs/>
                      <w:color w:val="auto"/>
                      <w:spacing w:val="6"/>
                      <w:sz w:val="20"/>
                      <w:szCs w:val="20"/>
                      <w:highlight w:val="none"/>
                    </w:rPr>
                    <w:t>主要射线能量</w:t>
                  </w:r>
                </w:p>
                <w:p w14:paraId="758CF53B">
                  <w:pPr>
                    <w:pStyle w:val="43"/>
                    <w:keepNext w:val="0"/>
                    <w:keepLines w:val="0"/>
                    <w:suppressLineNumbers w:val="0"/>
                    <w:spacing w:before="72" w:beforeAutospacing="0" w:after="0" w:afterAutospacing="0" w:line="236" w:lineRule="auto"/>
                    <w:ind w:left="384" w:leftChars="0" w:right="0"/>
                    <w:rPr>
                      <w:rFonts w:hint="default" w:ascii="Times New Roman" w:hAnsi="Times New Roman" w:eastAsia="Times New Roman" w:cs="Times New Roman"/>
                      <w:b w:val="0"/>
                      <w:bCs w:val="0"/>
                      <w:color w:val="auto"/>
                      <w:sz w:val="20"/>
                      <w:szCs w:val="20"/>
                      <w:highlight w:val="none"/>
                    </w:rPr>
                  </w:pPr>
                  <w:r>
                    <w:rPr>
                      <w:rFonts w:hint="default" w:ascii="Times New Roman" w:hAnsi="Times New Roman" w:cs="Times New Roman"/>
                      <w:b/>
                      <w:bCs/>
                      <w:color w:val="auto"/>
                      <w:spacing w:val="2"/>
                      <w:sz w:val="20"/>
                      <w:szCs w:val="20"/>
                      <w:highlight w:val="none"/>
                    </w:rPr>
                    <w:t>（</w:t>
                  </w:r>
                  <w:r>
                    <w:rPr>
                      <w:rFonts w:hint="default" w:ascii="Times New Roman" w:hAnsi="Times New Roman" w:eastAsia="Times New Roman" w:cs="Times New Roman"/>
                      <w:b/>
                      <w:bCs/>
                      <w:color w:val="auto"/>
                      <w:sz w:val="20"/>
                      <w:szCs w:val="20"/>
                      <w:highlight w:val="none"/>
                    </w:rPr>
                    <w:t>MeV</w:t>
                  </w:r>
                  <w:r>
                    <w:rPr>
                      <w:rFonts w:hint="default" w:ascii="Times New Roman" w:hAnsi="Times New Roman" w:cs="Times New Roman"/>
                      <w:b/>
                      <w:bCs/>
                      <w:color w:val="auto"/>
                      <w:spacing w:val="2"/>
                      <w:sz w:val="20"/>
                      <w:szCs w:val="20"/>
                      <w:highlight w:val="none"/>
                    </w:rPr>
                    <w:t>）</w:t>
                  </w:r>
                </w:p>
              </w:tc>
            </w:tr>
            <w:tr w14:paraId="5EF0B2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5" w:hRule="atLeast"/>
              </w:trPr>
              <w:tc>
                <w:tcPr>
                  <w:tcW w:w="1598" w:type="dxa"/>
                  <w:tcBorders>
                    <w:tl2br w:val="nil"/>
                    <w:tr2bl w:val="nil"/>
                  </w:tcBorders>
                  <w:shd w:val="clear" w:color="auto" w:fill="auto"/>
                  <w:vAlign w:val="top"/>
                </w:tcPr>
                <w:p w14:paraId="47785202">
                  <w:pPr>
                    <w:pStyle w:val="43"/>
                    <w:keepNext w:val="0"/>
                    <w:keepLines w:val="0"/>
                    <w:suppressLineNumbers w:val="0"/>
                    <w:spacing w:before="124" w:beforeAutospacing="0" w:after="0" w:afterAutospacing="0" w:line="228" w:lineRule="auto"/>
                    <w:ind w:left="368" w:leftChars="0" w:right="0"/>
                    <w:rPr>
                      <w:rFonts w:hint="default" w:ascii="Times New Roman" w:hAnsi="Times New Roman" w:eastAsia="宋体" w:cs="Times New Roman"/>
                      <w:b w:val="0"/>
                      <w:bCs w:val="0"/>
                      <w:color w:val="auto"/>
                      <w:sz w:val="20"/>
                      <w:szCs w:val="20"/>
                      <w:highlight w:val="none"/>
                      <w:lang w:val="en-US" w:eastAsia="zh-CN" w:bidi="ar-SA"/>
                    </w:rPr>
                  </w:pPr>
                  <w:r>
                    <w:rPr>
                      <w:rFonts w:hint="eastAsia" w:ascii="Times New Roman" w:hAnsi="Times New Roman" w:eastAsia="宋体" w:cs="Times New Roman"/>
                      <w:b w:val="0"/>
                      <w:bCs w:val="0"/>
                      <w:color w:val="auto"/>
                      <w:spacing w:val="2"/>
                      <w:position w:val="6"/>
                      <w:sz w:val="13"/>
                      <w:szCs w:val="13"/>
                      <w:highlight w:val="none"/>
                      <w:vertAlign w:val="baseline"/>
                      <w:lang w:eastAsia="zh-CN"/>
                    </w:rPr>
                    <w:t>F-18</w:t>
                  </w:r>
                  <w:r>
                    <w:rPr>
                      <w:rFonts w:hint="default" w:ascii="Times New Roman" w:hAnsi="Times New Roman" w:cs="Times New Roman"/>
                      <w:b w:val="0"/>
                      <w:bCs w:val="0"/>
                      <w:color w:val="auto"/>
                      <w:spacing w:val="2"/>
                      <w:sz w:val="20"/>
                      <w:szCs w:val="20"/>
                      <w:highlight w:val="none"/>
                    </w:rPr>
                    <w:t>（氟）</w:t>
                  </w:r>
                </w:p>
              </w:tc>
              <w:tc>
                <w:tcPr>
                  <w:tcW w:w="1488" w:type="dxa"/>
                  <w:tcBorders>
                    <w:tl2br w:val="nil"/>
                    <w:tr2bl w:val="nil"/>
                  </w:tcBorders>
                  <w:shd w:val="clear" w:color="auto" w:fill="auto"/>
                  <w:vAlign w:val="top"/>
                </w:tcPr>
                <w:p w14:paraId="6C3B0A4B">
                  <w:pPr>
                    <w:pStyle w:val="43"/>
                    <w:keepNext w:val="0"/>
                    <w:keepLines w:val="0"/>
                    <w:suppressLineNumbers w:val="0"/>
                    <w:spacing w:before="125" w:beforeAutospacing="0" w:after="0" w:afterAutospacing="0" w:line="228" w:lineRule="auto"/>
                    <w:ind w:left="592" w:leftChars="0" w:right="0"/>
                    <w:rPr>
                      <w:rFonts w:hint="default" w:ascii="Times New Roman" w:hAnsi="Times New Roman" w:eastAsia="宋体" w:cs="Times New Roman"/>
                      <w:b w:val="0"/>
                      <w:bCs w:val="0"/>
                      <w:color w:val="auto"/>
                      <w:sz w:val="20"/>
                      <w:szCs w:val="20"/>
                      <w:highlight w:val="none"/>
                      <w:lang w:val="en-US" w:eastAsia="zh-CN" w:bidi="ar-SA"/>
                    </w:rPr>
                  </w:pPr>
                  <w:r>
                    <w:rPr>
                      <w:rFonts w:hint="default" w:ascii="Times New Roman" w:hAnsi="Times New Roman" w:cs="Times New Roman"/>
                      <w:b w:val="0"/>
                      <w:bCs w:val="0"/>
                      <w:color w:val="auto"/>
                      <w:spacing w:val="3"/>
                      <w:sz w:val="20"/>
                      <w:szCs w:val="20"/>
                      <w:highlight w:val="none"/>
                    </w:rPr>
                    <w:t>液态</w:t>
                  </w:r>
                </w:p>
              </w:tc>
              <w:tc>
                <w:tcPr>
                  <w:tcW w:w="1488" w:type="dxa"/>
                  <w:tcBorders>
                    <w:tl2br w:val="nil"/>
                    <w:tr2bl w:val="nil"/>
                  </w:tcBorders>
                  <w:shd w:val="clear" w:color="auto" w:fill="auto"/>
                  <w:vAlign w:val="top"/>
                </w:tcPr>
                <w:p w14:paraId="2C931CF5">
                  <w:pPr>
                    <w:keepNext w:val="0"/>
                    <w:keepLines w:val="0"/>
                    <w:suppressLineNumbers w:val="0"/>
                    <w:spacing w:before="157" w:beforeAutospacing="0" w:after="0" w:afterAutospacing="0" w:line="199" w:lineRule="auto"/>
                    <w:ind w:left="420" w:right="0"/>
                    <w:rPr>
                      <w:rFonts w:hint="default" w:ascii="Times New Roman" w:hAnsi="Times New Roman" w:eastAsia="Times New Roman" w:cs="Times New Roman"/>
                      <w:b w:val="0"/>
                      <w:bCs w:val="0"/>
                      <w:color w:val="auto"/>
                      <w:sz w:val="20"/>
                      <w:szCs w:val="20"/>
                      <w:highlight w:val="none"/>
                    </w:rPr>
                  </w:pPr>
                  <w:r>
                    <w:rPr>
                      <w:rFonts w:hint="default" w:ascii="Times New Roman" w:hAnsi="Times New Roman" w:eastAsia="Times New Roman" w:cs="Times New Roman"/>
                      <w:b w:val="0"/>
                      <w:bCs w:val="0"/>
                      <w:color w:val="auto"/>
                      <w:spacing w:val="2"/>
                      <w:sz w:val="20"/>
                      <w:szCs w:val="20"/>
                      <w:highlight w:val="none"/>
                    </w:rPr>
                    <w:t>109.8</w:t>
                  </w:r>
                  <w:r>
                    <w:rPr>
                      <w:rFonts w:hint="default" w:ascii="Times New Roman" w:hAnsi="Times New Roman" w:eastAsia="Times New Roman" w:cs="Times New Roman"/>
                      <w:b w:val="0"/>
                      <w:bCs w:val="0"/>
                      <w:color w:val="auto"/>
                      <w:sz w:val="20"/>
                      <w:szCs w:val="20"/>
                      <w:highlight w:val="none"/>
                    </w:rPr>
                    <w:t>min</w:t>
                  </w:r>
                </w:p>
                <w:p w14:paraId="1118B30C">
                  <w:pPr>
                    <w:keepNext w:val="0"/>
                    <w:keepLines w:val="0"/>
                    <w:suppressLineNumbers w:val="0"/>
                    <w:spacing w:before="231" w:beforeAutospacing="0" w:after="0" w:afterAutospacing="0" w:line="109" w:lineRule="exact"/>
                    <w:ind w:left="0" w:right="0"/>
                    <w:jc w:val="right"/>
                    <w:rPr>
                      <w:rFonts w:hint="default" w:ascii="Times New Roman" w:hAnsi="Times New Roman" w:eastAsia="Times New Roman" w:cs="Times New Roman"/>
                      <w:b w:val="0"/>
                      <w:bCs w:val="0"/>
                      <w:color w:val="auto"/>
                      <w:sz w:val="18"/>
                      <w:szCs w:val="18"/>
                      <w:highlight w:val="none"/>
                      <w:lang w:val="en-US" w:eastAsia="zh-CN" w:bidi="ar-SA"/>
                    </w:rPr>
                  </w:pPr>
                </w:p>
              </w:tc>
              <w:tc>
                <w:tcPr>
                  <w:tcW w:w="1120" w:type="dxa"/>
                  <w:tcBorders>
                    <w:tl2br w:val="nil"/>
                    <w:tr2bl w:val="nil"/>
                  </w:tcBorders>
                  <w:vAlign w:val="top"/>
                </w:tcPr>
                <w:p w14:paraId="4816A8D9">
                  <w:pPr>
                    <w:pStyle w:val="43"/>
                    <w:keepNext w:val="0"/>
                    <w:keepLines w:val="0"/>
                    <w:suppressLineNumbers w:val="0"/>
                    <w:spacing w:before="215" w:beforeAutospacing="0" w:after="0" w:afterAutospacing="0" w:line="228" w:lineRule="auto"/>
                    <w:ind w:left="0" w:right="0"/>
                    <w:rPr>
                      <w:rFonts w:hint="default" w:ascii="Times New Roman" w:hAnsi="Times New Roman" w:cs="Times New Roman"/>
                      <w:b w:val="0"/>
                      <w:bCs w:val="0"/>
                      <w:color w:val="auto"/>
                      <w:sz w:val="20"/>
                      <w:szCs w:val="20"/>
                      <w:highlight w:val="none"/>
                    </w:rPr>
                  </w:pPr>
                  <w:r>
                    <w:rPr>
                      <w:rFonts w:hint="default" w:ascii="Times New Roman" w:hAnsi="Times New Roman" w:cs="Times New Roman"/>
                      <w:b w:val="0"/>
                      <w:bCs w:val="0"/>
                      <w:color w:val="auto"/>
                      <w:sz w:val="20"/>
                      <w:szCs w:val="20"/>
                      <w:highlight w:val="none"/>
                    </w:rPr>
                    <w:t>低毒</w:t>
                  </w:r>
                </w:p>
              </w:tc>
              <w:tc>
                <w:tcPr>
                  <w:tcW w:w="1391" w:type="dxa"/>
                  <w:tcBorders>
                    <w:tl2br w:val="nil"/>
                    <w:tr2bl w:val="nil"/>
                  </w:tcBorders>
                  <w:vAlign w:val="top"/>
                </w:tcPr>
                <w:p w14:paraId="4876C028">
                  <w:pPr>
                    <w:pStyle w:val="43"/>
                    <w:keepNext w:val="0"/>
                    <w:keepLines w:val="0"/>
                    <w:suppressLineNumbers w:val="0"/>
                    <w:spacing w:before="242" w:beforeAutospacing="0" w:after="0" w:afterAutospacing="0" w:line="196" w:lineRule="auto"/>
                    <w:ind w:left="472" w:right="0"/>
                    <w:rPr>
                      <w:rFonts w:hint="default" w:ascii="Times New Roman" w:hAnsi="Times New Roman" w:eastAsia="Times New Roman" w:cs="Times New Roman"/>
                      <w:b w:val="0"/>
                      <w:bCs w:val="0"/>
                      <w:color w:val="auto"/>
                      <w:sz w:val="13"/>
                      <w:szCs w:val="13"/>
                      <w:highlight w:val="none"/>
                    </w:rPr>
                  </w:pPr>
                  <w:r>
                    <w:rPr>
                      <w:rFonts w:hint="default" w:ascii="Times New Roman" w:hAnsi="Times New Roman" w:eastAsia="Times New Roman" w:cs="Times New Roman"/>
                      <w:b w:val="0"/>
                      <w:bCs w:val="0"/>
                      <w:color w:val="auto"/>
                      <w:sz w:val="21"/>
                      <w:szCs w:val="21"/>
                      <w:highlight w:val="none"/>
                    </w:rPr>
                    <w:t>EC 、β+</w:t>
                  </w:r>
                </w:p>
              </w:tc>
              <w:tc>
                <w:tcPr>
                  <w:tcW w:w="1953" w:type="dxa"/>
                  <w:tcBorders>
                    <w:tl2br w:val="nil"/>
                    <w:tr2bl w:val="nil"/>
                  </w:tcBorders>
                  <w:vAlign w:val="top"/>
                </w:tcPr>
                <w:p w14:paraId="7BCD7024">
                  <w:pPr>
                    <w:pStyle w:val="43"/>
                    <w:keepNext w:val="0"/>
                    <w:keepLines w:val="0"/>
                    <w:suppressLineNumbers w:val="0"/>
                    <w:spacing w:before="54" w:beforeAutospacing="0" w:after="0" w:afterAutospacing="0" w:line="267" w:lineRule="auto"/>
                    <w:ind w:left="377" w:right="360" w:firstLine="36"/>
                    <w:rPr>
                      <w:rFonts w:hint="default" w:ascii="Times New Roman" w:hAnsi="Times New Roman" w:eastAsia="Times New Roman" w:cs="Times New Roman"/>
                      <w:b w:val="0"/>
                      <w:bCs w:val="0"/>
                      <w:color w:val="auto"/>
                      <w:sz w:val="20"/>
                      <w:szCs w:val="20"/>
                      <w:highlight w:val="none"/>
                    </w:rPr>
                  </w:pPr>
                  <w:r>
                    <w:rPr>
                      <w:rFonts w:hint="default" w:ascii="Times New Roman" w:hAnsi="Times New Roman" w:eastAsia="Times New Roman" w:cs="Times New Roman"/>
                      <w:b w:val="0"/>
                      <w:bCs w:val="0"/>
                      <w:color w:val="auto"/>
                      <w:sz w:val="20"/>
                      <w:szCs w:val="20"/>
                      <w:highlight w:val="none"/>
                    </w:rPr>
                    <w:t>γ：0.511</w:t>
                  </w:r>
                </w:p>
                <w:p w14:paraId="448714BF">
                  <w:pPr>
                    <w:pStyle w:val="43"/>
                    <w:keepNext w:val="0"/>
                    <w:keepLines w:val="0"/>
                    <w:suppressLineNumbers w:val="0"/>
                    <w:spacing w:before="54" w:beforeAutospacing="0" w:after="0" w:afterAutospacing="0" w:line="267" w:lineRule="auto"/>
                    <w:ind w:left="377" w:right="360" w:firstLine="36"/>
                    <w:rPr>
                      <w:rFonts w:hint="default" w:ascii="Times New Roman" w:hAnsi="Times New Roman" w:eastAsia="Times New Roman" w:cs="Times New Roman"/>
                      <w:b w:val="0"/>
                      <w:bCs w:val="0"/>
                      <w:color w:val="auto"/>
                      <w:sz w:val="20"/>
                      <w:szCs w:val="20"/>
                      <w:highlight w:val="none"/>
                    </w:rPr>
                  </w:pPr>
                  <w:r>
                    <w:rPr>
                      <w:rFonts w:hint="default" w:ascii="Times New Roman" w:hAnsi="Times New Roman" w:eastAsia="Times New Roman" w:cs="Times New Roman"/>
                      <w:b w:val="0"/>
                      <w:bCs w:val="0"/>
                      <w:color w:val="auto"/>
                      <w:sz w:val="20"/>
                      <w:szCs w:val="20"/>
                      <w:highlight w:val="none"/>
                    </w:rPr>
                    <w:t>β+ ：0.250</w:t>
                  </w:r>
                </w:p>
              </w:tc>
            </w:tr>
            <w:tr w14:paraId="0849D1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1598" w:type="dxa"/>
                  <w:tcBorders>
                    <w:tl2br w:val="nil"/>
                    <w:tr2bl w:val="nil"/>
                  </w:tcBorders>
                  <w:shd w:val="clear" w:color="auto" w:fill="auto"/>
                  <w:vAlign w:val="top"/>
                </w:tcPr>
                <w:p w14:paraId="45271428">
                  <w:pPr>
                    <w:pStyle w:val="43"/>
                    <w:keepNext w:val="0"/>
                    <w:keepLines w:val="0"/>
                    <w:suppressLineNumbers w:val="0"/>
                    <w:spacing w:before="216" w:beforeAutospacing="0" w:after="0" w:afterAutospacing="0" w:line="231" w:lineRule="auto"/>
                    <w:ind w:left="411" w:leftChars="0" w:right="0"/>
                    <w:rPr>
                      <w:rFonts w:hint="default" w:ascii="Times New Roman" w:hAnsi="Times New Roman" w:eastAsia="宋体" w:cs="Times New Roman"/>
                      <w:b w:val="0"/>
                      <w:bCs w:val="0"/>
                      <w:color w:val="auto"/>
                      <w:sz w:val="20"/>
                      <w:szCs w:val="20"/>
                      <w:highlight w:val="none"/>
                      <w:lang w:val="en-US" w:eastAsia="zh-CN" w:bidi="ar-SA"/>
                    </w:rPr>
                  </w:pPr>
                  <w:r>
                    <w:rPr>
                      <w:rFonts w:hint="default" w:ascii="Times New Roman" w:hAnsi="Times New Roman" w:eastAsia="Times New Roman" w:cs="Times New Roman"/>
                      <w:b w:val="0"/>
                      <w:bCs w:val="0"/>
                      <w:color w:val="auto"/>
                      <w:spacing w:val="5"/>
                      <w:position w:val="6"/>
                      <w:sz w:val="13"/>
                      <w:szCs w:val="13"/>
                      <w:highlight w:val="none"/>
                    </w:rPr>
                    <w:t>68</w:t>
                  </w:r>
                  <w:r>
                    <w:rPr>
                      <w:rFonts w:hint="default" w:ascii="Times New Roman" w:hAnsi="Times New Roman" w:eastAsia="Times New Roman" w:cs="Times New Roman"/>
                      <w:b w:val="0"/>
                      <w:bCs w:val="0"/>
                      <w:color w:val="auto"/>
                      <w:sz w:val="20"/>
                      <w:szCs w:val="20"/>
                      <w:highlight w:val="none"/>
                    </w:rPr>
                    <w:t>Ga</w:t>
                  </w:r>
                  <w:r>
                    <w:rPr>
                      <w:rFonts w:hint="default" w:ascii="Times New Roman" w:hAnsi="Times New Roman" w:cs="Times New Roman"/>
                      <w:b w:val="0"/>
                      <w:bCs w:val="0"/>
                      <w:color w:val="auto"/>
                      <w:spacing w:val="5"/>
                      <w:sz w:val="20"/>
                      <w:szCs w:val="20"/>
                      <w:highlight w:val="none"/>
                    </w:rPr>
                    <w:t>（镓）</w:t>
                  </w:r>
                </w:p>
              </w:tc>
              <w:tc>
                <w:tcPr>
                  <w:tcW w:w="1488" w:type="dxa"/>
                  <w:tcBorders>
                    <w:tl2br w:val="nil"/>
                    <w:tr2bl w:val="nil"/>
                  </w:tcBorders>
                  <w:shd w:val="clear" w:color="auto" w:fill="auto"/>
                  <w:vAlign w:val="top"/>
                </w:tcPr>
                <w:p w14:paraId="1C1CE5B9">
                  <w:pPr>
                    <w:pStyle w:val="43"/>
                    <w:keepNext w:val="0"/>
                    <w:keepLines w:val="0"/>
                    <w:suppressLineNumbers w:val="0"/>
                    <w:spacing w:before="216" w:beforeAutospacing="0" w:after="0" w:afterAutospacing="0" w:line="228" w:lineRule="auto"/>
                    <w:ind w:left="592" w:leftChars="0" w:right="0"/>
                    <w:rPr>
                      <w:rFonts w:hint="default" w:ascii="Times New Roman" w:hAnsi="Times New Roman" w:eastAsia="宋体" w:cs="Times New Roman"/>
                      <w:b w:val="0"/>
                      <w:bCs w:val="0"/>
                      <w:color w:val="auto"/>
                      <w:sz w:val="20"/>
                      <w:szCs w:val="20"/>
                      <w:highlight w:val="none"/>
                      <w:lang w:val="en-US" w:eastAsia="zh-CN" w:bidi="ar-SA"/>
                    </w:rPr>
                  </w:pPr>
                  <w:r>
                    <w:rPr>
                      <w:rFonts w:hint="default" w:ascii="Times New Roman" w:hAnsi="Times New Roman" w:cs="Times New Roman"/>
                      <w:b w:val="0"/>
                      <w:bCs w:val="0"/>
                      <w:color w:val="auto"/>
                      <w:spacing w:val="3"/>
                      <w:sz w:val="20"/>
                      <w:szCs w:val="20"/>
                      <w:highlight w:val="none"/>
                    </w:rPr>
                    <w:t>液态</w:t>
                  </w:r>
                </w:p>
              </w:tc>
              <w:tc>
                <w:tcPr>
                  <w:tcW w:w="1488" w:type="dxa"/>
                  <w:tcBorders>
                    <w:tl2br w:val="nil"/>
                    <w:tr2bl w:val="nil"/>
                  </w:tcBorders>
                  <w:shd w:val="clear" w:color="auto" w:fill="auto"/>
                  <w:vAlign w:val="top"/>
                </w:tcPr>
                <w:p w14:paraId="24B6999F">
                  <w:pPr>
                    <w:keepNext w:val="0"/>
                    <w:keepLines w:val="0"/>
                    <w:suppressLineNumbers w:val="0"/>
                    <w:spacing w:before="248" w:beforeAutospacing="0" w:after="0" w:afterAutospacing="0" w:line="199" w:lineRule="auto"/>
                    <w:ind w:left="404" w:leftChars="0" w:right="0"/>
                    <w:rPr>
                      <w:rFonts w:hint="default" w:ascii="Times New Roman" w:hAnsi="Times New Roman" w:eastAsia="Times New Roman" w:cs="Times New Roman"/>
                      <w:b w:val="0"/>
                      <w:bCs w:val="0"/>
                      <w:color w:val="auto"/>
                      <w:sz w:val="20"/>
                      <w:szCs w:val="20"/>
                      <w:highlight w:val="none"/>
                      <w:lang w:val="en-US" w:eastAsia="zh-CN" w:bidi="ar-SA"/>
                    </w:rPr>
                  </w:pPr>
                  <w:r>
                    <w:rPr>
                      <w:rFonts w:hint="eastAsia" w:eastAsia="宋体" w:cs="Times New Roman"/>
                      <w:b w:val="0"/>
                      <w:bCs w:val="0"/>
                      <w:color w:val="auto"/>
                      <w:spacing w:val="5"/>
                      <w:sz w:val="20"/>
                      <w:szCs w:val="20"/>
                      <w:highlight w:val="none"/>
                      <w:lang w:val="en-US" w:eastAsia="zh-CN"/>
                    </w:rPr>
                    <w:t>68</w:t>
                  </w:r>
                  <w:r>
                    <w:rPr>
                      <w:rFonts w:hint="default" w:ascii="Times New Roman" w:hAnsi="Times New Roman" w:eastAsia="Times New Roman" w:cs="Times New Roman"/>
                      <w:b w:val="0"/>
                      <w:bCs w:val="0"/>
                      <w:color w:val="auto"/>
                      <w:sz w:val="20"/>
                      <w:szCs w:val="20"/>
                      <w:highlight w:val="none"/>
                    </w:rPr>
                    <w:t>min</w:t>
                  </w:r>
                </w:p>
              </w:tc>
              <w:tc>
                <w:tcPr>
                  <w:tcW w:w="1120" w:type="dxa"/>
                  <w:tcBorders>
                    <w:tl2br w:val="nil"/>
                    <w:tr2bl w:val="nil"/>
                  </w:tcBorders>
                  <w:shd w:val="clear" w:color="auto" w:fill="auto"/>
                  <w:vAlign w:val="top"/>
                </w:tcPr>
                <w:p w14:paraId="2ECC3107">
                  <w:pPr>
                    <w:pStyle w:val="43"/>
                    <w:keepNext w:val="0"/>
                    <w:keepLines w:val="0"/>
                    <w:suppressLineNumbers w:val="0"/>
                    <w:spacing w:before="216" w:beforeAutospacing="0" w:after="0" w:afterAutospacing="0" w:line="228" w:lineRule="auto"/>
                    <w:ind w:left="0" w:right="0"/>
                    <w:rPr>
                      <w:rFonts w:hint="default" w:ascii="Times New Roman" w:hAnsi="Times New Roman" w:eastAsia="宋体" w:cs="Times New Roman"/>
                      <w:b w:val="0"/>
                      <w:bCs w:val="0"/>
                      <w:color w:val="auto"/>
                      <w:sz w:val="20"/>
                      <w:szCs w:val="20"/>
                      <w:highlight w:val="none"/>
                      <w:lang w:val="en-US" w:eastAsia="zh-CN" w:bidi="ar-SA"/>
                    </w:rPr>
                  </w:pPr>
                  <w:r>
                    <w:rPr>
                      <w:rFonts w:hint="default" w:ascii="Times New Roman" w:hAnsi="Times New Roman" w:cs="Times New Roman"/>
                      <w:b w:val="0"/>
                      <w:bCs w:val="0"/>
                      <w:color w:val="auto"/>
                      <w:spacing w:val="5"/>
                      <w:sz w:val="20"/>
                      <w:szCs w:val="20"/>
                      <w:highlight w:val="none"/>
                    </w:rPr>
                    <w:t>低毒</w:t>
                  </w:r>
                </w:p>
              </w:tc>
              <w:tc>
                <w:tcPr>
                  <w:tcW w:w="1391" w:type="dxa"/>
                  <w:tcBorders>
                    <w:tl2br w:val="nil"/>
                    <w:tr2bl w:val="nil"/>
                  </w:tcBorders>
                  <w:shd w:val="clear" w:color="auto" w:fill="auto"/>
                  <w:vAlign w:val="top"/>
                </w:tcPr>
                <w:p w14:paraId="486ABEE3">
                  <w:pPr>
                    <w:pStyle w:val="43"/>
                    <w:keepNext w:val="0"/>
                    <w:keepLines w:val="0"/>
                    <w:suppressLineNumbers w:val="0"/>
                    <w:spacing w:before="243" w:beforeAutospacing="0" w:after="0" w:afterAutospacing="0" w:line="196" w:lineRule="auto"/>
                    <w:ind w:left="472" w:leftChars="0" w:right="0"/>
                    <w:rPr>
                      <w:rFonts w:hint="default" w:ascii="Times New Roman" w:hAnsi="Times New Roman" w:eastAsia="Times New Roman" w:cs="Times New Roman"/>
                      <w:b w:val="0"/>
                      <w:bCs w:val="0"/>
                      <w:color w:val="auto"/>
                      <w:sz w:val="13"/>
                      <w:szCs w:val="13"/>
                      <w:highlight w:val="none"/>
                      <w:lang w:val="en-US" w:eastAsia="zh-CN" w:bidi="ar-SA"/>
                    </w:rPr>
                  </w:pPr>
                  <w:r>
                    <w:rPr>
                      <w:rFonts w:hint="default" w:ascii="Times New Roman" w:hAnsi="Times New Roman" w:eastAsia="Times New Roman" w:cs="Times New Roman"/>
                      <w:b w:val="0"/>
                      <w:bCs w:val="0"/>
                      <w:color w:val="auto"/>
                      <w:sz w:val="20"/>
                      <w:szCs w:val="20"/>
                      <w:highlight w:val="none"/>
                    </w:rPr>
                    <w:t>EC</w:t>
                  </w:r>
                  <w:r>
                    <w:rPr>
                      <w:rFonts w:hint="default" w:ascii="Times New Roman" w:hAnsi="Times New Roman" w:eastAsia="Times New Roman" w:cs="Times New Roman"/>
                      <w:b w:val="0"/>
                      <w:bCs w:val="0"/>
                      <w:color w:val="auto"/>
                      <w:spacing w:val="-26"/>
                      <w:sz w:val="20"/>
                      <w:szCs w:val="20"/>
                      <w:highlight w:val="none"/>
                    </w:rPr>
                    <w:t xml:space="preserve"> </w:t>
                  </w:r>
                  <w:r>
                    <w:rPr>
                      <w:rFonts w:hint="default" w:ascii="Times New Roman" w:hAnsi="Times New Roman" w:cs="Times New Roman"/>
                      <w:b w:val="0"/>
                      <w:bCs w:val="0"/>
                      <w:color w:val="auto"/>
                      <w:sz w:val="20"/>
                      <w:szCs w:val="20"/>
                      <w:highlight w:val="none"/>
                    </w:rPr>
                    <w:t>、</w:t>
                  </w:r>
                  <w:r>
                    <w:rPr>
                      <w:rFonts w:hint="default" w:ascii="Times New Roman" w:hAnsi="Times New Roman" w:eastAsia="Times New Roman" w:cs="Times New Roman"/>
                      <w:b w:val="0"/>
                      <w:bCs w:val="0"/>
                      <w:color w:val="auto"/>
                      <w:sz w:val="20"/>
                      <w:szCs w:val="20"/>
                      <w:highlight w:val="none"/>
                    </w:rPr>
                    <w:t>β</w:t>
                  </w:r>
                  <w:r>
                    <w:rPr>
                      <w:rFonts w:hint="default" w:ascii="Times New Roman" w:hAnsi="Times New Roman" w:eastAsia="Times New Roman" w:cs="Times New Roman"/>
                      <w:b w:val="0"/>
                      <w:bCs w:val="0"/>
                      <w:color w:val="auto"/>
                      <w:position w:val="6"/>
                      <w:sz w:val="13"/>
                      <w:szCs w:val="13"/>
                      <w:highlight w:val="none"/>
                    </w:rPr>
                    <w:t>+</w:t>
                  </w:r>
                </w:p>
              </w:tc>
              <w:tc>
                <w:tcPr>
                  <w:tcW w:w="1953" w:type="dxa"/>
                  <w:tcBorders>
                    <w:tl2br w:val="nil"/>
                    <w:tr2bl w:val="nil"/>
                  </w:tcBorders>
                  <w:shd w:val="clear" w:color="auto" w:fill="auto"/>
                  <w:vAlign w:val="top"/>
                </w:tcPr>
                <w:p w14:paraId="0D1DC845">
                  <w:pPr>
                    <w:pStyle w:val="43"/>
                    <w:keepNext w:val="0"/>
                    <w:keepLines w:val="0"/>
                    <w:suppressLineNumbers w:val="0"/>
                    <w:spacing w:before="56" w:beforeAutospacing="0" w:after="0" w:afterAutospacing="0" w:line="266" w:lineRule="auto"/>
                    <w:ind w:left="377" w:right="360" w:firstLine="34"/>
                    <w:rPr>
                      <w:rFonts w:hint="default" w:ascii="Times New Roman" w:hAnsi="Times New Roman" w:eastAsia="Times New Roman" w:cs="Times New Roman"/>
                      <w:b w:val="0"/>
                      <w:bCs w:val="0"/>
                      <w:color w:val="auto"/>
                      <w:spacing w:val="5"/>
                      <w:sz w:val="20"/>
                      <w:szCs w:val="20"/>
                      <w:highlight w:val="none"/>
                    </w:rPr>
                  </w:pPr>
                  <w:r>
                    <w:rPr>
                      <w:rFonts w:hint="default" w:ascii="Times New Roman" w:hAnsi="Times New Roman" w:eastAsia="Times New Roman" w:cs="Times New Roman"/>
                      <w:b w:val="0"/>
                      <w:bCs w:val="0"/>
                      <w:color w:val="auto"/>
                      <w:spacing w:val="5"/>
                      <w:sz w:val="20"/>
                      <w:szCs w:val="20"/>
                      <w:highlight w:val="none"/>
                    </w:rPr>
                    <w:t>γ</w:t>
                  </w:r>
                  <w:r>
                    <w:rPr>
                      <w:rFonts w:hint="default" w:ascii="Times New Roman" w:hAnsi="Times New Roman" w:cs="Times New Roman"/>
                      <w:b w:val="0"/>
                      <w:bCs w:val="0"/>
                      <w:color w:val="auto"/>
                      <w:spacing w:val="5"/>
                      <w:sz w:val="20"/>
                      <w:szCs w:val="20"/>
                      <w:highlight w:val="none"/>
                    </w:rPr>
                    <w:t>：</w:t>
                  </w:r>
                  <w:r>
                    <w:rPr>
                      <w:rFonts w:hint="default" w:ascii="Times New Roman" w:hAnsi="Times New Roman" w:eastAsia="Times New Roman" w:cs="Times New Roman"/>
                      <w:b w:val="0"/>
                      <w:bCs w:val="0"/>
                      <w:color w:val="auto"/>
                      <w:spacing w:val="5"/>
                      <w:sz w:val="20"/>
                      <w:szCs w:val="20"/>
                      <w:highlight w:val="none"/>
                    </w:rPr>
                    <w:t>1.077</w:t>
                  </w:r>
                </w:p>
                <w:p w14:paraId="223A74DB">
                  <w:pPr>
                    <w:pStyle w:val="43"/>
                    <w:keepNext w:val="0"/>
                    <w:keepLines w:val="0"/>
                    <w:suppressLineNumbers w:val="0"/>
                    <w:spacing w:before="56" w:beforeAutospacing="0" w:after="0" w:afterAutospacing="0" w:line="266" w:lineRule="auto"/>
                    <w:ind w:left="377" w:leftChars="0" w:right="360" w:rightChars="0" w:firstLine="34" w:firstLineChars="0"/>
                    <w:rPr>
                      <w:rFonts w:hint="default" w:ascii="Times New Roman" w:hAnsi="Times New Roman" w:eastAsia="Times New Roman" w:cs="Times New Roman"/>
                      <w:b w:val="0"/>
                      <w:bCs w:val="0"/>
                      <w:color w:val="auto"/>
                      <w:sz w:val="20"/>
                      <w:szCs w:val="20"/>
                      <w:highlight w:val="none"/>
                      <w:lang w:val="en-US" w:eastAsia="zh-CN" w:bidi="ar-SA"/>
                    </w:rPr>
                  </w:pPr>
                  <w:r>
                    <w:rPr>
                      <w:rFonts w:hint="default" w:ascii="Times New Roman" w:hAnsi="Times New Roman" w:eastAsia="Times New Roman" w:cs="Times New Roman"/>
                      <w:b w:val="0"/>
                      <w:bCs w:val="0"/>
                      <w:color w:val="auto"/>
                      <w:sz w:val="20"/>
                      <w:szCs w:val="20"/>
                      <w:highlight w:val="none"/>
                    </w:rPr>
                    <w:t>β</w:t>
                  </w:r>
                  <w:r>
                    <w:rPr>
                      <w:rFonts w:hint="default" w:ascii="Times New Roman" w:hAnsi="Times New Roman" w:eastAsia="Times New Roman" w:cs="Times New Roman"/>
                      <w:b w:val="0"/>
                      <w:bCs w:val="0"/>
                      <w:color w:val="auto"/>
                      <w:position w:val="6"/>
                      <w:sz w:val="13"/>
                      <w:szCs w:val="13"/>
                      <w:highlight w:val="none"/>
                    </w:rPr>
                    <w:t>+</w:t>
                  </w:r>
                  <w:r>
                    <w:rPr>
                      <w:rFonts w:hint="default" w:ascii="Times New Roman" w:hAnsi="Times New Roman" w:eastAsia="Times New Roman" w:cs="Times New Roman"/>
                      <w:b w:val="0"/>
                      <w:bCs w:val="0"/>
                      <w:color w:val="auto"/>
                      <w:spacing w:val="-5"/>
                      <w:position w:val="6"/>
                      <w:sz w:val="13"/>
                      <w:szCs w:val="13"/>
                      <w:highlight w:val="none"/>
                    </w:rPr>
                    <w:t xml:space="preserve"> </w:t>
                  </w:r>
                  <w:r>
                    <w:rPr>
                      <w:rFonts w:hint="default" w:ascii="Times New Roman" w:hAnsi="Times New Roman" w:cs="Times New Roman"/>
                      <w:b w:val="0"/>
                      <w:bCs w:val="0"/>
                      <w:color w:val="auto"/>
                      <w:sz w:val="20"/>
                      <w:szCs w:val="20"/>
                      <w:highlight w:val="none"/>
                    </w:rPr>
                    <w:t>：</w:t>
                  </w:r>
                  <w:r>
                    <w:rPr>
                      <w:rFonts w:hint="default" w:ascii="Times New Roman" w:hAnsi="Times New Roman" w:eastAsia="Times New Roman" w:cs="Times New Roman"/>
                      <w:b w:val="0"/>
                      <w:bCs w:val="0"/>
                      <w:color w:val="auto"/>
                      <w:sz w:val="20"/>
                      <w:szCs w:val="20"/>
                      <w:highlight w:val="none"/>
                    </w:rPr>
                    <w:t>0.836</w:t>
                  </w:r>
                </w:p>
              </w:tc>
            </w:tr>
            <w:tr w14:paraId="0B4234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4" w:hRule="atLeast"/>
              </w:trPr>
              <w:tc>
                <w:tcPr>
                  <w:tcW w:w="1598" w:type="dxa"/>
                  <w:tcBorders>
                    <w:tl2br w:val="nil"/>
                    <w:tr2bl w:val="nil"/>
                  </w:tcBorders>
                  <w:shd w:val="clear" w:color="auto" w:fill="auto"/>
                  <w:vAlign w:val="top"/>
                </w:tcPr>
                <w:p w14:paraId="2D7DB24F">
                  <w:pPr>
                    <w:pStyle w:val="43"/>
                    <w:keepNext w:val="0"/>
                    <w:keepLines w:val="0"/>
                    <w:suppressLineNumbers w:val="0"/>
                    <w:spacing w:before="215" w:beforeAutospacing="0" w:after="0" w:afterAutospacing="0" w:line="228" w:lineRule="auto"/>
                    <w:ind w:left="477" w:leftChars="0" w:right="0"/>
                    <w:rPr>
                      <w:rFonts w:hint="default" w:ascii="Times New Roman" w:hAnsi="Times New Roman" w:eastAsia="宋体" w:cs="Times New Roman"/>
                      <w:b w:val="0"/>
                      <w:bCs w:val="0"/>
                      <w:color w:val="auto"/>
                      <w:sz w:val="20"/>
                      <w:szCs w:val="20"/>
                      <w:highlight w:val="none"/>
                      <w:lang w:val="en-US" w:eastAsia="zh-CN" w:bidi="ar-SA"/>
                    </w:rPr>
                  </w:pPr>
                  <w:r>
                    <w:rPr>
                      <w:rFonts w:hint="default" w:ascii="Times New Roman" w:hAnsi="Times New Roman" w:eastAsia="Times New Roman" w:cs="Times New Roman"/>
                      <w:b w:val="0"/>
                      <w:bCs w:val="0"/>
                      <w:color w:val="auto"/>
                      <w:spacing w:val="1"/>
                      <w:position w:val="6"/>
                      <w:sz w:val="13"/>
                      <w:szCs w:val="13"/>
                      <w:highlight w:val="none"/>
                    </w:rPr>
                    <w:t>11</w:t>
                  </w:r>
                  <w:r>
                    <w:rPr>
                      <w:rFonts w:hint="default" w:ascii="Times New Roman" w:hAnsi="Times New Roman" w:eastAsia="Times New Roman" w:cs="Times New Roman"/>
                      <w:b w:val="0"/>
                      <w:bCs w:val="0"/>
                      <w:color w:val="auto"/>
                      <w:spacing w:val="1"/>
                      <w:sz w:val="20"/>
                      <w:szCs w:val="20"/>
                      <w:highlight w:val="none"/>
                    </w:rPr>
                    <w:t>C</w:t>
                  </w:r>
                  <w:r>
                    <w:rPr>
                      <w:rFonts w:hint="default" w:ascii="Times New Roman" w:hAnsi="Times New Roman" w:cs="Times New Roman"/>
                      <w:b w:val="0"/>
                      <w:bCs w:val="0"/>
                      <w:color w:val="auto"/>
                      <w:spacing w:val="1"/>
                      <w:sz w:val="20"/>
                      <w:szCs w:val="20"/>
                      <w:highlight w:val="none"/>
                    </w:rPr>
                    <w:t>（碳）</w:t>
                  </w:r>
                </w:p>
              </w:tc>
              <w:tc>
                <w:tcPr>
                  <w:tcW w:w="1488" w:type="dxa"/>
                  <w:tcBorders>
                    <w:tl2br w:val="nil"/>
                    <w:tr2bl w:val="nil"/>
                  </w:tcBorders>
                  <w:shd w:val="clear" w:color="auto" w:fill="auto"/>
                  <w:vAlign w:val="top"/>
                </w:tcPr>
                <w:p w14:paraId="79C4E912">
                  <w:pPr>
                    <w:pStyle w:val="43"/>
                    <w:keepNext w:val="0"/>
                    <w:keepLines w:val="0"/>
                    <w:suppressLineNumbers w:val="0"/>
                    <w:spacing w:before="215" w:beforeAutospacing="0" w:after="0" w:afterAutospacing="0" w:line="228" w:lineRule="auto"/>
                    <w:ind w:left="592" w:leftChars="0" w:right="0"/>
                    <w:rPr>
                      <w:rFonts w:hint="default" w:ascii="Times New Roman" w:hAnsi="Times New Roman" w:eastAsia="宋体" w:cs="Times New Roman"/>
                      <w:b w:val="0"/>
                      <w:bCs w:val="0"/>
                      <w:color w:val="auto"/>
                      <w:sz w:val="20"/>
                      <w:szCs w:val="20"/>
                      <w:highlight w:val="none"/>
                      <w:lang w:val="en-US" w:eastAsia="zh-CN" w:bidi="ar-SA"/>
                    </w:rPr>
                  </w:pPr>
                  <w:r>
                    <w:rPr>
                      <w:rFonts w:hint="default" w:ascii="Times New Roman" w:hAnsi="Times New Roman" w:cs="Times New Roman"/>
                      <w:b w:val="0"/>
                      <w:bCs w:val="0"/>
                      <w:color w:val="auto"/>
                      <w:spacing w:val="3"/>
                      <w:sz w:val="20"/>
                      <w:szCs w:val="20"/>
                      <w:highlight w:val="none"/>
                    </w:rPr>
                    <w:t>液态</w:t>
                  </w:r>
                </w:p>
              </w:tc>
              <w:tc>
                <w:tcPr>
                  <w:tcW w:w="1488" w:type="dxa"/>
                  <w:tcBorders>
                    <w:tl2br w:val="nil"/>
                    <w:tr2bl w:val="nil"/>
                  </w:tcBorders>
                  <w:shd w:val="clear" w:color="auto" w:fill="auto"/>
                  <w:vAlign w:val="top"/>
                </w:tcPr>
                <w:p w14:paraId="41F4132C">
                  <w:pPr>
                    <w:keepNext w:val="0"/>
                    <w:keepLines w:val="0"/>
                    <w:suppressLineNumbers w:val="0"/>
                    <w:spacing w:before="247" w:beforeAutospacing="0" w:after="0" w:afterAutospacing="0" w:line="199" w:lineRule="auto"/>
                    <w:ind w:left="400" w:leftChars="0" w:right="0"/>
                    <w:rPr>
                      <w:rFonts w:hint="default" w:ascii="Times New Roman" w:hAnsi="Times New Roman" w:eastAsia="Times New Roman" w:cs="Times New Roman"/>
                      <w:b w:val="0"/>
                      <w:bCs w:val="0"/>
                      <w:color w:val="auto"/>
                      <w:sz w:val="20"/>
                      <w:szCs w:val="20"/>
                      <w:highlight w:val="none"/>
                      <w:lang w:val="en-US" w:eastAsia="zh-CN" w:bidi="ar-SA"/>
                    </w:rPr>
                  </w:pPr>
                  <w:r>
                    <w:rPr>
                      <w:rFonts w:hint="default" w:ascii="Times New Roman" w:hAnsi="Times New Roman" w:eastAsia="Times New Roman" w:cs="Times New Roman"/>
                      <w:b w:val="0"/>
                      <w:bCs w:val="0"/>
                      <w:color w:val="auto"/>
                      <w:spacing w:val="6"/>
                      <w:sz w:val="20"/>
                      <w:szCs w:val="20"/>
                      <w:highlight w:val="none"/>
                    </w:rPr>
                    <w:t>20.39</w:t>
                  </w:r>
                  <w:r>
                    <w:rPr>
                      <w:rFonts w:hint="default" w:ascii="Times New Roman" w:hAnsi="Times New Roman" w:eastAsia="Times New Roman" w:cs="Times New Roman"/>
                      <w:b w:val="0"/>
                      <w:bCs w:val="0"/>
                      <w:color w:val="auto"/>
                      <w:sz w:val="20"/>
                      <w:szCs w:val="20"/>
                      <w:highlight w:val="none"/>
                    </w:rPr>
                    <w:t>min</w:t>
                  </w:r>
                </w:p>
              </w:tc>
              <w:tc>
                <w:tcPr>
                  <w:tcW w:w="1120" w:type="dxa"/>
                  <w:tcBorders>
                    <w:tl2br w:val="nil"/>
                    <w:tr2bl w:val="nil"/>
                  </w:tcBorders>
                  <w:shd w:val="clear" w:color="auto" w:fill="auto"/>
                  <w:vAlign w:val="top"/>
                </w:tcPr>
                <w:p w14:paraId="27618FB3">
                  <w:pPr>
                    <w:pStyle w:val="43"/>
                    <w:keepNext w:val="0"/>
                    <w:keepLines w:val="0"/>
                    <w:suppressLineNumbers w:val="0"/>
                    <w:spacing w:before="215" w:beforeAutospacing="0" w:after="0" w:afterAutospacing="0" w:line="228" w:lineRule="auto"/>
                    <w:ind w:left="0" w:right="0"/>
                    <w:rPr>
                      <w:rFonts w:hint="default" w:ascii="Times New Roman" w:hAnsi="Times New Roman" w:eastAsia="宋体" w:cs="Times New Roman"/>
                      <w:b w:val="0"/>
                      <w:bCs w:val="0"/>
                      <w:color w:val="auto"/>
                      <w:sz w:val="20"/>
                      <w:szCs w:val="20"/>
                      <w:highlight w:val="none"/>
                      <w:lang w:val="en-US" w:eastAsia="zh-CN" w:bidi="ar-SA"/>
                    </w:rPr>
                  </w:pPr>
                  <w:r>
                    <w:rPr>
                      <w:rFonts w:hint="default" w:ascii="Times New Roman" w:hAnsi="Times New Roman" w:cs="Times New Roman"/>
                      <w:b w:val="0"/>
                      <w:bCs w:val="0"/>
                      <w:color w:val="auto"/>
                      <w:spacing w:val="5"/>
                      <w:sz w:val="20"/>
                      <w:szCs w:val="20"/>
                      <w:highlight w:val="none"/>
                    </w:rPr>
                    <w:t>低毒</w:t>
                  </w:r>
                </w:p>
              </w:tc>
              <w:tc>
                <w:tcPr>
                  <w:tcW w:w="1391" w:type="dxa"/>
                  <w:tcBorders>
                    <w:tl2br w:val="nil"/>
                    <w:tr2bl w:val="nil"/>
                  </w:tcBorders>
                  <w:shd w:val="clear" w:color="auto" w:fill="auto"/>
                  <w:vAlign w:val="top"/>
                </w:tcPr>
                <w:p w14:paraId="792C484A">
                  <w:pPr>
                    <w:pStyle w:val="43"/>
                    <w:keepNext w:val="0"/>
                    <w:keepLines w:val="0"/>
                    <w:suppressLineNumbers w:val="0"/>
                    <w:spacing w:before="242" w:beforeAutospacing="0" w:after="0" w:afterAutospacing="0" w:line="196" w:lineRule="auto"/>
                    <w:ind w:left="472" w:leftChars="0" w:right="0"/>
                    <w:rPr>
                      <w:rFonts w:hint="default" w:ascii="Times New Roman" w:hAnsi="Times New Roman" w:eastAsia="Times New Roman" w:cs="Times New Roman"/>
                      <w:b w:val="0"/>
                      <w:bCs w:val="0"/>
                      <w:color w:val="auto"/>
                      <w:sz w:val="13"/>
                      <w:szCs w:val="13"/>
                      <w:highlight w:val="none"/>
                      <w:lang w:val="en-US" w:eastAsia="zh-CN" w:bidi="ar-SA"/>
                    </w:rPr>
                  </w:pPr>
                  <w:r>
                    <w:rPr>
                      <w:rFonts w:hint="default" w:ascii="Times New Roman" w:hAnsi="Times New Roman" w:eastAsia="Times New Roman" w:cs="Times New Roman"/>
                      <w:b w:val="0"/>
                      <w:bCs w:val="0"/>
                      <w:color w:val="auto"/>
                      <w:sz w:val="20"/>
                      <w:szCs w:val="20"/>
                      <w:highlight w:val="none"/>
                    </w:rPr>
                    <w:t>EC</w:t>
                  </w:r>
                  <w:r>
                    <w:rPr>
                      <w:rFonts w:hint="default" w:ascii="Times New Roman" w:hAnsi="Times New Roman" w:eastAsia="Times New Roman" w:cs="Times New Roman"/>
                      <w:b w:val="0"/>
                      <w:bCs w:val="0"/>
                      <w:color w:val="auto"/>
                      <w:spacing w:val="-26"/>
                      <w:sz w:val="20"/>
                      <w:szCs w:val="20"/>
                      <w:highlight w:val="none"/>
                    </w:rPr>
                    <w:t xml:space="preserve"> </w:t>
                  </w:r>
                  <w:r>
                    <w:rPr>
                      <w:rFonts w:hint="default" w:ascii="Times New Roman" w:hAnsi="Times New Roman" w:cs="Times New Roman"/>
                      <w:b w:val="0"/>
                      <w:bCs w:val="0"/>
                      <w:color w:val="auto"/>
                      <w:sz w:val="20"/>
                      <w:szCs w:val="20"/>
                      <w:highlight w:val="none"/>
                    </w:rPr>
                    <w:t>、</w:t>
                  </w:r>
                  <w:r>
                    <w:rPr>
                      <w:rFonts w:hint="default" w:ascii="Times New Roman" w:hAnsi="Times New Roman" w:eastAsia="Times New Roman" w:cs="Times New Roman"/>
                      <w:b w:val="0"/>
                      <w:bCs w:val="0"/>
                      <w:color w:val="auto"/>
                      <w:sz w:val="20"/>
                      <w:szCs w:val="20"/>
                      <w:highlight w:val="none"/>
                    </w:rPr>
                    <w:t>β</w:t>
                  </w:r>
                  <w:r>
                    <w:rPr>
                      <w:rFonts w:hint="default" w:ascii="Times New Roman" w:hAnsi="Times New Roman" w:eastAsia="Times New Roman" w:cs="Times New Roman"/>
                      <w:b w:val="0"/>
                      <w:bCs w:val="0"/>
                      <w:color w:val="auto"/>
                      <w:position w:val="6"/>
                      <w:sz w:val="13"/>
                      <w:szCs w:val="13"/>
                      <w:highlight w:val="none"/>
                    </w:rPr>
                    <w:t>+</w:t>
                  </w:r>
                </w:p>
              </w:tc>
              <w:tc>
                <w:tcPr>
                  <w:tcW w:w="1953" w:type="dxa"/>
                  <w:tcBorders>
                    <w:tl2br w:val="nil"/>
                    <w:tr2bl w:val="nil"/>
                  </w:tcBorders>
                  <w:shd w:val="clear" w:color="auto" w:fill="auto"/>
                  <w:vAlign w:val="top"/>
                </w:tcPr>
                <w:p w14:paraId="6C5B0A9A">
                  <w:pPr>
                    <w:pStyle w:val="43"/>
                    <w:keepNext w:val="0"/>
                    <w:keepLines w:val="0"/>
                    <w:suppressLineNumbers w:val="0"/>
                    <w:spacing w:before="54" w:beforeAutospacing="0" w:after="0" w:afterAutospacing="0" w:line="267" w:lineRule="auto"/>
                    <w:ind w:left="377" w:right="360" w:firstLine="36"/>
                    <w:rPr>
                      <w:rFonts w:hint="default" w:ascii="Times New Roman" w:hAnsi="Times New Roman" w:eastAsia="Times New Roman" w:cs="Times New Roman"/>
                      <w:b w:val="0"/>
                      <w:bCs w:val="0"/>
                      <w:color w:val="auto"/>
                      <w:spacing w:val="4"/>
                      <w:sz w:val="20"/>
                      <w:szCs w:val="20"/>
                      <w:highlight w:val="none"/>
                    </w:rPr>
                  </w:pPr>
                  <w:r>
                    <w:rPr>
                      <w:rFonts w:hint="default" w:ascii="Times New Roman" w:hAnsi="Times New Roman" w:eastAsia="Times New Roman" w:cs="Times New Roman"/>
                      <w:b w:val="0"/>
                      <w:bCs w:val="0"/>
                      <w:color w:val="auto"/>
                      <w:spacing w:val="4"/>
                      <w:sz w:val="20"/>
                      <w:szCs w:val="20"/>
                      <w:highlight w:val="none"/>
                    </w:rPr>
                    <w:t>γ</w:t>
                  </w:r>
                  <w:r>
                    <w:rPr>
                      <w:rFonts w:hint="default" w:ascii="Times New Roman" w:hAnsi="Times New Roman" w:cs="Times New Roman"/>
                      <w:b w:val="0"/>
                      <w:bCs w:val="0"/>
                      <w:color w:val="auto"/>
                      <w:spacing w:val="4"/>
                      <w:sz w:val="20"/>
                      <w:szCs w:val="20"/>
                      <w:highlight w:val="none"/>
                    </w:rPr>
                    <w:t>：</w:t>
                  </w:r>
                  <w:r>
                    <w:rPr>
                      <w:rFonts w:hint="default" w:ascii="Times New Roman" w:hAnsi="Times New Roman" w:eastAsia="Times New Roman" w:cs="Times New Roman"/>
                      <w:b w:val="0"/>
                      <w:bCs w:val="0"/>
                      <w:color w:val="auto"/>
                      <w:spacing w:val="4"/>
                      <w:sz w:val="20"/>
                      <w:szCs w:val="20"/>
                      <w:highlight w:val="none"/>
                    </w:rPr>
                    <w:t>0.511</w:t>
                  </w:r>
                </w:p>
                <w:p w14:paraId="1C907C79">
                  <w:pPr>
                    <w:pStyle w:val="43"/>
                    <w:keepNext w:val="0"/>
                    <w:keepLines w:val="0"/>
                    <w:suppressLineNumbers w:val="0"/>
                    <w:spacing w:before="54" w:beforeAutospacing="0" w:after="0" w:afterAutospacing="0" w:line="267" w:lineRule="auto"/>
                    <w:ind w:left="377" w:leftChars="0" w:right="360" w:rightChars="0" w:firstLine="36" w:firstLineChars="0"/>
                    <w:rPr>
                      <w:rFonts w:hint="default" w:ascii="Times New Roman" w:hAnsi="Times New Roman" w:eastAsia="Times New Roman" w:cs="Times New Roman"/>
                      <w:b w:val="0"/>
                      <w:bCs w:val="0"/>
                      <w:color w:val="auto"/>
                      <w:sz w:val="20"/>
                      <w:szCs w:val="20"/>
                      <w:highlight w:val="none"/>
                      <w:lang w:val="en-US" w:eastAsia="zh-CN" w:bidi="ar-SA"/>
                    </w:rPr>
                  </w:pPr>
                  <w:r>
                    <w:rPr>
                      <w:rFonts w:hint="default" w:ascii="Times New Roman" w:hAnsi="Times New Roman" w:eastAsia="Times New Roman" w:cs="Times New Roman"/>
                      <w:b w:val="0"/>
                      <w:bCs w:val="0"/>
                      <w:color w:val="auto"/>
                      <w:sz w:val="20"/>
                      <w:szCs w:val="20"/>
                      <w:highlight w:val="none"/>
                    </w:rPr>
                    <w:t>β</w:t>
                  </w:r>
                  <w:r>
                    <w:rPr>
                      <w:rFonts w:hint="default" w:ascii="Times New Roman" w:hAnsi="Times New Roman" w:eastAsia="Times New Roman" w:cs="Times New Roman"/>
                      <w:b w:val="0"/>
                      <w:bCs w:val="0"/>
                      <w:color w:val="auto"/>
                      <w:position w:val="6"/>
                      <w:sz w:val="13"/>
                      <w:szCs w:val="13"/>
                      <w:highlight w:val="none"/>
                    </w:rPr>
                    <w:t>+</w:t>
                  </w:r>
                  <w:r>
                    <w:rPr>
                      <w:rFonts w:hint="default" w:ascii="Times New Roman" w:hAnsi="Times New Roman" w:eastAsia="Times New Roman" w:cs="Times New Roman"/>
                      <w:b w:val="0"/>
                      <w:bCs w:val="0"/>
                      <w:color w:val="auto"/>
                      <w:spacing w:val="-5"/>
                      <w:position w:val="6"/>
                      <w:sz w:val="13"/>
                      <w:szCs w:val="13"/>
                      <w:highlight w:val="none"/>
                    </w:rPr>
                    <w:t xml:space="preserve"> </w:t>
                  </w:r>
                  <w:r>
                    <w:rPr>
                      <w:rFonts w:hint="default" w:ascii="Times New Roman" w:hAnsi="Times New Roman" w:cs="Times New Roman"/>
                      <w:b w:val="0"/>
                      <w:bCs w:val="0"/>
                      <w:color w:val="auto"/>
                      <w:sz w:val="20"/>
                      <w:szCs w:val="20"/>
                      <w:highlight w:val="none"/>
                    </w:rPr>
                    <w:t>：</w:t>
                  </w:r>
                  <w:r>
                    <w:rPr>
                      <w:rFonts w:hint="default" w:ascii="Times New Roman" w:hAnsi="Times New Roman" w:eastAsia="Times New Roman" w:cs="Times New Roman"/>
                      <w:b w:val="0"/>
                      <w:bCs w:val="0"/>
                      <w:color w:val="auto"/>
                      <w:sz w:val="20"/>
                      <w:szCs w:val="20"/>
                      <w:highlight w:val="none"/>
                    </w:rPr>
                    <w:t>0.386</w:t>
                  </w:r>
                </w:p>
              </w:tc>
            </w:tr>
            <w:tr w14:paraId="353C7C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1598" w:type="dxa"/>
                  <w:tcBorders>
                    <w:tl2br w:val="nil"/>
                    <w:tr2bl w:val="nil"/>
                  </w:tcBorders>
                  <w:shd w:val="clear" w:color="auto" w:fill="auto"/>
                  <w:vAlign w:val="top"/>
                </w:tcPr>
                <w:p w14:paraId="7F06F980">
                  <w:pPr>
                    <w:pStyle w:val="43"/>
                    <w:keepNext w:val="0"/>
                    <w:keepLines w:val="0"/>
                    <w:suppressLineNumbers w:val="0"/>
                    <w:spacing w:before="215" w:beforeAutospacing="0" w:after="0" w:afterAutospacing="0" w:line="227" w:lineRule="auto"/>
                    <w:ind w:left="467" w:leftChars="0" w:right="0"/>
                    <w:rPr>
                      <w:rFonts w:hint="default" w:ascii="Times New Roman" w:hAnsi="Times New Roman" w:eastAsia="宋体" w:cs="Times New Roman"/>
                      <w:b w:val="0"/>
                      <w:bCs w:val="0"/>
                      <w:color w:val="auto"/>
                      <w:sz w:val="20"/>
                      <w:szCs w:val="20"/>
                      <w:highlight w:val="none"/>
                      <w:lang w:val="en-US" w:eastAsia="zh-CN" w:bidi="ar-SA"/>
                    </w:rPr>
                  </w:pPr>
                  <w:r>
                    <w:rPr>
                      <w:rFonts w:hint="default" w:ascii="Times New Roman" w:hAnsi="Times New Roman" w:eastAsia="Times New Roman" w:cs="Times New Roman"/>
                      <w:b w:val="0"/>
                      <w:bCs w:val="0"/>
                      <w:color w:val="auto"/>
                      <w:spacing w:val="2"/>
                      <w:position w:val="6"/>
                      <w:sz w:val="13"/>
                      <w:szCs w:val="13"/>
                      <w:highlight w:val="none"/>
                    </w:rPr>
                    <w:t>13</w:t>
                  </w:r>
                  <w:r>
                    <w:rPr>
                      <w:rFonts w:hint="default" w:ascii="Times New Roman" w:hAnsi="Times New Roman" w:eastAsia="Times New Roman" w:cs="Times New Roman"/>
                      <w:b w:val="0"/>
                      <w:bCs w:val="0"/>
                      <w:color w:val="auto"/>
                      <w:spacing w:val="2"/>
                      <w:sz w:val="20"/>
                      <w:szCs w:val="20"/>
                      <w:highlight w:val="none"/>
                    </w:rPr>
                    <w:t>N</w:t>
                  </w:r>
                  <w:r>
                    <w:rPr>
                      <w:rFonts w:hint="default" w:ascii="Times New Roman" w:hAnsi="Times New Roman" w:cs="Times New Roman"/>
                      <w:b w:val="0"/>
                      <w:bCs w:val="0"/>
                      <w:color w:val="auto"/>
                      <w:spacing w:val="2"/>
                      <w:sz w:val="20"/>
                      <w:szCs w:val="20"/>
                      <w:highlight w:val="none"/>
                    </w:rPr>
                    <w:t>（氮）</w:t>
                  </w:r>
                </w:p>
              </w:tc>
              <w:tc>
                <w:tcPr>
                  <w:tcW w:w="1488" w:type="dxa"/>
                  <w:tcBorders>
                    <w:tl2br w:val="nil"/>
                    <w:tr2bl w:val="nil"/>
                  </w:tcBorders>
                  <w:shd w:val="clear" w:color="auto" w:fill="auto"/>
                  <w:vAlign w:val="top"/>
                </w:tcPr>
                <w:p w14:paraId="3AF8A817">
                  <w:pPr>
                    <w:pStyle w:val="43"/>
                    <w:keepNext w:val="0"/>
                    <w:keepLines w:val="0"/>
                    <w:suppressLineNumbers w:val="0"/>
                    <w:spacing w:before="215" w:beforeAutospacing="0" w:after="0" w:afterAutospacing="0" w:line="228" w:lineRule="auto"/>
                    <w:ind w:left="592" w:leftChars="0" w:right="0"/>
                    <w:rPr>
                      <w:rFonts w:hint="default" w:ascii="Times New Roman" w:hAnsi="Times New Roman" w:eastAsia="宋体" w:cs="Times New Roman"/>
                      <w:b w:val="0"/>
                      <w:bCs w:val="0"/>
                      <w:color w:val="auto"/>
                      <w:sz w:val="20"/>
                      <w:szCs w:val="20"/>
                      <w:highlight w:val="none"/>
                      <w:lang w:val="en-US" w:eastAsia="zh-CN" w:bidi="ar-SA"/>
                    </w:rPr>
                  </w:pPr>
                  <w:r>
                    <w:rPr>
                      <w:rFonts w:hint="default" w:ascii="Times New Roman" w:hAnsi="Times New Roman" w:cs="Times New Roman"/>
                      <w:b w:val="0"/>
                      <w:bCs w:val="0"/>
                      <w:color w:val="auto"/>
                      <w:spacing w:val="3"/>
                      <w:sz w:val="20"/>
                      <w:szCs w:val="20"/>
                      <w:highlight w:val="none"/>
                    </w:rPr>
                    <w:t>液态</w:t>
                  </w:r>
                </w:p>
              </w:tc>
              <w:tc>
                <w:tcPr>
                  <w:tcW w:w="1488" w:type="dxa"/>
                  <w:tcBorders>
                    <w:tl2br w:val="nil"/>
                    <w:tr2bl w:val="nil"/>
                  </w:tcBorders>
                  <w:shd w:val="clear" w:color="auto" w:fill="auto"/>
                  <w:vAlign w:val="top"/>
                </w:tcPr>
                <w:p w14:paraId="27AA76C4">
                  <w:pPr>
                    <w:keepNext w:val="0"/>
                    <w:keepLines w:val="0"/>
                    <w:suppressLineNumbers w:val="0"/>
                    <w:spacing w:before="247" w:beforeAutospacing="0" w:after="0" w:afterAutospacing="0" w:line="199" w:lineRule="auto"/>
                    <w:ind w:left="473" w:leftChars="0" w:right="0"/>
                    <w:rPr>
                      <w:rFonts w:hint="default" w:ascii="Times New Roman" w:hAnsi="Times New Roman" w:eastAsia="Times New Roman" w:cs="Times New Roman"/>
                      <w:b w:val="0"/>
                      <w:bCs w:val="0"/>
                      <w:color w:val="auto"/>
                      <w:sz w:val="20"/>
                      <w:szCs w:val="20"/>
                      <w:highlight w:val="none"/>
                      <w:lang w:val="en-US" w:eastAsia="zh-CN" w:bidi="ar-SA"/>
                    </w:rPr>
                  </w:pPr>
                  <w:r>
                    <w:rPr>
                      <w:rFonts w:hint="default" w:ascii="Times New Roman" w:hAnsi="Times New Roman" w:eastAsia="Times New Roman" w:cs="Times New Roman"/>
                      <w:b w:val="0"/>
                      <w:bCs w:val="0"/>
                      <w:color w:val="auto"/>
                      <w:spacing w:val="1"/>
                      <w:sz w:val="20"/>
                      <w:szCs w:val="20"/>
                      <w:highlight w:val="none"/>
                    </w:rPr>
                    <w:t>10.0</w:t>
                  </w:r>
                  <w:r>
                    <w:rPr>
                      <w:rFonts w:hint="default" w:ascii="Times New Roman" w:hAnsi="Times New Roman" w:eastAsia="Times New Roman" w:cs="Times New Roman"/>
                      <w:b w:val="0"/>
                      <w:bCs w:val="0"/>
                      <w:color w:val="auto"/>
                      <w:sz w:val="20"/>
                      <w:szCs w:val="20"/>
                      <w:highlight w:val="none"/>
                    </w:rPr>
                    <w:t>min</w:t>
                  </w:r>
                </w:p>
              </w:tc>
              <w:tc>
                <w:tcPr>
                  <w:tcW w:w="1120" w:type="dxa"/>
                  <w:tcBorders>
                    <w:tl2br w:val="nil"/>
                    <w:tr2bl w:val="nil"/>
                  </w:tcBorders>
                  <w:shd w:val="clear" w:color="auto" w:fill="auto"/>
                  <w:vAlign w:val="top"/>
                </w:tcPr>
                <w:p w14:paraId="0CE48F60">
                  <w:pPr>
                    <w:pStyle w:val="43"/>
                    <w:keepNext w:val="0"/>
                    <w:keepLines w:val="0"/>
                    <w:suppressLineNumbers w:val="0"/>
                    <w:spacing w:before="215" w:beforeAutospacing="0" w:after="0" w:afterAutospacing="0" w:line="228" w:lineRule="auto"/>
                    <w:ind w:left="0" w:right="0"/>
                    <w:rPr>
                      <w:rFonts w:hint="default" w:ascii="Times New Roman" w:hAnsi="Times New Roman" w:eastAsia="宋体" w:cs="Times New Roman"/>
                      <w:b w:val="0"/>
                      <w:bCs w:val="0"/>
                      <w:color w:val="auto"/>
                      <w:sz w:val="20"/>
                      <w:szCs w:val="20"/>
                      <w:highlight w:val="none"/>
                      <w:lang w:val="en-US" w:eastAsia="zh-CN" w:bidi="ar-SA"/>
                    </w:rPr>
                  </w:pPr>
                  <w:r>
                    <w:rPr>
                      <w:rFonts w:hint="default" w:ascii="Times New Roman" w:hAnsi="Times New Roman" w:cs="Times New Roman"/>
                      <w:b w:val="0"/>
                      <w:bCs w:val="0"/>
                      <w:color w:val="auto"/>
                      <w:spacing w:val="5"/>
                      <w:sz w:val="20"/>
                      <w:szCs w:val="20"/>
                      <w:highlight w:val="none"/>
                    </w:rPr>
                    <w:t>低毒</w:t>
                  </w:r>
                </w:p>
              </w:tc>
              <w:tc>
                <w:tcPr>
                  <w:tcW w:w="1391" w:type="dxa"/>
                  <w:tcBorders>
                    <w:tl2br w:val="nil"/>
                    <w:tr2bl w:val="nil"/>
                  </w:tcBorders>
                  <w:shd w:val="clear" w:color="auto" w:fill="auto"/>
                  <w:vAlign w:val="top"/>
                </w:tcPr>
                <w:p w14:paraId="00617EED">
                  <w:pPr>
                    <w:pStyle w:val="43"/>
                    <w:keepNext w:val="0"/>
                    <w:keepLines w:val="0"/>
                    <w:suppressLineNumbers w:val="0"/>
                    <w:spacing w:before="242" w:beforeAutospacing="0" w:after="0" w:afterAutospacing="0" w:line="196" w:lineRule="auto"/>
                    <w:ind w:left="472" w:leftChars="0" w:right="0"/>
                    <w:rPr>
                      <w:rFonts w:hint="default" w:ascii="Times New Roman" w:hAnsi="Times New Roman" w:eastAsia="Times New Roman" w:cs="Times New Roman"/>
                      <w:b w:val="0"/>
                      <w:bCs w:val="0"/>
                      <w:color w:val="auto"/>
                      <w:sz w:val="13"/>
                      <w:szCs w:val="13"/>
                      <w:highlight w:val="none"/>
                      <w:lang w:val="en-US" w:eastAsia="zh-CN" w:bidi="ar-SA"/>
                    </w:rPr>
                  </w:pPr>
                  <w:r>
                    <w:rPr>
                      <w:rFonts w:hint="default" w:ascii="Times New Roman" w:hAnsi="Times New Roman" w:eastAsia="Times New Roman" w:cs="Times New Roman"/>
                      <w:b w:val="0"/>
                      <w:bCs w:val="0"/>
                      <w:color w:val="auto"/>
                      <w:sz w:val="20"/>
                      <w:szCs w:val="20"/>
                      <w:highlight w:val="none"/>
                    </w:rPr>
                    <w:t>EC</w:t>
                  </w:r>
                  <w:r>
                    <w:rPr>
                      <w:rFonts w:hint="default" w:ascii="Times New Roman" w:hAnsi="Times New Roman" w:eastAsia="Times New Roman" w:cs="Times New Roman"/>
                      <w:b w:val="0"/>
                      <w:bCs w:val="0"/>
                      <w:color w:val="auto"/>
                      <w:spacing w:val="-26"/>
                      <w:sz w:val="20"/>
                      <w:szCs w:val="20"/>
                      <w:highlight w:val="none"/>
                    </w:rPr>
                    <w:t xml:space="preserve"> </w:t>
                  </w:r>
                  <w:r>
                    <w:rPr>
                      <w:rFonts w:hint="default" w:ascii="Times New Roman" w:hAnsi="Times New Roman" w:cs="Times New Roman"/>
                      <w:b w:val="0"/>
                      <w:bCs w:val="0"/>
                      <w:color w:val="auto"/>
                      <w:sz w:val="20"/>
                      <w:szCs w:val="20"/>
                      <w:highlight w:val="none"/>
                    </w:rPr>
                    <w:t>、</w:t>
                  </w:r>
                  <w:r>
                    <w:rPr>
                      <w:rFonts w:hint="default" w:ascii="Times New Roman" w:hAnsi="Times New Roman" w:eastAsia="Times New Roman" w:cs="Times New Roman"/>
                      <w:b w:val="0"/>
                      <w:bCs w:val="0"/>
                      <w:color w:val="auto"/>
                      <w:sz w:val="20"/>
                      <w:szCs w:val="20"/>
                      <w:highlight w:val="none"/>
                    </w:rPr>
                    <w:t>β</w:t>
                  </w:r>
                  <w:r>
                    <w:rPr>
                      <w:rFonts w:hint="default" w:ascii="Times New Roman" w:hAnsi="Times New Roman" w:eastAsia="Times New Roman" w:cs="Times New Roman"/>
                      <w:b w:val="0"/>
                      <w:bCs w:val="0"/>
                      <w:color w:val="auto"/>
                      <w:position w:val="6"/>
                      <w:sz w:val="13"/>
                      <w:szCs w:val="13"/>
                      <w:highlight w:val="none"/>
                    </w:rPr>
                    <w:t>+</w:t>
                  </w:r>
                </w:p>
              </w:tc>
              <w:tc>
                <w:tcPr>
                  <w:tcW w:w="1953" w:type="dxa"/>
                  <w:tcBorders>
                    <w:tl2br w:val="nil"/>
                    <w:tr2bl w:val="nil"/>
                  </w:tcBorders>
                  <w:shd w:val="clear" w:color="auto" w:fill="auto"/>
                  <w:vAlign w:val="top"/>
                </w:tcPr>
                <w:p w14:paraId="00121863">
                  <w:pPr>
                    <w:pStyle w:val="43"/>
                    <w:keepNext w:val="0"/>
                    <w:keepLines w:val="0"/>
                    <w:suppressLineNumbers w:val="0"/>
                    <w:spacing w:before="55" w:beforeAutospacing="0" w:after="0" w:afterAutospacing="0" w:line="266" w:lineRule="auto"/>
                    <w:ind w:left="377" w:right="360" w:firstLine="36"/>
                    <w:rPr>
                      <w:rFonts w:hint="default" w:ascii="Times New Roman" w:hAnsi="Times New Roman" w:eastAsia="Times New Roman" w:cs="Times New Roman"/>
                      <w:b w:val="0"/>
                      <w:bCs w:val="0"/>
                      <w:color w:val="auto"/>
                      <w:spacing w:val="4"/>
                      <w:sz w:val="20"/>
                      <w:szCs w:val="20"/>
                      <w:highlight w:val="none"/>
                    </w:rPr>
                  </w:pPr>
                  <w:r>
                    <w:rPr>
                      <w:rFonts w:hint="default" w:ascii="Times New Roman" w:hAnsi="Times New Roman" w:eastAsia="Times New Roman" w:cs="Times New Roman"/>
                      <w:b w:val="0"/>
                      <w:bCs w:val="0"/>
                      <w:color w:val="auto"/>
                      <w:spacing w:val="4"/>
                      <w:sz w:val="20"/>
                      <w:szCs w:val="20"/>
                      <w:highlight w:val="none"/>
                    </w:rPr>
                    <w:t>γ</w:t>
                  </w:r>
                  <w:r>
                    <w:rPr>
                      <w:rFonts w:hint="default" w:ascii="Times New Roman" w:hAnsi="Times New Roman" w:cs="Times New Roman"/>
                      <w:b w:val="0"/>
                      <w:bCs w:val="0"/>
                      <w:color w:val="auto"/>
                      <w:spacing w:val="4"/>
                      <w:sz w:val="20"/>
                      <w:szCs w:val="20"/>
                      <w:highlight w:val="none"/>
                    </w:rPr>
                    <w:t>：</w:t>
                  </w:r>
                  <w:r>
                    <w:rPr>
                      <w:rFonts w:hint="default" w:ascii="Times New Roman" w:hAnsi="Times New Roman" w:eastAsia="Times New Roman" w:cs="Times New Roman"/>
                      <w:b w:val="0"/>
                      <w:bCs w:val="0"/>
                      <w:color w:val="auto"/>
                      <w:spacing w:val="4"/>
                      <w:sz w:val="20"/>
                      <w:szCs w:val="20"/>
                      <w:highlight w:val="none"/>
                    </w:rPr>
                    <w:t>0.511</w:t>
                  </w:r>
                </w:p>
                <w:p w14:paraId="156F8DCC">
                  <w:pPr>
                    <w:pStyle w:val="43"/>
                    <w:keepNext w:val="0"/>
                    <w:keepLines w:val="0"/>
                    <w:suppressLineNumbers w:val="0"/>
                    <w:spacing w:before="55" w:beforeAutospacing="0" w:after="0" w:afterAutospacing="0" w:line="266" w:lineRule="auto"/>
                    <w:ind w:left="377" w:leftChars="0" w:right="360" w:rightChars="0" w:firstLine="36" w:firstLineChars="0"/>
                    <w:rPr>
                      <w:rFonts w:hint="default" w:ascii="Times New Roman" w:hAnsi="Times New Roman" w:eastAsia="Times New Roman" w:cs="Times New Roman"/>
                      <w:b w:val="0"/>
                      <w:bCs w:val="0"/>
                      <w:color w:val="auto"/>
                      <w:sz w:val="20"/>
                      <w:szCs w:val="20"/>
                      <w:highlight w:val="none"/>
                      <w:lang w:val="en-US" w:eastAsia="zh-CN" w:bidi="ar-SA"/>
                    </w:rPr>
                  </w:pPr>
                  <w:r>
                    <w:rPr>
                      <w:rFonts w:hint="default" w:ascii="Times New Roman" w:hAnsi="Times New Roman" w:eastAsia="Times New Roman" w:cs="Times New Roman"/>
                      <w:b w:val="0"/>
                      <w:bCs w:val="0"/>
                      <w:color w:val="auto"/>
                      <w:sz w:val="20"/>
                      <w:szCs w:val="20"/>
                      <w:highlight w:val="none"/>
                    </w:rPr>
                    <w:t>β</w:t>
                  </w:r>
                  <w:r>
                    <w:rPr>
                      <w:rFonts w:hint="default" w:ascii="Times New Roman" w:hAnsi="Times New Roman" w:eastAsia="Times New Roman" w:cs="Times New Roman"/>
                      <w:b w:val="0"/>
                      <w:bCs w:val="0"/>
                      <w:color w:val="auto"/>
                      <w:position w:val="6"/>
                      <w:sz w:val="13"/>
                      <w:szCs w:val="13"/>
                      <w:highlight w:val="none"/>
                    </w:rPr>
                    <w:t>+</w:t>
                  </w:r>
                  <w:r>
                    <w:rPr>
                      <w:rFonts w:hint="default" w:ascii="Times New Roman" w:hAnsi="Times New Roman" w:eastAsia="Times New Roman" w:cs="Times New Roman"/>
                      <w:b w:val="0"/>
                      <w:bCs w:val="0"/>
                      <w:color w:val="auto"/>
                      <w:spacing w:val="-5"/>
                      <w:position w:val="6"/>
                      <w:sz w:val="13"/>
                      <w:szCs w:val="13"/>
                      <w:highlight w:val="none"/>
                    </w:rPr>
                    <w:t xml:space="preserve"> </w:t>
                  </w:r>
                  <w:r>
                    <w:rPr>
                      <w:rFonts w:hint="default" w:ascii="Times New Roman" w:hAnsi="Times New Roman" w:cs="Times New Roman"/>
                      <w:b w:val="0"/>
                      <w:bCs w:val="0"/>
                      <w:color w:val="auto"/>
                      <w:sz w:val="20"/>
                      <w:szCs w:val="20"/>
                      <w:highlight w:val="none"/>
                    </w:rPr>
                    <w:t>：</w:t>
                  </w:r>
                  <w:r>
                    <w:rPr>
                      <w:rFonts w:hint="default" w:ascii="Times New Roman" w:hAnsi="Times New Roman" w:eastAsia="Times New Roman" w:cs="Times New Roman"/>
                      <w:b w:val="0"/>
                      <w:bCs w:val="0"/>
                      <w:color w:val="auto"/>
                      <w:sz w:val="20"/>
                      <w:szCs w:val="20"/>
                      <w:highlight w:val="none"/>
                    </w:rPr>
                    <w:t>0.492</w:t>
                  </w:r>
                </w:p>
              </w:tc>
            </w:tr>
          </w:tbl>
          <w:p w14:paraId="75C52138">
            <w:pPr>
              <w:pStyle w:val="43"/>
              <w:keepNext w:val="0"/>
              <w:keepLines w:val="0"/>
              <w:suppressLineNumbers w:val="0"/>
              <w:spacing w:before="78" w:beforeAutospacing="0" w:after="0" w:afterAutospacing="0" w:line="220" w:lineRule="auto"/>
              <w:ind w:left="115" w:right="0" w:firstLine="474" w:firstLineChars="200"/>
              <w:jc w:val="center"/>
              <w:rPr>
                <w:rFonts w:hint="default" w:ascii="Times New Roman" w:hAnsi="Times New Roman" w:eastAsia="宋体" w:cs="Times New Roman"/>
                <w:b/>
                <w:bCs/>
                <w:color w:val="auto"/>
                <w:spacing w:val="-2"/>
                <w:highlight w:val="none"/>
                <w:lang w:val="en-US" w:eastAsia="zh-CN"/>
              </w:rPr>
            </w:pPr>
          </w:p>
          <w:p w14:paraId="0E6901F4">
            <w:pPr>
              <w:pStyle w:val="43"/>
              <w:keepNext w:val="0"/>
              <w:keepLines w:val="0"/>
              <w:suppressLineNumbers w:val="0"/>
              <w:spacing w:before="78" w:beforeAutospacing="0" w:after="0" w:afterAutospacing="0" w:line="220" w:lineRule="auto"/>
              <w:ind w:left="115" w:right="0" w:firstLine="474" w:firstLineChars="200"/>
              <w:jc w:val="center"/>
              <w:rPr>
                <w:rFonts w:hint="default" w:ascii="Times New Roman" w:hAnsi="Times New Roman" w:eastAsia="宋体" w:cs="Times New Roman"/>
                <w:b/>
                <w:bCs/>
                <w:color w:val="auto"/>
                <w:spacing w:val="-2"/>
                <w:highlight w:val="none"/>
                <w:lang w:val="en-US" w:eastAsia="zh-CN"/>
              </w:rPr>
            </w:pPr>
            <w:r>
              <w:rPr>
                <w:rFonts w:hint="default" w:ascii="Times New Roman" w:hAnsi="Times New Roman" w:eastAsia="宋体" w:cs="Times New Roman"/>
                <w:b/>
                <w:bCs/>
                <w:color w:val="auto"/>
                <w:spacing w:val="-2"/>
                <w:highlight w:val="none"/>
                <w:lang w:val="en-US" w:eastAsia="zh-CN"/>
              </w:rPr>
              <w:t>表9-</w:t>
            </w:r>
            <w:r>
              <w:rPr>
                <w:rFonts w:hint="eastAsia" w:ascii="Times New Roman" w:hAnsi="Times New Roman" w:cs="Times New Roman"/>
                <w:b/>
                <w:bCs/>
                <w:color w:val="auto"/>
                <w:spacing w:val="-2"/>
                <w:highlight w:val="none"/>
                <w:lang w:val="en-US" w:eastAsia="zh-CN"/>
              </w:rPr>
              <w:t>4</w:t>
            </w:r>
            <w:r>
              <w:rPr>
                <w:rFonts w:hint="default" w:ascii="Times New Roman" w:hAnsi="Times New Roman" w:eastAsia="宋体" w:cs="Times New Roman"/>
                <w:b/>
                <w:bCs/>
                <w:color w:val="auto"/>
                <w:spacing w:val="-2"/>
                <w:highlight w:val="none"/>
                <w:lang w:val="en-US" w:eastAsia="zh-CN"/>
              </w:rPr>
              <w:t xml:space="preserve">  正电子药物生产及使用情况</w:t>
            </w:r>
          </w:p>
          <w:tbl>
            <w:tblPr>
              <w:tblStyle w:val="22"/>
              <w:tblW w:w="9097" w:type="dxa"/>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720"/>
              <w:gridCol w:w="1255"/>
              <w:gridCol w:w="2690"/>
              <w:gridCol w:w="1915"/>
              <w:gridCol w:w="2517"/>
            </w:tblGrid>
            <w:tr w14:paraId="674006D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422" w:hRule="atLeast"/>
                <w:jc w:val="center"/>
              </w:trPr>
              <w:tc>
                <w:tcPr>
                  <w:tcW w:w="395" w:type="pct"/>
                  <w:tcBorders>
                    <w:tl2br w:val="nil"/>
                    <w:tr2bl w:val="nil"/>
                  </w:tcBorders>
                  <w:shd w:val="clear" w:color="auto" w:fill="auto"/>
                  <w:tcMar>
                    <w:top w:w="120" w:type="dxa"/>
                    <w:left w:w="120" w:type="dxa"/>
                    <w:bottom w:w="120" w:type="dxa"/>
                    <w:right w:w="120" w:type="dxa"/>
                  </w:tcMar>
                  <w:vAlign w:val="center"/>
                </w:tcPr>
                <w:p w14:paraId="763D514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序号</w:t>
                  </w:r>
                </w:p>
              </w:tc>
              <w:tc>
                <w:tcPr>
                  <w:tcW w:w="689" w:type="pct"/>
                  <w:tcBorders>
                    <w:tl2br w:val="nil"/>
                    <w:tr2bl w:val="nil"/>
                  </w:tcBorders>
                  <w:shd w:val="clear" w:color="auto" w:fill="auto"/>
                  <w:tcMar>
                    <w:top w:w="120" w:type="dxa"/>
                    <w:left w:w="120" w:type="dxa"/>
                    <w:bottom w:w="120" w:type="dxa"/>
                    <w:right w:w="120" w:type="dxa"/>
                  </w:tcMar>
                  <w:vAlign w:val="center"/>
                </w:tcPr>
                <w:p w14:paraId="338EDD2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核素</w:t>
                  </w:r>
                </w:p>
              </w:tc>
              <w:tc>
                <w:tcPr>
                  <w:tcW w:w="1478" w:type="pct"/>
                  <w:tcBorders>
                    <w:tl2br w:val="nil"/>
                    <w:tr2bl w:val="nil"/>
                  </w:tcBorders>
                  <w:shd w:val="clear" w:color="auto" w:fill="auto"/>
                  <w:tcMar>
                    <w:top w:w="120" w:type="dxa"/>
                    <w:left w:w="120" w:type="dxa"/>
                    <w:bottom w:w="120" w:type="dxa"/>
                    <w:right w:w="120" w:type="dxa"/>
                  </w:tcMar>
                  <w:vAlign w:val="center"/>
                </w:tcPr>
                <w:p w14:paraId="1E04C0D2">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bidi="ar-SA"/>
                    </w:rPr>
                  </w:pPr>
                  <w:r>
                    <w:rPr>
                      <w:rFonts w:hint="default" w:ascii="Times New Roman" w:hAnsi="Times New Roman" w:cs="Times New Roman"/>
                      <w:color w:val="auto"/>
                      <w:kern w:val="0"/>
                      <w:sz w:val="20"/>
                      <w:szCs w:val="21"/>
                      <w:highlight w:val="none"/>
                      <w:lang w:val="en-US" w:eastAsia="zh-CN"/>
                    </w:rPr>
                    <w:t>日最大操作量</w:t>
                  </w:r>
                </w:p>
              </w:tc>
              <w:tc>
                <w:tcPr>
                  <w:tcW w:w="1052" w:type="pct"/>
                  <w:tcBorders>
                    <w:tl2br w:val="nil"/>
                    <w:tr2bl w:val="nil"/>
                  </w:tcBorders>
                  <w:shd w:val="clear" w:color="auto" w:fill="auto"/>
                  <w:tcMar>
                    <w:top w:w="120" w:type="dxa"/>
                    <w:left w:w="120" w:type="dxa"/>
                    <w:bottom w:w="120" w:type="dxa"/>
                    <w:right w:w="120" w:type="dxa"/>
                  </w:tcMar>
                  <w:vAlign w:val="center"/>
                </w:tcPr>
                <w:p w14:paraId="20FC16E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cs="Times New Roman"/>
                      <w:color w:val="auto"/>
                      <w:kern w:val="0"/>
                      <w:sz w:val="20"/>
                      <w:szCs w:val="21"/>
                      <w:highlight w:val="none"/>
                      <w:lang w:val="en-US" w:eastAsia="zh-CN"/>
                    </w:rPr>
                  </w:pPr>
                  <w:r>
                    <w:rPr>
                      <w:rFonts w:hint="eastAsia" w:cs="Times New Roman"/>
                      <w:color w:val="auto"/>
                      <w:kern w:val="0"/>
                      <w:sz w:val="20"/>
                      <w:szCs w:val="21"/>
                      <w:highlight w:val="none"/>
                      <w:lang w:val="en-US" w:eastAsia="zh-CN"/>
                    </w:rPr>
                    <w:t>年最大使用量（Bq）</w:t>
                  </w:r>
                </w:p>
              </w:tc>
              <w:tc>
                <w:tcPr>
                  <w:tcW w:w="1383" w:type="pct"/>
                  <w:tcBorders>
                    <w:tl2br w:val="nil"/>
                    <w:tr2bl w:val="nil"/>
                  </w:tcBorders>
                  <w:shd w:val="clear" w:color="auto" w:fill="auto"/>
                  <w:tcMar>
                    <w:top w:w="120" w:type="dxa"/>
                    <w:left w:w="120" w:type="dxa"/>
                    <w:bottom w:w="120" w:type="dxa"/>
                    <w:right w:w="120" w:type="dxa"/>
                  </w:tcMar>
                  <w:vAlign w:val="center"/>
                </w:tcPr>
                <w:p w14:paraId="5C95E20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eastAsia" w:cs="Times New Roman"/>
                      <w:color w:val="auto"/>
                      <w:kern w:val="0"/>
                      <w:sz w:val="20"/>
                      <w:szCs w:val="21"/>
                      <w:highlight w:val="none"/>
                      <w:lang w:val="en-US" w:eastAsia="zh-CN"/>
                    </w:rPr>
                    <w:t>日</w:t>
                  </w:r>
                  <w:r>
                    <w:rPr>
                      <w:rFonts w:hint="default" w:ascii="Times New Roman" w:hAnsi="Times New Roman" w:cs="Times New Roman"/>
                      <w:color w:val="auto"/>
                      <w:kern w:val="0"/>
                      <w:sz w:val="20"/>
                      <w:szCs w:val="21"/>
                      <w:highlight w:val="none"/>
                      <w:lang w:val="en-US" w:eastAsia="zh-CN"/>
                    </w:rPr>
                    <w:t>使用情况</w:t>
                  </w:r>
                </w:p>
              </w:tc>
            </w:tr>
            <w:tr w14:paraId="62B179F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2" w:hRule="atLeast"/>
                <w:jc w:val="center"/>
              </w:trPr>
              <w:tc>
                <w:tcPr>
                  <w:tcW w:w="395" w:type="pct"/>
                  <w:tcBorders>
                    <w:tl2br w:val="nil"/>
                    <w:tr2bl w:val="nil"/>
                  </w:tcBorders>
                  <w:shd w:val="clear" w:color="auto" w:fill="auto"/>
                  <w:tcMar>
                    <w:top w:w="120" w:type="dxa"/>
                    <w:left w:w="120" w:type="dxa"/>
                    <w:bottom w:w="120" w:type="dxa"/>
                    <w:right w:w="120" w:type="dxa"/>
                  </w:tcMar>
                  <w:vAlign w:val="center"/>
                </w:tcPr>
                <w:p w14:paraId="4491E9E6">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w:t>
                  </w:r>
                </w:p>
              </w:tc>
              <w:tc>
                <w:tcPr>
                  <w:tcW w:w="689" w:type="pct"/>
                  <w:tcBorders>
                    <w:tl2br w:val="nil"/>
                    <w:tr2bl w:val="nil"/>
                  </w:tcBorders>
                  <w:shd w:val="clear" w:color="auto" w:fill="auto"/>
                  <w:tcMar>
                    <w:top w:w="120" w:type="dxa"/>
                    <w:left w:w="120" w:type="dxa"/>
                    <w:bottom w:w="120" w:type="dxa"/>
                    <w:right w:w="120" w:type="dxa"/>
                  </w:tcMar>
                  <w:vAlign w:val="center"/>
                </w:tcPr>
                <w:p w14:paraId="1314170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vertAlign w:val="baseline"/>
                      <w:lang w:val="en-US" w:eastAsia="zh-CN"/>
                    </w:rPr>
                    <w:t>F-18</w:t>
                  </w:r>
                </w:p>
              </w:tc>
              <w:tc>
                <w:tcPr>
                  <w:tcW w:w="1478" w:type="pct"/>
                  <w:tcBorders>
                    <w:tl2br w:val="nil"/>
                    <w:tr2bl w:val="nil"/>
                  </w:tcBorders>
                  <w:shd w:val="clear" w:color="auto" w:fill="auto"/>
                  <w:tcMar>
                    <w:top w:w="120" w:type="dxa"/>
                    <w:left w:w="120" w:type="dxa"/>
                    <w:bottom w:w="120" w:type="dxa"/>
                    <w:right w:w="120" w:type="dxa"/>
                  </w:tcMar>
                  <w:vAlign w:val="center"/>
                </w:tcPr>
                <w:p w14:paraId="09752E0B">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bidi="ar-SA"/>
                    </w:rPr>
                  </w:pPr>
                  <w:r>
                    <w:rPr>
                      <w:rFonts w:hint="default" w:ascii="Times New Roman" w:hAnsi="Times New Roman" w:eastAsia="宋体" w:cs="Times New Roman"/>
                      <w:color w:val="auto"/>
                      <w:kern w:val="0"/>
                      <w:sz w:val="20"/>
                      <w:szCs w:val="21"/>
                      <w:highlight w:val="none"/>
                      <w:lang w:val="en-US" w:eastAsia="zh-CN"/>
                    </w:rPr>
                    <w:t>7.40E+10 Bq（2000mCi）</w:t>
                  </w:r>
                </w:p>
              </w:tc>
              <w:tc>
                <w:tcPr>
                  <w:tcW w:w="1052" w:type="pct"/>
                  <w:tcBorders>
                    <w:tl2br w:val="nil"/>
                    <w:tr2bl w:val="nil"/>
                  </w:tcBorders>
                  <w:shd w:val="clear" w:color="auto" w:fill="auto"/>
                  <w:tcMar>
                    <w:top w:w="120" w:type="dxa"/>
                    <w:left w:w="120" w:type="dxa"/>
                    <w:bottom w:w="120" w:type="dxa"/>
                    <w:right w:w="120" w:type="dxa"/>
                  </w:tcMar>
                  <w:vAlign w:val="center"/>
                </w:tcPr>
                <w:p w14:paraId="2EE8285E">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eastAsia" w:ascii="Times New Roman" w:hAnsi="Times New Roman" w:eastAsia="宋体" w:cs="Times New Roman"/>
                      <w:color w:val="auto"/>
                      <w:kern w:val="0"/>
                      <w:sz w:val="20"/>
                      <w:szCs w:val="21"/>
                      <w:highlight w:val="none"/>
                      <w:lang w:val="en-US" w:eastAsia="zh-CN"/>
                    </w:rPr>
                    <w:t>1.85E+13</w:t>
                  </w:r>
                </w:p>
              </w:tc>
              <w:tc>
                <w:tcPr>
                  <w:tcW w:w="1383" w:type="pct"/>
                  <w:tcBorders>
                    <w:tl2br w:val="nil"/>
                    <w:tr2bl w:val="nil"/>
                  </w:tcBorders>
                  <w:shd w:val="clear" w:color="auto" w:fill="auto"/>
                  <w:tcMar>
                    <w:top w:w="120" w:type="dxa"/>
                    <w:left w:w="120" w:type="dxa"/>
                    <w:bottom w:w="120" w:type="dxa"/>
                    <w:right w:w="120" w:type="dxa"/>
                  </w:tcMar>
                  <w:vAlign w:val="center"/>
                </w:tcPr>
                <w:p w14:paraId="1EF2409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 xml:space="preserve">1000mCi  </w:t>
                  </w:r>
                </w:p>
              </w:tc>
            </w:tr>
            <w:tr w14:paraId="440655D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406" w:hRule="atLeast"/>
                <w:jc w:val="center"/>
              </w:trPr>
              <w:tc>
                <w:tcPr>
                  <w:tcW w:w="395" w:type="pct"/>
                  <w:tcBorders>
                    <w:tl2br w:val="nil"/>
                    <w:tr2bl w:val="nil"/>
                  </w:tcBorders>
                  <w:shd w:val="clear" w:color="auto" w:fill="auto"/>
                  <w:tcMar>
                    <w:top w:w="120" w:type="dxa"/>
                    <w:left w:w="120" w:type="dxa"/>
                    <w:bottom w:w="120" w:type="dxa"/>
                    <w:right w:w="120" w:type="dxa"/>
                  </w:tcMar>
                  <w:vAlign w:val="center"/>
                </w:tcPr>
                <w:p w14:paraId="52F0C222">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2</w:t>
                  </w:r>
                </w:p>
              </w:tc>
              <w:tc>
                <w:tcPr>
                  <w:tcW w:w="689" w:type="pct"/>
                  <w:tcBorders>
                    <w:tl2br w:val="nil"/>
                    <w:tr2bl w:val="nil"/>
                  </w:tcBorders>
                  <w:shd w:val="clear" w:color="auto" w:fill="auto"/>
                  <w:tcMar>
                    <w:top w:w="120" w:type="dxa"/>
                    <w:left w:w="120" w:type="dxa"/>
                    <w:bottom w:w="120" w:type="dxa"/>
                    <w:right w:w="120" w:type="dxa"/>
                  </w:tcMar>
                  <w:vAlign w:val="center"/>
                </w:tcPr>
                <w:p w14:paraId="064D462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Ga-68</w:t>
                  </w:r>
                </w:p>
              </w:tc>
              <w:tc>
                <w:tcPr>
                  <w:tcW w:w="1478" w:type="pct"/>
                  <w:tcBorders>
                    <w:tl2br w:val="nil"/>
                    <w:tr2bl w:val="nil"/>
                  </w:tcBorders>
                  <w:shd w:val="clear" w:color="auto" w:fill="auto"/>
                  <w:tcMar>
                    <w:top w:w="120" w:type="dxa"/>
                    <w:left w:w="120" w:type="dxa"/>
                    <w:bottom w:w="120" w:type="dxa"/>
                    <w:right w:w="120" w:type="dxa"/>
                  </w:tcMar>
                  <w:vAlign w:val="center"/>
                </w:tcPr>
                <w:p w14:paraId="4A092119">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bidi="ar-SA"/>
                    </w:rPr>
                  </w:pPr>
                  <w:r>
                    <w:rPr>
                      <w:rFonts w:hint="default" w:ascii="Times New Roman" w:hAnsi="Times New Roman" w:eastAsia="宋体" w:cs="Times New Roman"/>
                      <w:color w:val="auto"/>
                      <w:kern w:val="0"/>
                      <w:sz w:val="20"/>
                      <w:szCs w:val="21"/>
                      <w:highlight w:val="none"/>
                      <w:lang w:val="en-US" w:eastAsia="zh-CN"/>
                    </w:rPr>
                    <w:t>3.70E+10 Bq（1000mCi）</w:t>
                  </w:r>
                </w:p>
              </w:tc>
              <w:tc>
                <w:tcPr>
                  <w:tcW w:w="1052" w:type="pct"/>
                  <w:tcBorders>
                    <w:tl2br w:val="nil"/>
                    <w:tr2bl w:val="nil"/>
                  </w:tcBorders>
                  <w:shd w:val="clear" w:color="auto" w:fill="auto"/>
                  <w:tcMar>
                    <w:top w:w="120" w:type="dxa"/>
                    <w:left w:w="120" w:type="dxa"/>
                    <w:bottom w:w="120" w:type="dxa"/>
                    <w:right w:w="120" w:type="dxa"/>
                  </w:tcMar>
                  <w:vAlign w:val="center"/>
                </w:tcPr>
                <w:p w14:paraId="30C1F4B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eastAsia" w:ascii="Times New Roman" w:hAnsi="Times New Roman" w:eastAsia="宋体" w:cs="Times New Roman"/>
                      <w:color w:val="auto"/>
                      <w:kern w:val="0"/>
                      <w:sz w:val="20"/>
                      <w:szCs w:val="21"/>
                      <w:highlight w:val="none"/>
                      <w:lang w:val="en-US" w:eastAsia="zh-CN"/>
                    </w:rPr>
                    <w:t>9.25E+12</w:t>
                  </w:r>
                </w:p>
              </w:tc>
              <w:tc>
                <w:tcPr>
                  <w:tcW w:w="1383" w:type="pct"/>
                  <w:tcBorders>
                    <w:tl2br w:val="nil"/>
                    <w:tr2bl w:val="nil"/>
                  </w:tcBorders>
                  <w:shd w:val="clear" w:color="auto" w:fill="auto"/>
                  <w:tcMar>
                    <w:top w:w="120" w:type="dxa"/>
                    <w:left w:w="120" w:type="dxa"/>
                    <w:bottom w:w="120" w:type="dxa"/>
                    <w:right w:w="120" w:type="dxa"/>
                  </w:tcMar>
                  <w:vAlign w:val="center"/>
                </w:tcPr>
                <w:p w14:paraId="0F05167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500mCi</w:t>
                  </w:r>
                </w:p>
              </w:tc>
            </w:tr>
            <w:tr w14:paraId="52DF9A5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406" w:hRule="atLeast"/>
                <w:jc w:val="center"/>
              </w:trPr>
              <w:tc>
                <w:tcPr>
                  <w:tcW w:w="395" w:type="pct"/>
                  <w:tcBorders>
                    <w:tl2br w:val="nil"/>
                    <w:tr2bl w:val="nil"/>
                  </w:tcBorders>
                  <w:shd w:val="clear" w:color="auto" w:fill="auto"/>
                  <w:tcMar>
                    <w:top w:w="120" w:type="dxa"/>
                    <w:left w:w="120" w:type="dxa"/>
                    <w:bottom w:w="120" w:type="dxa"/>
                    <w:right w:w="120" w:type="dxa"/>
                  </w:tcMar>
                  <w:vAlign w:val="center"/>
                </w:tcPr>
                <w:p w14:paraId="5AC62DDB">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3</w:t>
                  </w:r>
                </w:p>
              </w:tc>
              <w:tc>
                <w:tcPr>
                  <w:tcW w:w="689" w:type="pct"/>
                  <w:tcBorders>
                    <w:tl2br w:val="nil"/>
                    <w:tr2bl w:val="nil"/>
                  </w:tcBorders>
                  <w:shd w:val="clear" w:color="auto" w:fill="auto"/>
                  <w:tcMar>
                    <w:top w:w="120" w:type="dxa"/>
                    <w:left w:w="120" w:type="dxa"/>
                    <w:bottom w:w="120" w:type="dxa"/>
                    <w:right w:w="120" w:type="dxa"/>
                  </w:tcMar>
                  <w:vAlign w:val="center"/>
                </w:tcPr>
                <w:p w14:paraId="7E33C9BA">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C-11</w:t>
                  </w:r>
                </w:p>
              </w:tc>
              <w:tc>
                <w:tcPr>
                  <w:tcW w:w="1478" w:type="pct"/>
                  <w:tcBorders>
                    <w:tl2br w:val="nil"/>
                    <w:tr2bl w:val="nil"/>
                  </w:tcBorders>
                  <w:shd w:val="clear" w:color="auto" w:fill="auto"/>
                  <w:tcMar>
                    <w:top w:w="120" w:type="dxa"/>
                    <w:left w:w="120" w:type="dxa"/>
                    <w:bottom w:w="120" w:type="dxa"/>
                    <w:right w:w="120" w:type="dxa"/>
                  </w:tcMar>
                  <w:vAlign w:val="center"/>
                </w:tcPr>
                <w:p w14:paraId="2939AEF6">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bidi="ar-SA"/>
                    </w:rPr>
                  </w:pPr>
                  <w:r>
                    <w:rPr>
                      <w:rFonts w:hint="default" w:ascii="Times New Roman" w:hAnsi="Times New Roman" w:eastAsia="宋体" w:cs="Times New Roman"/>
                      <w:color w:val="auto"/>
                      <w:kern w:val="0"/>
                      <w:sz w:val="20"/>
                      <w:szCs w:val="21"/>
                      <w:highlight w:val="none"/>
                      <w:lang w:val="en-US" w:eastAsia="zh-CN"/>
                    </w:rPr>
                    <w:t>1.48E+10 Bq（400mCi）</w:t>
                  </w:r>
                </w:p>
              </w:tc>
              <w:tc>
                <w:tcPr>
                  <w:tcW w:w="1052" w:type="pct"/>
                  <w:tcBorders>
                    <w:tl2br w:val="nil"/>
                    <w:tr2bl w:val="nil"/>
                  </w:tcBorders>
                  <w:shd w:val="clear" w:color="auto" w:fill="auto"/>
                  <w:tcMar>
                    <w:top w:w="120" w:type="dxa"/>
                    <w:left w:w="120" w:type="dxa"/>
                    <w:bottom w:w="120" w:type="dxa"/>
                    <w:right w:w="120" w:type="dxa"/>
                  </w:tcMar>
                  <w:vAlign w:val="center"/>
                </w:tcPr>
                <w:p w14:paraId="3DD64EA4">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eastAsia" w:ascii="Times New Roman" w:hAnsi="Times New Roman" w:eastAsia="宋体" w:cs="Times New Roman"/>
                      <w:color w:val="auto"/>
                      <w:kern w:val="0"/>
                      <w:sz w:val="20"/>
                      <w:szCs w:val="21"/>
                      <w:highlight w:val="none"/>
                      <w:lang w:val="en-US" w:eastAsia="zh-CN"/>
                    </w:rPr>
                    <w:t>3.70E+12</w:t>
                  </w:r>
                </w:p>
              </w:tc>
              <w:tc>
                <w:tcPr>
                  <w:tcW w:w="1383" w:type="pct"/>
                  <w:tcBorders>
                    <w:tl2br w:val="nil"/>
                    <w:tr2bl w:val="nil"/>
                  </w:tcBorders>
                  <w:shd w:val="clear" w:color="auto" w:fill="auto"/>
                  <w:tcMar>
                    <w:top w:w="120" w:type="dxa"/>
                    <w:left w:w="120" w:type="dxa"/>
                    <w:bottom w:w="120" w:type="dxa"/>
                    <w:right w:w="120" w:type="dxa"/>
                  </w:tcMar>
                  <w:vAlign w:val="center"/>
                </w:tcPr>
                <w:p w14:paraId="68857C36">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200mCi</w:t>
                  </w:r>
                </w:p>
              </w:tc>
            </w:tr>
            <w:tr w14:paraId="255B002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448" w:hRule="atLeast"/>
                <w:jc w:val="center"/>
              </w:trPr>
              <w:tc>
                <w:tcPr>
                  <w:tcW w:w="395" w:type="pct"/>
                  <w:tcBorders>
                    <w:tl2br w:val="nil"/>
                    <w:tr2bl w:val="nil"/>
                  </w:tcBorders>
                  <w:shd w:val="clear" w:color="auto" w:fill="auto"/>
                  <w:tcMar>
                    <w:top w:w="120" w:type="dxa"/>
                    <w:left w:w="120" w:type="dxa"/>
                    <w:bottom w:w="120" w:type="dxa"/>
                    <w:right w:w="120" w:type="dxa"/>
                  </w:tcMar>
                  <w:vAlign w:val="center"/>
                </w:tcPr>
                <w:p w14:paraId="1B09F808">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4</w:t>
                  </w:r>
                </w:p>
              </w:tc>
              <w:tc>
                <w:tcPr>
                  <w:tcW w:w="689" w:type="pct"/>
                  <w:tcBorders>
                    <w:tl2br w:val="nil"/>
                    <w:tr2bl w:val="nil"/>
                  </w:tcBorders>
                  <w:shd w:val="clear" w:color="auto" w:fill="auto"/>
                  <w:tcMar>
                    <w:top w:w="120" w:type="dxa"/>
                    <w:left w:w="120" w:type="dxa"/>
                    <w:bottom w:w="120" w:type="dxa"/>
                    <w:right w:w="120" w:type="dxa"/>
                  </w:tcMar>
                  <w:vAlign w:val="center"/>
                </w:tcPr>
                <w:p w14:paraId="6657CAD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eastAsia" w:cs="Times New Roman"/>
                      <w:color w:val="auto"/>
                      <w:kern w:val="0"/>
                      <w:sz w:val="20"/>
                      <w:szCs w:val="21"/>
                      <w:highlight w:val="none"/>
                      <w:lang w:val="en-US" w:eastAsia="zh-CN"/>
                    </w:rPr>
                    <w:t>N-13</w:t>
                  </w:r>
                </w:p>
              </w:tc>
              <w:tc>
                <w:tcPr>
                  <w:tcW w:w="1478" w:type="pct"/>
                  <w:tcBorders>
                    <w:tl2br w:val="nil"/>
                    <w:tr2bl w:val="nil"/>
                  </w:tcBorders>
                  <w:shd w:val="clear" w:color="auto" w:fill="auto"/>
                  <w:tcMar>
                    <w:top w:w="120" w:type="dxa"/>
                    <w:left w:w="120" w:type="dxa"/>
                    <w:bottom w:w="120" w:type="dxa"/>
                    <w:right w:w="120" w:type="dxa"/>
                  </w:tcMar>
                  <w:vAlign w:val="center"/>
                </w:tcPr>
                <w:p w14:paraId="5EDBE38E">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bidi="ar-SA"/>
                    </w:rPr>
                  </w:pPr>
                  <w:r>
                    <w:rPr>
                      <w:rFonts w:hint="default" w:ascii="Times New Roman" w:hAnsi="Times New Roman" w:eastAsia="宋体" w:cs="Times New Roman"/>
                      <w:color w:val="auto"/>
                      <w:kern w:val="0"/>
                      <w:sz w:val="20"/>
                      <w:szCs w:val="21"/>
                      <w:highlight w:val="none"/>
                      <w:lang w:val="en-US" w:eastAsia="zh-CN"/>
                    </w:rPr>
                    <w:t>1.48E+10 Bq（400mCi）</w:t>
                  </w:r>
                </w:p>
              </w:tc>
              <w:tc>
                <w:tcPr>
                  <w:tcW w:w="1052" w:type="pct"/>
                  <w:tcBorders>
                    <w:tl2br w:val="nil"/>
                    <w:tr2bl w:val="nil"/>
                  </w:tcBorders>
                  <w:shd w:val="clear" w:color="auto" w:fill="auto"/>
                  <w:tcMar>
                    <w:top w:w="120" w:type="dxa"/>
                    <w:left w:w="120" w:type="dxa"/>
                    <w:bottom w:w="120" w:type="dxa"/>
                    <w:right w:w="120" w:type="dxa"/>
                  </w:tcMar>
                  <w:vAlign w:val="center"/>
                </w:tcPr>
                <w:p w14:paraId="73B0DAFA">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eastAsia" w:ascii="Times New Roman" w:hAnsi="Times New Roman" w:eastAsia="宋体" w:cs="Times New Roman"/>
                      <w:color w:val="auto"/>
                      <w:kern w:val="0"/>
                      <w:sz w:val="20"/>
                      <w:szCs w:val="21"/>
                      <w:highlight w:val="none"/>
                      <w:lang w:val="en-US" w:eastAsia="zh-CN"/>
                    </w:rPr>
                    <w:t>3.70E+12</w:t>
                  </w:r>
                </w:p>
              </w:tc>
              <w:tc>
                <w:tcPr>
                  <w:tcW w:w="1383" w:type="pct"/>
                  <w:tcBorders>
                    <w:tl2br w:val="nil"/>
                    <w:tr2bl w:val="nil"/>
                  </w:tcBorders>
                  <w:shd w:val="clear" w:color="auto" w:fill="auto"/>
                  <w:tcMar>
                    <w:top w:w="120" w:type="dxa"/>
                    <w:left w:w="120" w:type="dxa"/>
                    <w:bottom w:w="120" w:type="dxa"/>
                    <w:right w:w="120" w:type="dxa"/>
                  </w:tcMar>
                  <w:vAlign w:val="center"/>
                </w:tcPr>
                <w:p w14:paraId="173186DB">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200mCi</w:t>
                  </w:r>
                </w:p>
              </w:tc>
            </w:tr>
          </w:tbl>
          <w:p w14:paraId="37329625">
            <w:pPr>
              <w:pStyle w:val="43"/>
              <w:keepNext w:val="0"/>
              <w:keepLines w:val="0"/>
              <w:suppressLineNumbers w:val="0"/>
              <w:spacing w:before="78" w:beforeAutospacing="0" w:after="0" w:afterAutospacing="0" w:line="220" w:lineRule="auto"/>
              <w:ind w:left="0" w:right="0"/>
              <w:jc w:val="left"/>
              <w:rPr>
                <w:rFonts w:hint="default" w:ascii="Times New Roman" w:hAnsi="Times New Roman" w:eastAsia="Times New Roman" w:cs="Times New Roman"/>
                <w:b/>
                <w:bCs/>
                <w:color w:val="auto"/>
                <w:spacing w:val="-2"/>
                <w:sz w:val="21"/>
                <w:szCs w:val="21"/>
                <w:highlight w:val="none"/>
                <w:lang w:val="en-US" w:eastAsia="zh-CN"/>
              </w:rPr>
            </w:pPr>
            <w:r>
              <w:rPr>
                <w:rFonts w:hint="default" w:ascii="Times New Roman" w:hAnsi="Times New Roman" w:eastAsia="Times New Roman" w:cs="Times New Roman"/>
                <w:b/>
                <w:bCs/>
                <w:color w:val="auto"/>
                <w:spacing w:val="-2"/>
                <w:sz w:val="21"/>
                <w:szCs w:val="21"/>
                <w:highlight w:val="none"/>
                <w:lang w:val="en-US" w:eastAsia="zh-CN"/>
              </w:rPr>
              <w:t>注：考虑到药物半衰期，药物按使用量两倍生产。</w:t>
            </w:r>
          </w:p>
          <w:p w14:paraId="535E09F6">
            <w:pPr>
              <w:pStyle w:val="43"/>
              <w:keepNext w:val="0"/>
              <w:keepLines w:val="0"/>
              <w:suppressLineNumbers w:val="0"/>
              <w:spacing w:before="78" w:beforeAutospacing="0" w:after="0" w:afterAutospacing="0" w:line="220" w:lineRule="auto"/>
              <w:ind w:left="115" w:right="0" w:firstLine="472" w:firstLineChars="200"/>
              <w:jc w:val="center"/>
              <w:rPr>
                <w:rFonts w:hint="default" w:ascii="Times New Roman" w:hAnsi="Times New Roman" w:eastAsia="Times New Roman" w:cs="Times New Roman"/>
                <w:b/>
                <w:bCs/>
                <w:color w:val="auto"/>
                <w:spacing w:val="-2"/>
                <w:highlight w:val="none"/>
                <w:lang w:val="en-US"/>
              </w:rPr>
            </w:pPr>
            <w:r>
              <w:rPr>
                <w:rFonts w:hint="default" w:ascii="Times New Roman" w:hAnsi="Times New Roman" w:eastAsia="Times New Roman" w:cs="Times New Roman"/>
                <w:b/>
                <w:bCs/>
                <w:color w:val="auto"/>
                <w:spacing w:val="-2"/>
                <w:highlight w:val="none"/>
                <w:lang w:val="en-US" w:eastAsia="zh-CN"/>
              </w:rPr>
              <w:t>表9-</w:t>
            </w:r>
            <w:r>
              <w:rPr>
                <w:rFonts w:hint="eastAsia" w:ascii="Times New Roman" w:hAnsi="Times New Roman" w:eastAsia="Times New Roman" w:cs="Times New Roman"/>
                <w:b/>
                <w:bCs/>
                <w:color w:val="auto"/>
                <w:spacing w:val="-2"/>
                <w:highlight w:val="none"/>
                <w:lang w:val="en-US" w:eastAsia="zh-CN"/>
              </w:rPr>
              <w:t>5</w:t>
            </w:r>
            <w:r>
              <w:rPr>
                <w:rFonts w:hint="default" w:ascii="Times New Roman" w:hAnsi="Times New Roman" w:eastAsia="Times New Roman" w:cs="Times New Roman"/>
                <w:b/>
                <w:bCs/>
                <w:color w:val="auto"/>
                <w:spacing w:val="-2"/>
                <w:highlight w:val="none"/>
                <w:lang w:val="en-US" w:eastAsia="zh-CN"/>
              </w:rPr>
              <w:t xml:space="preserve">  正电子药物诊断使用情况</w:t>
            </w:r>
          </w:p>
          <w:tbl>
            <w:tblPr>
              <w:tblStyle w:val="30"/>
              <w:tblW w:w="9068" w:type="dxa"/>
              <w:tblInd w:w="5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75"/>
              <w:gridCol w:w="1314"/>
              <w:gridCol w:w="1969"/>
              <w:gridCol w:w="1300"/>
              <w:gridCol w:w="1078"/>
              <w:gridCol w:w="1263"/>
              <w:gridCol w:w="1169"/>
            </w:tblGrid>
            <w:tr w14:paraId="4336B4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tcBorders>
                    <w:tl2br w:val="nil"/>
                    <w:tr2bl w:val="nil"/>
                  </w:tcBorders>
                  <w:vAlign w:val="center"/>
                </w:tcPr>
                <w:p w14:paraId="6A44062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工作场所</w:t>
                  </w:r>
                </w:p>
              </w:tc>
              <w:tc>
                <w:tcPr>
                  <w:tcW w:w="1314" w:type="dxa"/>
                  <w:tcBorders>
                    <w:tl2br w:val="nil"/>
                    <w:tr2bl w:val="nil"/>
                  </w:tcBorders>
                  <w:vAlign w:val="center"/>
                </w:tcPr>
                <w:p w14:paraId="1AFD3D1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核素</w:t>
                  </w:r>
                </w:p>
              </w:tc>
              <w:tc>
                <w:tcPr>
                  <w:tcW w:w="1969" w:type="dxa"/>
                  <w:tcBorders>
                    <w:tl2br w:val="nil"/>
                    <w:tr2bl w:val="nil"/>
                  </w:tcBorders>
                  <w:vAlign w:val="center"/>
                </w:tcPr>
                <w:p w14:paraId="149B15F2">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单人最大用药量</w:t>
                  </w:r>
                </w:p>
                <w:p w14:paraId="5DD2C41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（Bq/人·次）</w:t>
                  </w:r>
                </w:p>
              </w:tc>
              <w:tc>
                <w:tcPr>
                  <w:tcW w:w="1300" w:type="dxa"/>
                  <w:tcBorders>
                    <w:tl2br w:val="nil"/>
                    <w:tr2bl w:val="nil"/>
                  </w:tcBorders>
                  <w:vAlign w:val="center"/>
                </w:tcPr>
                <w:p w14:paraId="2F1A6FD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日最大门诊量（人次）</w:t>
                  </w:r>
                </w:p>
              </w:tc>
              <w:tc>
                <w:tcPr>
                  <w:tcW w:w="1078" w:type="dxa"/>
                  <w:tcBorders>
                    <w:tl2br w:val="nil"/>
                    <w:tr2bl w:val="nil"/>
                  </w:tcBorders>
                  <w:vAlign w:val="center"/>
                </w:tcPr>
                <w:p w14:paraId="466766B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年工作时间（天）</w:t>
                  </w:r>
                </w:p>
              </w:tc>
              <w:tc>
                <w:tcPr>
                  <w:tcW w:w="1263" w:type="dxa"/>
                  <w:tcBorders>
                    <w:tl2br w:val="nil"/>
                    <w:tr2bl w:val="nil"/>
                  </w:tcBorders>
                  <w:vAlign w:val="center"/>
                </w:tcPr>
                <w:p w14:paraId="3292C3C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日最大操作量</w:t>
                  </w:r>
                </w:p>
                <w:p w14:paraId="6C53A516">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（Bq）</w:t>
                  </w:r>
                </w:p>
              </w:tc>
              <w:tc>
                <w:tcPr>
                  <w:tcW w:w="1169" w:type="dxa"/>
                  <w:tcBorders>
                    <w:tl2br w:val="nil"/>
                    <w:tr2bl w:val="nil"/>
                  </w:tcBorders>
                  <w:vAlign w:val="center"/>
                </w:tcPr>
                <w:p w14:paraId="705BC542">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年最大使用量（Bq）</w:t>
                  </w:r>
                </w:p>
              </w:tc>
            </w:tr>
            <w:tr w14:paraId="45A0F7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vMerge w:val="restart"/>
                  <w:tcBorders>
                    <w:tl2br w:val="nil"/>
                    <w:tr2bl w:val="nil"/>
                  </w:tcBorders>
                  <w:vAlign w:val="center"/>
                </w:tcPr>
                <w:p w14:paraId="1816B25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zh-CN"/>
                    </w:rPr>
                  </w:pPr>
                  <w:r>
                    <w:rPr>
                      <w:rFonts w:hint="default" w:ascii="Times New Roman" w:hAnsi="Times New Roman" w:cs="Times New Roman"/>
                      <w:color w:val="auto"/>
                      <w:kern w:val="0"/>
                      <w:sz w:val="18"/>
                      <w:szCs w:val="20"/>
                      <w:highlight w:val="none"/>
                      <w:lang w:val="en-US" w:eastAsia="zh-CN"/>
                    </w:rPr>
                    <w:t>PET诊断区</w:t>
                  </w:r>
                </w:p>
              </w:tc>
              <w:tc>
                <w:tcPr>
                  <w:tcW w:w="1314" w:type="dxa"/>
                  <w:tcBorders>
                    <w:tl2br w:val="nil"/>
                    <w:tr2bl w:val="nil"/>
                  </w:tcBorders>
                  <w:shd w:val="clear" w:color="auto" w:fill="auto"/>
                  <w:vAlign w:val="center"/>
                </w:tcPr>
                <w:p w14:paraId="7437033C">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vertAlign w:val="baseline"/>
                      <w:lang w:val="en-US" w:eastAsia="zh-CN"/>
                    </w:rPr>
                    <w:t>F-18</w:t>
                  </w:r>
                </w:p>
              </w:tc>
              <w:tc>
                <w:tcPr>
                  <w:tcW w:w="1969" w:type="dxa"/>
                  <w:tcBorders>
                    <w:tl2br w:val="nil"/>
                    <w:tr2bl w:val="nil"/>
                  </w:tcBorders>
                  <w:vAlign w:val="center"/>
                </w:tcPr>
                <w:p w14:paraId="079293E2">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zh-CN"/>
                    </w:rPr>
                  </w:pPr>
                  <w:r>
                    <w:rPr>
                      <w:rFonts w:hint="default" w:ascii="Times New Roman" w:hAnsi="Times New Roman" w:eastAsia="宋体" w:cs="Times New Roman"/>
                      <w:color w:val="auto"/>
                      <w:kern w:val="0"/>
                      <w:sz w:val="18"/>
                      <w:szCs w:val="20"/>
                      <w:highlight w:val="none"/>
                      <w:lang w:val="en-US" w:eastAsia="zh-CN"/>
                    </w:rPr>
                    <w:t>7.40E+08Bq（20mCi）</w:t>
                  </w:r>
                </w:p>
              </w:tc>
              <w:tc>
                <w:tcPr>
                  <w:tcW w:w="1300" w:type="dxa"/>
                  <w:tcBorders>
                    <w:tl2br w:val="nil"/>
                    <w:tr2bl w:val="nil"/>
                  </w:tcBorders>
                  <w:shd w:val="clear" w:color="auto" w:fill="auto"/>
                  <w:vAlign w:val="center"/>
                </w:tcPr>
                <w:p w14:paraId="23351F24">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50</w:t>
                  </w:r>
                </w:p>
              </w:tc>
              <w:tc>
                <w:tcPr>
                  <w:tcW w:w="1078" w:type="dxa"/>
                  <w:tcBorders>
                    <w:tl2br w:val="nil"/>
                    <w:tr2bl w:val="nil"/>
                  </w:tcBorders>
                  <w:shd w:val="clear" w:color="auto" w:fill="auto"/>
                  <w:vAlign w:val="center"/>
                </w:tcPr>
                <w:p w14:paraId="678DD240">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250</w:t>
                  </w:r>
                </w:p>
              </w:tc>
              <w:tc>
                <w:tcPr>
                  <w:tcW w:w="1263" w:type="dxa"/>
                  <w:tcBorders>
                    <w:tl2br w:val="nil"/>
                    <w:tr2bl w:val="nil"/>
                  </w:tcBorders>
                  <w:shd w:val="clear" w:color="auto" w:fill="auto"/>
                  <w:vAlign w:val="center"/>
                </w:tcPr>
                <w:p w14:paraId="5DD44DFF">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3.70E+10</w:t>
                  </w:r>
                </w:p>
              </w:tc>
              <w:tc>
                <w:tcPr>
                  <w:tcW w:w="1169" w:type="dxa"/>
                  <w:tcBorders>
                    <w:tl2br w:val="nil"/>
                    <w:tr2bl w:val="nil"/>
                  </w:tcBorders>
                  <w:shd w:val="clear" w:color="auto" w:fill="auto"/>
                  <w:vAlign w:val="center"/>
                </w:tcPr>
                <w:p w14:paraId="27670FDA">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9.25E+12</w:t>
                  </w:r>
                </w:p>
              </w:tc>
            </w:tr>
            <w:tr w14:paraId="2703DA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vMerge w:val="continue"/>
                  <w:tcBorders>
                    <w:tl2br w:val="nil"/>
                    <w:tr2bl w:val="nil"/>
                  </w:tcBorders>
                  <w:vAlign w:val="center"/>
                </w:tcPr>
                <w:p w14:paraId="466F91D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p>
              </w:tc>
              <w:tc>
                <w:tcPr>
                  <w:tcW w:w="1314" w:type="dxa"/>
                  <w:tcBorders>
                    <w:tl2br w:val="nil"/>
                    <w:tr2bl w:val="nil"/>
                  </w:tcBorders>
                  <w:shd w:val="clear" w:color="auto" w:fill="auto"/>
                  <w:vAlign w:val="center"/>
                </w:tcPr>
                <w:p w14:paraId="41607CF1">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Ga-68</w:t>
                  </w:r>
                </w:p>
              </w:tc>
              <w:tc>
                <w:tcPr>
                  <w:tcW w:w="1969" w:type="dxa"/>
                  <w:tcBorders>
                    <w:tl2br w:val="nil"/>
                    <w:tr2bl w:val="nil"/>
                  </w:tcBorders>
                  <w:vAlign w:val="center"/>
                </w:tcPr>
                <w:p w14:paraId="64FF8AF3">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7.40E+08Bq（20mCi）</w:t>
                  </w:r>
                </w:p>
              </w:tc>
              <w:tc>
                <w:tcPr>
                  <w:tcW w:w="1300" w:type="dxa"/>
                  <w:tcBorders>
                    <w:tl2br w:val="nil"/>
                    <w:tr2bl w:val="nil"/>
                  </w:tcBorders>
                  <w:shd w:val="clear" w:color="auto" w:fill="auto"/>
                  <w:vAlign w:val="center"/>
                </w:tcPr>
                <w:p w14:paraId="4F1AD9DA">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25</w:t>
                  </w:r>
                </w:p>
              </w:tc>
              <w:tc>
                <w:tcPr>
                  <w:tcW w:w="1078" w:type="dxa"/>
                  <w:tcBorders>
                    <w:tl2br w:val="nil"/>
                    <w:tr2bl w:val="nil"/>
                  </w:tcBorders>
                  <w:shd w:val="clear" w:color="auto" w:fill="auto"/>
                  <w:vAlign w:val="center"/>
                </w:tcPr>
                <w:p w14:paraId="0AE7ED5D">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zh-CN"/>
                    </w:rPr>
                  </w:pPr>
                  <w:r>
                    <w:rPr>
                      <w:rFonts w:hint="default" w:ascii="Times New Roman" w:hAnsi="Times New Roman" w:eastAsia="宋体" w:cs="Times New Roman"/>
                      <w:color w:val="auto"/>
                      <w:kern w:val="0"/>
                      <w:sz w:val="18"/>
                      <w:szCs w:val="20"/>
                      <w:highlight w:val="none"/>
                      <w:lang w:val="en-US" w:eastAsia="zh-CN"/>
                    </w:rPr>
                    <w:t>250</w:t>
                  </w:r>
                </w:p>
              </w:tc>
              <w:tc>
                <w:tcPr>
                  <w:tcW w:w="1263" w:type="dxa"/>
                  <w:tcBorders>
                    <w:tl2br w:val="nil"/>
                    <w:tr2bl w:val="nil"/>
                  </w:tcBorders>
                  <w:shd w:val="clear" w:color="auto" w:fill="auto"/>
                  <w:vAlign w:val="center"/>
                </w:tcPr>
                <w:p w14:paraId="1D7C225C">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1.85E+10</w:t>
                  </w:r>
                </w:p>
              </w:tc>
              <w:tc>
                <w:tcPr>
                  <w:tcW w:w="1169" w:type="dxa"/>
                  <w:tcBorders>
                    <w:tl2br w:val="nil"/>
                    <w:tr2bl w:val="nil"/>
                  </w:tcBorders>
                  <w:shd w:val="clear" w:color="auto" w:fill="auto"/>
                  <w:vAlign w:val="center"/>
                </w:tcPr>
                <w:p w14:paraId="182591D7">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4.63E+12</w:t>
                  </w:r>
                </w:p>
              </w:tc>
            </w:tr>
            <w:tr w14:paraId="72B24B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vMerge w:val="continue"/>
                  <w:tcBorders>
                    <w:tl2br w:val="nil"/>
                    <w:tr2bl w:val="nil"/>
                  </w:tcBorders>
                  <w:vAlign w:val="center"/>
                </w:tcPr>
                <w:p w14:paraId="03EC081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p>
              </w:tc>
              <w:tc>
                <w:tcPr>
                  <w:tcW w:w="1314" w:type="dxa"/>
                  <w:tcBorders>
                    <w:tl2br w:val="nil"/>
                    <w:tr2bl w:val="nil"/>
                  </w:tcBorders>
                  <w:shd w:val="clear" w:color="auto" w:fill="auto"/>
                  <w:vAlign w:val="center"/>
                </w:tcPr>
                <w:p w14:paraId="4DCC9701">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C-11</w:t>
                  </w:r>
                </w:p>
              </w:tc>
              <w:tc>
                <w:tcPr>
                  <w:tcW w:w="1969" w:type="dxa"/>
                  <w:tcBorders>
                    <w:tl2br w:val="nil"/>
                    <w:tr2bl w:val="nil"/>
                  </w:tcBorders>
                  <w:vAlign w:val="center"/>
                </w:tcPr>
                <w:p w14:paraId="479FFAE7">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7.40E+08Bq（20mCi）</w:t>
                  </w:r>
                </w:p>
              </w:tc>
              <w:tc>
                <w:tcPr>
                  <w:tcW w:w="1300" w:type="dxa"/>
                  <w:tcBorders>
                    <w:tl2br w:val="nil"/>
                    <w:tr2bl w:val="nil"/>
                  </w:tcBorders>
                  <w:shd w:val="clear" w:color="auto" w:fill="auto"/>
                  <w:vAlign w:val="center"/>
                </w:tcPr>
                <w:p w14:paraId="61C970AB">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10</w:t>
                  </w:r>
                </w:p>
              </w:tc>
              <w:tc>
                <w:tcPr>
                  <w:tcW w:w="1078" w:type="dxa"/>
                  <w:tcBorders>
                    <w:tl2br w:val="nil"/>
                    <w:tr2bl w:val="nil"/>
                  </w:tcBorders>
                  <w:shd w:val="clear" w:color="auto" w:fill="auto"/>
                  <w:vAlign w:val="center"/>
                </w:tcPr>
                <w:p w14:paraId="0E2C56D8">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250</w:t>
                  </w:r>
                </w:p>
              </w:tc>
              <w:tc>
                <w:tcPr>
                  <w:tcW w:w="1263" w:type="dxa"/>
                  <w:tcBorders>
                    <w:tl2br w:val="nil"/>
                    <w:tr2bl w:val="nil"/>
                  </w:tcBorders>
                  <w:shd w:val="clear" w:color="auto" w:fill="auto"/>
                  <w:vAlign w:val="center"/>
                </w:tcPr>
                <w:p w14:paraId="2643D033">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7.40E+09</w:t>
                  </w:r>
                </w:p>
              </w:tc>
              <w:tc>
                <w:tcPr>
                  <w:tcW w:w="1169" w:type="dxa"/>
                  <w:tcBorders>
                    <w:tl2br w:val="nil"/>
                    <w:tr2bl w:val="nil"/>
                  </w:tcBorders>
                  <w:shd w:val="clear" w:color="auto" w:fill="auto"/>
                  <w:vAlign w:val="center"/>
                </w:tcPr>
                <w:p w14:paraId="505A8927">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1.85E+12</w:t>
                  </w:r>
                </w:p>
              </w:tc>
            </w:tr>
            <w:tr w14:paraId="640456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vMerge w:val="continue"/>
                  <w:tcBorders>
                    <w:tl2br w:val="nil"/>
                    <w:tr2bl w:val="nil"/>
                  </w:tcBorders>
                  <w:vAlign w:val="center"/>
                </w:tcPr>
                <w:p w14:paraId="62C9009E">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p>
              </w:tc>
              <w:tc>
                <w:tcPr>
                  <w:tcW w:w="1314" w:type="dxa"/>
                  <w:tcBorders>
                    <w:tl2br w:val="nil"/>
                    <w:tr2bl w:val="nil"/>
                  </w:tcBorders>
                  <w:shd w:val="clear" w:color="auto" w:fill="auto"/>
                  <w:vAlign w:val="center"/>
                </w:tcPr>
                <w:p w14:paraId="50D44A99">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eastAsia" w:cs="Times New Roman"/>
                      <w:color w:val="auto"/>
                      <w:kern w:val="0"/>
                      <w:sz w:val="18"/>
                      <w:szCs w:val="20"/>
                      <w:highlight w:val="none"/>
                      <w:lang w:val="en-US" w:eastAsia="zh-CN"/>
                    </w:rPr>
                    <w:t>N-13</w:t>
                  </w:r>
                </w:p>
              </w:tc>
              <w:tc>
                <w:tcPr>
                  <w:tcW w:w="1969" w:type="dxa"/>
                  <w:tcBorders>
                    <w:tl2br w:val="nil"/>
                    <w:tr2bl w:val="nil"/>
                  </w:tcBorders>
                  <w:vAlign w:val="center"/>
                </w:tcPr>
                <w:p w14:paraId="5307B70A">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7.40E+08Bq（20mCi）</w:t>
                  </w:r>
                </w:p>
              </w:tc>
              <w:tc>
                <w:tcPr>
                  <w:tcW w:w="1300" w:type="dxa"/>
                  <w:tcBorders>
                    <w:tl2br w:val="nil"/>
                    <w:tr2bl w:val="nil"/>
                  </w:tcBorders>
                  <w:shd w:val="clear" w:color="auto" w:fill="auto"/>
                  <w:vAlign w:val="center"/>
                </w:tcPr>
                <w:p w14:paraId="435EFEEB">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10</w:t>
                  </w:r>
                </w:p>
              </w:tc>
              <w:tc>
                <w:tcPr>
                  <w:tcW w:w="1078" w:type="dxa"/>
                  <w:tcBorders>
                    <w:tl2br w:val="nil"/>
                    <w:tr2bl w:val="nil"/>
                  </w:tcBorders>
                  <w:shd w:val="clear" w:color="auto" w:fill="auto"/>
                  <w:vAlign w:val="center"/>
                </w:tcPr>
                <w:p w14:paraId="27DBFAB3">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250</w:t>
                  </w:r>
                </w:p>
              </w:tc>
              <w:tc>
                <w:tcPr>
                  <w:tcW w:w="1263" w:type="dxa"/>
                  <w:tcBorders>
                    <w:tl2br w:val="nil"/>
                    <w:tr2bl w:val="nil"/>
                  </w:tcBorders>
                  <w:shd w:val="clear" w:color="auto" w:fill="auto"/>
                  <w:vAlign w:val="center"/>
                </w:tcPr>
                <w:p w14:paraId="5FE52E1E">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7.40E+09</w:t>
                  </w:r>
                </w:p>
              </w:tc>
              <w:tc>
                <w:tcPr>
                  <w:tcW w:w="1169" w:type="dxa"/>
                  <w:tcBorders>
                    <w:tl2br w:val="nil"/>
                    <w:tr2bl w:val="nil"/>
                  </w:tcBorders>
                  <w:shd w:val="clear" w:color="auto" w:fill="auto"/>
                  <w:vAlign w:val="center"/>
                </w:tcPr>
                <w:p w14:paraId="6EF387FE">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zh-CN"/>
                    </w:rPr>
                    <w:t>1.85E+12</w:t>
                  </w:r>
                </w:p>
              </w:tc>
            </w:tr>
          </w:tbl>
          <w:p w14:paraId="749C388E">
            <w:pPr>
              <w:pStyle w:val="43"/>
              <w:keepNext w:val="0"/>
              <w:keepLines w:val="0"/>
              <w:suppressLineNumbers w:val="0"/>
              <w:spacing w:before="78" w:beforeAutospacing="0" w:after="0" w:afterAutospacing="0" w:line="220" w:lineRule="auto"/>
              <w:ind w:left="115" w:right="0" w:firstLine="472" w:firstLineChars="200"/>
              <w:jc w:val="both"/>
              <w:rPr>
                <w:rFonts w:hint="default" w:ascii="Times New Roman" w:hAnsi="Times New Roman" w:cs="Times New Roman"/>
                <w:color w:val="auto"/>
                <w:highlight w:val="none"/>
              </w:rPr>
            </w:pPr>
            <w:r>
              <w:rPr>
                <w:rFonts w:hint="default" w:ascii="Times New Roman" w:hAnsi="Times New Roman" w:eastAsia="Times New Roman" w:cs="Times New Roman"/>
                <w:b/>
                <w:bCs/>
                <w:color w:val="auto"/>
                <w:spacing w:val="-2"/>
                <w:highlight w:val="none"/>
              </w:rPr>
              <w:t xml:space="preserve">9.1.1.6  </w:t>
            </w:r>
            <w:r>
              <w:rPr>
                <w:rFonts w:hint="default" w:ascii="Times New Roman" w:hAnsi="Times New Roman" w:cs="Times New Roman"/>
                <w:b/>
                <w:bCs/>
                <w:color w:val="auto"/>
                <w:spacing w:val="-2"/>
                <w:highlight w:val="none"/>
              </w:rPr>
              <w:t>工作流程</w:t>
            </w:r>
          </w:p>
          <w:p w14:paraId="1AD4F641">
            <w:pPr>
              <w:pStyle w:val="43"/>
              <w:keepNext w:val="0"/>
              <w:keepLines w:val="0"/>
              <w:suppressLineNumbers w:val="0"/>
              <w:spacing w:before="192" w:beforeAutospacing="0" w:after="0" w:afterAutospacing="0" w:line="368" w:lineRule="auto"/>
              <w:ind w:left="122" w:right="106" w:firstLine="478"/>
              <w:jc w:val="both"/>
              <w:rPr>
                <w:rFonts w:hint="default" w:ascii="Times New Roman" w:hAnsi="Times New Roman" w:cs="Times New Roman"/>
                <w:color w:val="auto"/>
                <w:highlight w:val="none"/>
              </w:rPr>
            </w:pPr>
            <w:r>
              <w:rPr>
                <w:rFonts w:hint="default" w:ascii="Times New Roman" w:hAnsi="Times New Roman" w:cs="Times New Roman"/>
                <w:color w:val="auto"/>
                <w:spacing w:val="-1"/>
                <w:highlight w:val="none"/>
              </w:rPr>
              <w:t>工作流程可分为回旋加速器制备放射性核素，放射性药物合成与质控，药物分装及转运</w:t>
            </w:r>
            <w:r>
              <w:rPr>
                <w:rFonts w:hint="default" w:ascii="Times New Roman" w:hAnsi="Times New Roman" w:cs="Times New Roman"/>
                <w:color w:val="auto"/>
                <w:spacing w:val="-3"/>
                <w:highlight w:val="none"/>
              </w:rPr>
              <w:t>几个步骤，工作流程图见图</w:t>
            </w:r>
            <w:r>
              <w:rPr>
                <w:rFonts w:hint="default" w:ascii="Times New Roman" w:hAnsi="Times New Roman" w:eastAsia="Times New Roman" w:cs="Times New Roman"/>
                <w:color w:val="auto"/>
                <w:spacing w:val="-3"/>
                <w:highlight w:val="none"/>
              </w:rPr>
              <w:t>9-2</w:t>
            </w:r>
            <w:r>
              <w:rPr>
                <w:rFonts w:hint="default" w:ascii="Times New Roman" w:hAnsi="Times New Roman" w:cs="Times New Roman"/>
                <w:color w:val="auto"/>
                <w:spacing w:val="-3"/>
                <w:highlight w:val="none"/>
              </w:rPr>
              <w:t>，产污环节图见图</w:t>
            </w:r>
            <w:r>
              <w:rPr>
                <w:rFonts w:hint="default" w:ascii="Times New Roman" w:hAnsi="Times New Roman" w:eastAsia="Times New Roman" w:cs="Times New Roman"/>
                <w:color w:val="auto"/>
                <w:spacing w:val="-3"/>
                <w:highlight w:val="none"/>
              </w:rPr>
              <w:t>9-3</w:t>
            </w:r>
            <w:r>
              <w:rPr>
                <w:rFonts w:hint="default" w:ascii="Times New Roman" w:hAnsi="Times New Roman" w:cs="Times New Roman"/>
                <w:color w:val="auto"/>
                <w:spacing w:val="-3"/>
                <w:highlight w:val="none"/>
              </w:rPr>
              <w:t>。具体步骤如下：</w:t>
            </w:r>
          </w:p>
          <w:p w14:paraId="21E2A4AD">
            <w:pPr>
              <w:pStyle w:val="43"/>
              <w:keepNext w:val="0"/>
              <w:keepLines w:val="0"/>
              <w:suppressLineNumbers w:val="0"/>
              <w:spacing w:before="0" w:beforeAutospacing="0" w:after="0" w:afterAutospacing="0" w:line="219" w:lineRule="auto"/>
              <w:ind w:left="609" w:right="0"/>
              <w:jc w:val="both"/>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w:t>
            </w:r>
            <w:r>
              <w:rPr>
                <w:rFonts w:hint="default" w:ascii="Times New Roman" w:hAnsi="Times New Roman" w:eastAsia="Times New Roman" w:cs="Times New Roman"/>
                <w:color w:val="auto"/>
                <w:spacing w:val="-3"/>
                <w:highlight w:val="none"/>
              </w:rPr>
              <w:t>1</w:t>
            </w:r>
            <w:r>
              <w:rPr>
                <w:rFonts w:hint="default" w:ascii="Times New Roman" w:hAnsi="Times New Roman" w:cs="Times New Roman"/>
                <w:color w:val="auto"/>
                <w:spacing w:val="-3"/>
                <w:highlight w:val="none"/>
              </w:rPr>
              <w:t>）放射性核素制备</w:t>
            </w:r>
          </w:p>
          <w:p w14:paraId="088C518B">
            <w:pPr>
              <w:pStyle w:val="43"/>
              <w:keepNext w:val="0"/>
              <w:keepLines w:val="0"/>
              <w:suppressLineNumbers w:val="0"/>
              <w:spacing w:before="193" w:beforeAutospacing="0" w:after="0" w:afterAutospacing="0" w:line="368" w:lineRule="auto"/>
              <w:ind w:left="116" w:right="45" w:firstLine="483"/>
              <w:jc w:val="both"/>
              <w:rPr>
                <w:rFonts w:hint="default" w:ascii="Times New Roman" w:hAnsi="Times New Roman" w:cs="Times New Roman"/>
                <w:color w:val="auto"/>
                <w:highlight w:val="none"/>
              </w:rPr>
            </w:pPr>
            <w:r>
              <w:rPr>
                <w:rFonts w:hint="default" w:ascii="Times New Roman" w:hAnsi="Times New Roman" w:cs="Times New Roman"/>
                <w:color w:val="auto"/>
                <w:spacing w:val="-1"/>
                <w:highlight w:val="none"/>
              </w:rPr>
              <w:t>核素制备前对回旋加速器进行调试，根据需要生产的放射性核素种类设置相应参数。回旋加速器运行期间，工作人员不进入回旋加速器室内，仅在回旋加速器控制室操作。回旋加速器在每次正式制备</w:t>
            </w:r>
            <w:r>
              <w:rPr>
                <w:rFonts w:hint="default" w:ascii="Times New Roman" w:hAnsi="Times New Roman" w:cs="Times New Roman"/>
                <w:color w:val="auto"/>
                <w:spacing w:val="-1"/>
                <w:highlight w:val="none"/>
                <w:vertAlign w:val="baseline"/>
              </w:rPr>
              <w:t>放射性同位素</w:t>
            </w:r>
            <w:r>
              <w:rPr>
                <w:rFonts w:hint="default" w:ascii="Times New Roman" w:hAnsi="Times New Roman" w:cs="Times New Roman"/>
                <w:color w:val="auto"/>
                <w:spacing w:val="-1"/>
                <w:highlight w:val="none"/>
              </w:rPr>
              <w:t>前均进行预处理。然后注入靶物质，以一定的束流轰击一</w:t>
            </w:r>
            <w:r>
              <w:rPr>
                <w:rFonts w:hint="default" w:ascii="Times New Roman" w:hAnsi="Times New Roman" w:cs="Times New Roman"/>
                <w:color w:val="auto"/>
                <w:spacing w:val="-5"/>
                <w:highlight w:val="none"/>
              </w:rPr>
              <w:t>定的时间（视所需制备量而定）后，将制备的核素通过核素传输管道</w:t>
            </w:r>
            <w:r>
              <w:rPr>
                <w:rFonts w:hint="default" w:ascii="Times New Roman" w:hAnsi="Times New Roman" w:cs="Times New Roman"/>
                <w:color w:val="auto"/>
                <w:spacing w:val="-71"/>
                <w:highlight w:val="none"/>
              </w:rPr>
              <w:t xml:space="preserve"> </w:t>
            </w:r>
            <w:r>
              <w:rPr>
                <w:rFonts w:hint="default" w:ascii="Times New Roman" w:hAnsi="Times New Roman" w:cs="Times New Roman"/>
                <w:color w:val="auto"/>
                <w:highlight w:val="none"/>
              </w:rPr>
              <w:t>自动传输到热室的合成柜中。</w:t>
            </w:r>
          </w:p>
          <w:p w14:paraId="5BD50B07">
            <w:pPr>
              <w:pStyle w:val="43"/>
              <w:keepNext w:val="0"/>
              <w:keepLines w:val="0"/>
              <w:suppressLineNumbers w:val="0"/>
              <w:spacing w:before="0" w:beforeAutospacing="0" w:after="0" w:afterAutospacing="0" w:line="220" w:lineRule="auto"/>
              <w:ind w:left="609" w:right="0"/>
              <w:jc w:val="both"/>
              <w:rPr>
                <w:rFonts w:hint="default" w:ascii="Times New Roman" w:hAnsi="Times New Roman" w:cs="Times New Roman"/>
                <w:color w:val="auto"/>
                <w:highlight w:val="none"/>
              </w:rPr>
            </w:pPr>
            <w:r>
              <w:rPr>
                <w:rFonts w:hint="default" w:ascii="Times New Roman" w:hAnsi="Times New Roman" w:cs="Times New Roman"/>
                <w:color w:val="auto"/>
                <w:spacing w:val="-2"/>
                <w:highlight w:val="none"/>
              </w:rPr>
              <w:t>（</w:t>
            </w:r>
            <w:r>
              <w:rPr>
                <w:rFonts w:hint="default" w:ascii="Times New Roman" w:hAnsi="Times New Roman" w:eastAsia="Times New Roman" w:cs="Times New Roman"/>
                <w:color w:val="auto"/>
                <w:spacing w:val="-2"/>
                <w:highlight w:val="none"/>
              </w:rPr>
              <w:t>2</w:t>
            </w:r>
            <w:r>
              <w:rPr>
                <w:rFonts w:hint="default" w:ascii="Times New Roman" w:hAnsi="Times New Roman" w:cs="Times New Roman"/>
                <w:color w:val="auto"/>
                <w:spacing w:val="-2"/>
                <w:highlight w:val="none"/>
              </w:rPr>
              <w:t>）放射性药物合成及质控</w:t>
            </w:r>
          </w:p>
          <w:p w14:paraId="787A0D50">
            <w:pPr>
              <w:pStyle w:val="43"/>
              <w:keepNext w:val="0"/>
              <w:keepLines w:val="0"/>
              <w:suppressLineNumbers w:val="0"/>
              <w:spacing w:before="193" w:beforeAutospacing="0" w:after="0" w:afterAutospacing="0" w:line="368" w:lineRule="auto"/>
              <w:ind w:left="116" w:right="106" w:firstLine="480"/>
              <w:jc w:val="both"/>
              <w:rPr>
                <w:rFonts w:hint="default" w:ascii="Times New Roman" w:hAnsi="Times New Roman" w:cs="Times New Roman"/>
                <w:color w:val="auto"/>
                <w:highlight w:val="none"/>
              </w:rPr>
            </w:pPr>
            <w:r>
              <w:rPr>
                <w:rFonts w:hint="default" w:ascii="Times New Roman" w:hAnsi="Times New Roman" w:cs="Times New Roman"/>
                <w:color w:val="auto"/>
                <w:spacing w:val="-1"/>
                <w:highlight w:val="none"/>
              </w:rPr>
              <w:t>放射性药物的合成由计算机控制的自动化程序完成。药物合成完毕，操作人员分装少量药物，传送至</w:t>
            </w:r>
            <w:r>
              <w:rPr>
                <w:rFonts w:hint="eastAsia" w:ascii="Times New Roman" w:hAnsi="Times New Roman" w:cs="Times New Roman"/>
                <w:color w:val="auto"/>
                <w:spacing w:val="-1"/>
                <w:highlight w:val="none"/>
                <w:lang w:eastAsia="zh-CN"/>
              </w:rPr>
              <w:t>放</w:t>
            </w:r>
            <w:r>
              <w:rPr>
                <w:rFonts w:hint="default" w:ascii="Times New Roman" w:hAnsi="Times New Roman" w:cs="Times New Roman"/>
                <w:color w:val="auto"/>
                <w:spacing w:val="-1"/>
                <w:highlight w:val="none"/>
              </w:rPr>
              <w:t>化实验室手套箱内进行质控操作。每制备一批次放射性药物，质控人员将</w:t>
            </w:r>
            <w:r>
              <w:rPr>
                <w:rFonts w:hint="default" w:ascii="Times New Roman" w:hAnsi="Times New Roman" w:cs="Times New Roman"/>
                <w:color w:val="auto"/>
                <w:spacing w:val="-2"/>
                <w:highlight w:val="none"/>
              </w:rPr>
              <w:t>抽取活度约</w:t>
            </w:r>
            <w:r>
              <w:rPr>
                <w:rFonts w:hint="default" w:ascii="Times New Roman" w:hAnsi="Times New Roman" w:eastAsia="宋体" w:cs="Times New Roman"/>
                <w:color w:val="auto"/>
                <w:spacing w:val="-2"/>
                <w:highlight w:val="none"/>
                <w:lang w:val="en-US" w:eastAsia="zh-CN"/>
              </w:rPr>
              <w:t>0.5</w:t>
            </w:r>
            <w:r>
              <w:rPr>
                <w:rFonts w:hint="default" w:ascii="Times New Roman" w:hAnsi="Times New Roman" w:eastAsia="Times New Roman" w:cs="Times New Roman"/>
                <w:color w:val="auto"/>
                <w:spacing w:val="-2"/>
                <w:highlight w:val="none"/>
              </w:rPr>
              <w:t>mCi</w:t>
            </w:r>
            <w:r>
              <w:rPr>
                <w:rFonts w:hint="default" w:ascii="Times New Roman" w:hAnsi="Times New Roman" w:cs="Times New Roman"/>
                <w:color w:val="auto"/>
                <w:spacing w:val="-2"/>
                <w:highlight w:val="none"/>
              </w:rPr>
              <w:t>的放射性药物至铅防护罐内，经分装热室取出经洁净走廊传递窗送至放化实验室手套箱内。质控人员在手套箱内打开铅罐，用注射器吸取微量药物进行</w:t>
            </w:r>
            <w:r>
              <w:rPr>
                <w:rFonts w:hint="eastAsia" w:ascii="Times New Roman" w:hAnsi="Times New Roman" w:cs="Times New Roman"/>
                <w:color w:val="auto"/>
                <w:spacing w:val="-2"/>
                <w:highlight w:val="none"/>
                <w:lang w:eastAsia="zh-CN"/>
              </w:rPr>
              <w:t>pH值</w:t>
            </w:r>
            <w:r>
              <w:rPr>
                <w:rFonts w:hint="default" w:ascii="Times New Roman" w:hAnsi="Times New Roman" w:cs="Times New Roman"/>
                <w:color w:val="auto"/>
                <w:spacing w:val="-3"/>
                <w:highlight w:val="none"/>
              </w:rPr>
              <w:t>和形状的检</w:t>
            </w:r>
            <w:r>
              <w:rPr>
                <w:rFonts w:hint="default" w:ascii="Times New Roman" w:hAnsi="Times New Roman" w:cs="Times New Roman"/>
                <w:color w:val="auto"/>
                <w:spacing w:val="-1"/>
                <w:highlight w:val="none"/>
              </w:rPr>
              <w:t>测，经检验满足相关法律法规要求后，方可开展后续的分装工作。质控时吸取的放射性药物极少，对工作人员的辐射影响基本可以忽略。检测完成后铅罐会盖上，放在手套箱中自然衰变，待药物完全衰变后，将药物取出。</w:t>
            </w:r>
          </w:p>
          <w:p w14:paraId="6E29C663">
            <w:pPr>
              <w:pStyle w:val="43"/>
              <w:keepNext w:val="0"/>
              <w:keepLines w:val="0"/>
              <w:suppressLineNumbers w:val="0"/>
              <w:spacing w:before="0" w:beforeAutospacing="0" w:after="0" w:afterAutospacing="0" w:line="220" w:lineRule="auto"/>
              <w:ind w:left="609" w:right="0"/>
              <w:jc w:val="both"/>
              <w:rPr>
                <w:rFonts w:hint="default" w:ascii="Times New Roman" w:hAnsi="Times New Roman" w:cs="Times New Roman"/>
                <w:color w:val="auto"/>
                <w:highlight w:val="none"/>
              </w:rPr>
            </w:pPr>
            <w:r>
              <w:rPr>
                <w:rFonts w:hint="default" w:ascii="Times New Roman" w:hAnsi="Times New Roman" w:cs="Times New Roman"/>
                <w:color w:val="auto"/>
                <w:spacing w:val="-3"/>
                <w:highlight w:val="none"/>
              </w:rPr>
              <w:t>（</w:t>
            </w:r>
            <w:r>
              <w:rPr>
                <w:rFonts w:hint="default" w:ascii="Times New Roman" w:hAnsi="Times New Roman" w:eastAsia="Times New Roman" w:cs="Times New Roman"/>
                <w:color w:val="auto"/>
                <w:spacing w:val="-3"/>
                <w:highlight w:val="none"/>
              </w:rPr>
              <w:t>3</w:t>
            </w:r>
            <w:r>
              <w:rPr>
                <w:rFonts w:hint="default" w:ascii="Times New Roman" w:hAnsi="Times New Roman" w:cs="Times New Roman"/>
                <w:color w:val="auto"/>
                <w:spacing w:val="-3"/>
                <w:highlight w:val="none"/>
              </w:rPr>
              <w:t>）分装及药物转移</w:t>
            </w:r>
          </w:p>
          <w:p w14:paraId="069F91A3">
            <w:pPr>
              <w:pStyle w:val="43"/>
              <w:keepNext w:val="0"/>
              <w:keepLines w:val="0"/>
              <w:suppressLineNumbers w:val="0"/>
              <w:spacing w:before="194" w:beforeAutospacing="0" w:after="0" w:afterAutospacing="0" w:line="367" w:lineRule="auto"/>
              <w:ind w:left="121" w:right="106" w:firstLine="476"/>
              <w:jc w:val="both"/>
              <w:rPr>
                <w:rFonts w:hint="default" w:ascii="Times New Roman" w:hAnsi="Times New Roman" w:cs="Times New Roman"/>
                <w:color w:val="auto"/>
                <w:highlight w:val="none"/>
              </w:rPr>
            </w:pPr>
            <w:r>
              <w:rPr>
                <w:rFonts w:hint="default" w:ascii="Times New Roman" w:hAnsi="Times New Roman" w:cs="Times New Roman"/>
                <w:color w:val="auto"/>
                <w:spacing w:val="-1"/>
                <w:highlight w:val="none"/>
              </w:rPr>
              <w:t>放射性药物质控合格后，在热室内的手套箱中进行分装，利用自动分装系统分装药物置于专用防护罐中，经药物运输通道运至</w:t>
            </w:r>
            <w:r>
              <w:rPr>
                <w:rFonts w:hint="default" w:ascii="Times New Roman" w:hAnsi="Times New Roman" w:cs="Times New Roman"/>
                <w:color w:val="auto"/>
                <w:spacing w:val="-1"/>
                <w:highlight w:val="none"/>
                <w:lang w:eastAsia="zh-CN"/>
              </w:rPr>
              <w:t>核医学楼</w:t>
            </w:r>
            <w:r>
              <w:rPr>
                <w:rFonts w:hint="default" w:ascii="Times New Roman" w:hAnsi="Times New Roman" w:cs="Times New Roman"/>
                <w:color w:val="auto"/>
                <w:spacing w:val="-1"/>
                <w:highlight w:val="none"/>
              </w:rPr>
              <w:t>手套箱内。</w:t>
            </w:r>
          </w:p>
          <w:p w14:paraId="5A27838D">
            <w:pPr>
              <w:keepNext w:val="0"/>
              <w:keepLines w:val="0"/>
              <w:widowControl w:val="0"/>
              <w:suppressLineNumbers w:val="0"/>
              <w:autoSpaceDE w:val="0"/>
              <w:autoSpaceDN w:val="0"/>
              <w:spacing w:before="0" w:beforeLines="0" w:beforeAutospacing="0" w:after="0" w:afterLines="0" w:afterAutospacing="0" w:line="360" w:lineRule="auto"/>
              <w:ind w:left="0" w:right="0" w:firstLine="472" w:firstLineChars="200"/>
              <w:jc w:val="both"/>
              <w:rPr>
                <w:rFonts w:hint="default" w:ascii="Times New Roman" w:hAnsi="Times New Roman" w:cs="Times New Roman"/>
                <w:color w:val="auto"/>
                <w:highlight w:val="none"/>
              </w:rPr>
            </w:pPr>
            <w:r>
              <w:rPr>
                <w:rFonts w:hint="default" w:ascii="Times New Roman" w:hAnsi="Times New Roman" w:cs="Times New Roman"/>
                <w:color w:val="auto"/>
                <w:spacing w:val="-2"/>
                <w:highlight w:val="none"/>
              </w:rPr>
              <w:t>本项目回旋加速器生产正电子核素主要包括</w:t>
            </w:r>
            <w:r>
              <w:rPr>
                <w:rFonts w:hint="default" w:ascii="Times New Roman" w:hAnsi="Times New Roman" w:cs="Times New Roman"/>
                <w:color w:val="auto"/>
                <w:spacing w:val="-41"/>
                <w:highlight w:val="none"/>
              </w:rPr>
              <w:t xml:space="preserve"> </w:t>
            </w:r>
            <w:r>
              <w:rPr>
                <w:rFonts w:hint="eastAsia" w:eastAsia="宋体" w:cs="Times New Roman"/>
                <w:color w:val="auto"/>
                <w:spacing w:val="-2"/>
                <w:position w:val="7"/>
                <w:sz w:val="15"/>
                <w:szCs w:val="15"/>
                <w:highlight w:val="none"/>
                <w:vertAlign w:val="baseline"/>
                <w:lang w:eastAsia="zh-CN"/>
              </w:rPr>
              <w:t>F-18</w:t>
            </w:r>
            <w:r>
              <w:rPr>
                <w:rFonts w:hint="default" w:ascii="Times New Roman" w:hAnsi="Times New Roman" w:eastAsia="Times New Roman" w:cs="Times New Roman"/>
                <w:color w:val="auto"/>
                <w:spacing w:val="-33"/>
                <w:highlight w:val="none"/>
              </w:rPr>
              <w:t xml:space="preserve"> </w:t>
            </w:r>
            <w:r>
              <w:rPr>
                <w:rFonts w:hint="default" w:ascii="Times New Roman" w:hAnsi="Times New Roman" w:cs="Times New Roman"/>
                <w:color w:val="auto"/>
                <w:spacing w:val="-2"/>
                <w:highlight w:val="none"/>
              </w:rPr>
              <w:t>、</w:t>
            </w:r>
            <w:r>
              <w:rPr>
                <w:rFonts w:hint="default" w:ascii="Times New Roman" w:hAnsi="Times New Roman" w:eastAsia="Times New Roman" w:cs="Times New Roman"/>
                <w:color w:val="auto"/>
                <w:spacing w:val="-2"/>
                <w:position w:val="7"/>
                <w:sz w:val="15"/>
                <w:szCs w:val="15"/>
                <w:highlight w:val="none"/>
              </w:rPr>
              <w:t>68</w:t>
            </w:r>
            <w:r>
              <w:rPr>
                <w:rFonts w:hint="default" w:ascii="Times New Roman" w:hAnsi="Times New Roman" w:eastAsia="Times New Roman" w:cs="Times New Roman"/>
                <w:color w:val="auto"/>
                <w:spacing w:val="-2"/>
                <w:highlight w:val="none"/>
              </w:rPr>
              <w:t>Ga</w:t>
            </w:r>
            <w:r>
              <w:rPr>
                <w:rFonts w:hint="default" w:ascii="Times New Roman" w:hAnsi="Times New Roman" w:eastAsia="Times New Roman" w:cs="Times New Roman"/>
                <w:color w:val="auto"/>
                <w:spacing w:val="-34"/>
                <w:highlight w:val="none"/>
              </w:rPr>
              <w:t xml:space="preserve"> </w:t>
            </w:r>
            <w:r>
              <w:rPr>
                <w:rFonts w:hint="default" w:ascii="Times New Roman" w:hAnsi="Times New Roman" w:eastAsia="宋体" w:cs="Times New Roman"/>
                <w:color w:val="auto"/>
                <w:spacing w:val="-34"/>
                <w:highlight w:val="none"/>
                <w:lang w:eastAsia="zh-CN"/>
              </w:rPr>
              <w:t>、</w:t>
            </w:r>
            <w:r>
              <w:rPr>
                <w:rFonts w:hint="default" w:ascii="Times New Roman" w:hAnsi="Times New Roman" w:eastAsia="Times New Roman" w:cs="Times New Roman"/>
                <w:color w:val="auto"/>
                <w:spacing w:val="-2"/>
                <w:position w:val="7"/>
                <w:sz w:val="15"/>
                <w:szCs w:val="15"/>
                <w:highlight w:val="none"/>
              </w:rPr>
              <w:t>11</w:t>
            </w:r>
            <w:r>
              <w:rPr>
                <w:rFonts w:hint="default" w:ascii="Times New Roman" w:hAnsi="Times New Roman" w:eastAsia="Times New Roman" w:cs="Times New Roman"/>
                <w:color w:val="auto"/>
                <w:spacing w:val="-2"/>
                <w:highlight w:val="none"/>
              </w:rPr>
              <w:t>C</w:t>
            </w:r>
            <w:r>
              <w:rPr>
                <w:rFonts w:hint="default" w:ascii="Times New Roman" w:hAnsi="Times New Roman" w:eastAsia="Times New Roman" w:cs="Times New Roman"/>
                <w:color w:val="auto"/>
                <w:spacing w:val="-36"/>
                <w:highlight w:val="none"/>
              </w:rPr>
              <w:t xml:space="preserve"> </w:t>
            </w:r>
            <w:r>
              <w:rPr>
                <w:rFonts w:hint="default" w:ascii="Times New Roman" w:hAnsi="Times New Roman" w:cs="Times New Roman"/>
                <w:color w:val="auto"/>
                <w:spacing w:val="-2"/>
                <w:highlight w:val="none"/>
              </w:rPr>
              <w:t>、</w:t>
            </w:r>
            <w:r>
              <w:rPr>
                <w:rFonts w:hint="default" w:ascii="Times New Roman" w:hAnsi="Times New Roman" w:eastAsia="Times New Roman" w:cs="Times New Roman"/>
                <w:color w:val="auto"/>
                <w:spacing w:val="-2"/>
                <w:position w:val="7"/>
                <w:sz w:val="15"/>
                <w:szCs w:val="15"/>
                <w:highlight w:val="none"/>
              </w:rPr>
              <w:t>13</w:t>
            </w:r>
            <w:r>
              <w:rPr>
                <w:rFonts w:hint="default" w:ascii="Times New Roman" w:hAnsi="Times New Roman" w:eastAsia="Times New Roman" w:cs="Times New Roman"/>
                <w:color w:val="auto"/>
                <w:spacing w:val="-2"/>
                <w:highlight w:val="none"/>
              </w:rPr>
              <w:t>N</w:t>
            </w:r>
            <w:r>
              <w:rPr>
                <w:rFonts w:hint="default" w:ascii="Times New Roman" w:hAnsi="Times New Roman" w:eastAsia="Times New Roman" w:cs="Times New Roman"/>
                <w:color w:val="auto"/>
                <w:spacing w:val="-34"/>
                <w:highlight w:val="none"/>
              </w:rPr>
              <w:t xml:space="preserve"> </w:t>
            </w:r>
            <w:r>
              <w:rPr>
                <w:rFonts w:hint="default" w:ascii="Times New Roman" w:hAnsi="Times New Roman" w:cs="Times New Roman"/>
                <w:color w:val="auto"/>
                <w:spacing w:val="-2"/>
                <w:highlight w:val="none"/>
                <w:lang w:val="en-US" w:eastAsia="zh-CN"/>
              </w:rPr>
              <w:t>4</w:t>
            </w:r>
            <w:r>
              <w:rPr>
                <w:rFonts w:hint="default" w:ascii="Times New Roman" w:hAnsi="Times New Roman" w:cs="Times New Roman"/>
                <w:color w:val="auto"/>
                <w:spacing w:val="-2"/>
                <w:highlight w:val="none"/>
              </w:rPr>
              <w:t>种</w:t>
            </w:r>
            <w:r>
              <w:rPr>
                <w:rFonts w:hint="default" w:ascii="Times New Roman" w:hAnsi="Times New Roman" w:cs="Times New Roman"/>
                <w:color w:val="auto"/>
                <w:spacing w:val="-3"/>
                <w:highlight w:val="none"/>
              </w:rPr>
              <w:t>。其具体</w:t>
            </w:r>
            <w:r>
              <w:rPr>
                <w:rFonts w:hint="default" w:ascii="Times New Roman" w:hAnsi="Times New Roman" w:cs="Times New Roman"/>
                <w:color w:val="auto"/>
                <w:spacing w:val="-2"/>
                <w:highlight w:val="none"/>
              </w:rPr>
              <w:t>药物合成工艺如下：</w:t>
            </w:r>
          </w:p>
          <w:p w14:paraId="26BC530C">
            <w:pPr>
              <w:pStyle w:val="43"/>
              <w:keepNext w:val="0"/>
              <w:keepLines w:val="0"/>
              <w:suppressLineNumbers w:val="0"/>
              <w:spacing w:before="191" w:beforeAutospacing="0" w:after="0" w:afterAutospacing="0" w:line="217" w:lineRule="auto"/>
              <w:ind w:left="596" w:right="0"/>
              <w:jc w:val="both"/>
              <w:rPr>
                <w:rFonts w:hint="default" w:ascii="Times New Roman" w:hAnsi="Times New Roman" w:cs="Times New Roman"/>
                <w:color w:val="auto"/>
                <w:highlight w:val="none"/>
              </w:rPr>
            </w:pPr>
            <w:r>
              <w:rPr>
                <w:rFonts w:hint="default" w:ascii="Times New Roman" w:hAnsi="Times New Roman" w:cs="Times New Roman"/>
                <w:color w:val="auto"/>
                <w:spacing w:val="-1"/>
                <w:highlight w:val="none"/>
              </w:rPr>
              <w:t>①</w:t>
            </w:r>
            <w:r>
              <w:rPr>
                <w:rFonts w:hint="eastAsia" w:ascii="Times New Roman" w:hAnsi="Times New Roman" w:eastAsia="宋体" w:cs="Times New Roman"/>
                <w:color w:val="auto"/>
                <w:spacing w:val="-1"/>
                <w:position w:val="7"/>
                <w:sz w:val="15"/>
                <w:szCs w:val="15"/>
                <w:highlight w:val="none"/>
                <w:vertAlign w:val="baseline"/>
                <w:lang w:eastAsia="zh-CN"/>
              </w:rPr>
              <w:t>F-18</w:t>
            </w:r>
            <w:r>
              <w:rPr>
                <w:rFonts w:hint="default" w:ascii="Times New Roman" w:hAnsi="Times New Roman" w:eastAsia="Times New Roman" w:cs="Times New Roman"/>
                <w:color w:val="auto"/>
                <w:spacing w:val="-1"/>
                <w:highlight w:val="none"/>
              </w:rPr>
              <w:t xml:space="preserve">-FDG </w:t>
            </w:r>
            <w:r>
              <w:rPr>
                <w:rFonts w:hint="default" w:ascii="Times New Roman" w:hAnsi="Times New Roman" w:cs="Times New Roman"/>
                <w:color w:val="auto"/>
                <w:spacing w:val="-1"/>
                <w:highlight w:val="none"/>
              </w:rPr>
              <w:t>示踪剂生产工艺流程</w:t>
            </w:r>
          </w:p>
          <w:p w14:paraId="1CAD3239">
            <w:pPr>
              <w:pStyle w:val="43"/>
              <w:keepNext w:val="0"/>
              <w:keepLines w:val="0"/>
              <w:suppressLineNumbers w:val="0"/>
              <w:spacing w:before="196" w:beforeAutospacing="0" w:after="0" w:afterAutospacing="0" w:line="367" w:lineRule="auto"/>
              <w:ind w:left="116" w:right="106" w:firstLine="526"/>
              <w:jc w:val="both"/>
              <w:rPr>
                <w:rFonts w:hint="default" w:ascii="Times New Roman" w:hAnsi="Times New Roman" w:cs="Times New Roman"/>
                <w:color w:val="auto"/>
                <w:highlight w:val="none"/>
              </w:rPr>
            </w:pPr>
            <w:r>
              <w:rPr>
                <w:rFonts w:hint="default" w:ascii="Times New Roman" w:hAnsi="Times New Roman" w:cs="Times New Roman"/>
                <w:color w:val="auto"/>
                <w:spacing w:val="-4"/>
                <w:highlight w:val="none"/>
              </w:rPr>
              <w:t xml:space="preserve">目前一般使用 </w:t>
            </w:r>
            <w:r>
              <w:rPr>
                <w:rFonts w:hint="default" w:ascii="Times New Roman" w:hAnsi="Times New Roman" w:eastAsia="Times New Roman" w:cs="Times New Roman"/>
                <w:color w:val="auto"/>
                <w:spacing w:val="-4"/>
                <w:highlight w:val="none"/>
              </w:rPr>
              <w:t>H</w:t>
            </w:r>
            <w:r>
              <w:rPr>
                <w:rFonts w:hint="default" w:ascii="Times New Roman" w:hAnsi="Times New Roman" w:eastAsia="Times New Roman" w:cs="Times New Roman"/>
                <w:color w:val="auto"/>
                <w:spacing w:val="-4"/>
                <w:position w:val="-2"/>
                <w:sz w:val="15"/>
                <w:szCs w:val="15"/>
                <w:highlight w:val="none"/>
              </w:rPr>
              <w:t>2</w:t>
            </w:r>
            <w:r>
              <w:rPr>
                <w:rFonts w:hint="default" w:ascii="Times New Roman" w:hAnsi="Times New Roman" w:eastAsia="Times New Roman" w:cs="Times New Roman"/>
                <w:color w:val="auto"/>
                <w:spacing w:val="-4"/>
                <w:position w:val="7"/>
                <w:sz w:val="15"/>
                <w:szCs w:val="15"/>
                <w:highlight w:val="none"/>
              </w:rPr>
              <w:t>18</w:t>
            </w:r>
            <w:r>
              <w:rPr>
                <w:rFonts w:hint="default" w:ascii="Times New Roman" w:hAnsi="Times New Roman" w:eastAsia="Times New Roman" w:cs="Times New Roman"/>
                <w:color w:val="auto"/>
                <w:spacing w:val="-4"/>
                <w:highlight w:val="none"/>
              </w:rPr>
              <w:t xml:space="preserve">O  </w:t>
            </w:r>
            <w:r>
              <w:rPr>
                <w:rFonts w:hint="default" w:ascii="Times New Roman" w:hAnsi="Times New Roman" w:cs="Times New Roman"/>
                <w:color w:val="auto"/>
                <w:spacing w:val="-4"/>
                <w:highlight w:val="none"/>
              </w:rPr>
              <w:t>靶材料通过</w:t>
            </w:r>
            <w:r>
              <w:rPr>
                <w:rFonts w:hint="default" w:ascii="Times New Roman" w:hAnsi="Times New Roman" w:cs="Times New Roman"/>
                <w:color w:val="auto"/>
                <w:spacing w:val="-42"/>
                <w:highlight w:val="none"/>
              </w:rPr>
              <w:t xml:space="preserve"> </w:t>
            </w:r>
            <w:r>
              <w:rPr>
                <w:rFonts w:hint="default" w:ascii="Times New Roman" w:hAnsi="Times New Roman" w:eastAsia="Times New Roman" w:cs="Times New Roman"/>
                <w:color w:val="auto"/>
                <w:spacing w:val="-4"/>
                <w:position w:val="7"/>
                <w:sz w:val="15"/>
                <w:szCs w:val="15"/>
                <w:highlight w:val="none"/>
              </w:rPr>
              <w:t>18</w:t>
            </w:r>
            <w:r>
              <w:rPr>
                <w:rFonts w:hint="default" w:ascii="Times New Roman" w:hAnsi="Times New Roman" w:eastAsia="Times New Roman" w:cs="Times New Roman"/>
                <w:color w:val="auto"/>
                <w:spacing w:val="-4"/>
                <w:highlight w:val="none"/>
              </w:rPr>
              <w:t>O</w:t>
            </w:r>
            <w:r>
              <w:rPr>
                <w:rFonts w:hint="default" w:ascii="Times New Roman" w:hAnsi="Times New Roman" w:cs="Times New Roman"/>
                <w:color w:val="auto"/>
                <w:spacing w:val="-4"/>
                <w:highlight w:val="none"/>
              </w:rPr>
              <w:t>（</w:t>
            </w:r>
            <w:r>
              <w:rPr>
                <w:rFonts w:hint="default" w:ascii="Times New Roman" w:hAnsi="Times New Roman" w:eastAsia="Times New Roman" w:cs="Times New Roman"/>
                <w:color w:val="auto"/>
                <w:spacing w:val="-4"/>
                <w:highlight w:val="none"/>
              </w:rPr>
              <w:t>p</w:t>
            </w:r>
            <w:r>
              <w:rPr>
                <w:rFonts w:hint="default" w:ascii="Times New Roman" w:hAnsi="Times New Roman" w:cs="Times New Roman"/>
                <w:color w:val="auto"/>
                <w:spacing w:val="-4"/>
                <w:highlight w:val="none"/>
              </w:rPr>
              <w:t>，</w:t>
            </w:r>
            <w:r>
              <w:rPr>
                <w:rFonts w:hint="default" w:ascii="Times New Roman" w:hAnsi="Times New Roman" w:eastAsia="Times New Roman" w:cs="Times New Roman"/>
                <w:color w:val="auto"/>
                <w:spacing w:val="-4"/>
                <w:highlight w:val="none"/>
              </w:rPr>
              <w:t>n</w:t>
            </w:r>
            <w:r>
              <w:rPr>
                <w:rFonts w:hint="default" w:ascii="Times New Roman" w:hAnsi="Times New Roman" w:cs="Times New Roman"/>
                <w:color w:val="auto"/>
                <w:spacing w:val="-4"/>
                <w:highlight w:val="none"/>
              </w:rPr>
              <w:t>）</w:t>
            </w:r>
            <w:r>
              <w:rPr>
                <w:rFonts w:hint="eastAsia" w:ascii="Times New Roman" w:hAnsi="Times New Roman" w:eastAsia="宋体" w:cs="Times New Roman"/>
                <w:color w:val="auto"/>
                <w:spacing w:val="-4"/>
                <w:position w:val="7"/>
                <w:sz w:val="15"/>
                <w:szCs w:val="15"/>
                <w:highlight w:val="none"/>
                <w:vertAlign w:val="baseline"/>
                <w:lang w:eastAsia="zh-CN"/>
              </w:rPr>
              <w:t>F-18</w:t>
            </w:r>
            <w:r>
              <w:rPr>
                <w:rFonts w:hint="default" w:ascii="Times New Roman" w:hAnsi="Times New Roman" w:eastAsia="Times New Roman" w:cs="Times New Roman"/>
                <w:color w:val="auto"/>
                <w:spacing w:val="-4"/>
                <w:highlight w:val="none"/>
              </w:rPr>
              <w:t xml:space="preserve">  </w:t>
            </w:r>
            <w:r>
              <w:rPr>
                <w:rFonts w:hint="default" w:ascii="Times New Roman" w:hAnsi="Times New Roman" w:cs="Times New Roman"/>
                <w:color w:val="auto"/>
                <w:spacing w:val="-4"/>
                <w:highlight w:val="none"/>
              </w:rPr>
              <w:t>核</w:t>
            </w:r>
            <w:r>
              <w:rPr>
                <w:rFonts w:hint="default" w:ascii="Times New Roman" w:hAnsi="Times New Roman" w:cs="Times New Roman"/>
                <w:color w:val="auto"/>
                <w:spacing w:val="-5"/>
                <w:highlight w:val="none"/>
              </w:rPr>
              <w:t>反应生产</w:t>
            </w:r>
            <w:r>
              <w:rPr>
                <w:rFonts w:hint="default" w:ascii="Times New Roman" w:hAnsi="Times New Roman" w:cs="Times New Roman"/>
                <w:color w:val="auto"/>
                <w:spacing w:val="-42"/>
                <w:highlight w:val="none"/>
              </w:rPr>
              <w:t xml:space="preserve"> </w:t>
            </w:r>
            <w:r>
              <w:rPr>
                <w:rFonts w:hint="eastAsia" w:ascii="Times New Roman" w:hAnsi="Times New Roman" w:eastAsia="宋体" w:cs="Times New Roman"/>
                <w:color w:val="auto"/>
                <w:spacing w:val="-5"/>
                <w:position w:val="7"/>
                <w:sz w:val="15"/>
                <w:szCs w:val="15"/>
                <w:highlight w:val="none"/>
                <w:vertAlign w:val="baseline"/>
                <w:lang w:eastAsia="zh-CN"/>
              </w:rPr>
              <w:t>F-18</w:t>
            </w:r>
            <w:r>
              <w:rPr>
                <w:rFonts w:hint="default" w:ascii="Times New Roman" w:hAnsi="Times New Roman" w:eastAsia="Times New Roman" w:cs="Times New Roman"/>
                <w:color w:val="auto"/>
                <w:spacing w:val="30"/>
                <w:w w:val="101"/>
                <w:highlight w:val="none"/>
              </w:rPr>
              <w:t xml:space="preserve"> </w:t>
            </w:r>
            <w:r>
              <w:rPr>
                <w:rFonts w:hint="default" w:ascii="Times New Roman" w:hAnsi="Times New Roman" w:cs="Times New Roman"/>
                <w:color w:val="auto"/>
                <w:spacing w:val="-5"/>
                <w:highlight w:val="none"/>
              </w:rPr>
              <w:t>的方法为主。在回旋加</w:t>
            </w:r>
            <w:r>
              <w:rPr>
                <w:rFonts w:hint="default" w:ascii="Times New Roman" w:hAnsi="Times New Roman" w:cs="Times New Roman"/>
                <w:color w:val="auto"/>
                <w:highlight w:val="none"/>
              </w:rPr>
              <w:t xml:space="preserve">速器中以高能质子束流轰击靶（丰度 </w:t>
            </w:r>
            <w:r>
              <w:rPr>
                <w:rFonts w:hint="default" w:ascii="Times New Roman" w:hAnsi="Times New Roman" w:eastAsia="Times New Roman" w:cs="Times New Roman"/>
                <w:color w:val="auto"/>
                <w:highlight w:val="none"/>
              </w:rPr>
              <w:t>95%</w:t>
            </w:r>
            <w:r>
              <w:rPr>
                <w:rFonts w:hint="default" w:ascii="Times New Roman" w:hAnsi="Times New Roman" w:cs="Times New Roman"/>
                <w:color w:val="auto"/>
                <w:highlight w:val="none"/>
              </w:rPr>
              <w:t xml:space="preserve">的 </w:t>
            </w:r>
            <w:r>
              <w:rPr>
                <w:rFonts w:hint="default" w:ascii="Times New Roman" w:hAnsi="Times New Roman" w:eastAsia="Times New Roman" w:cs="Times New Roman"/>
                <w:color w:val="auto"/>
                <w:highlight w:val="none"/>
              </w:rPr>
              <w:t>H</w:t>
            </w:r>
            <w:r>
              <w:rPr>
                <w:rFonts w:hint="default" w:ascii="Times New Roman" w:hAnsi="Times New Roman" w:eastAsia="Times New Roman" w:cs="Times New Roman"/>
                <w:color w:val="auto"/>
                <w:position w:val="-1"/>
                <w:sz w:val="15"/>
                <w:szCs w:val="15"/>
                <w:highlight w:val="none"/>
              </w:rPr>
              <w:t>2</w:t>
            </w:r>
            <w:r>
              <w:rPr>
                <w:rFonts w:hint="default" w:ascii="Times New Roman" w:hAnsi="Times New Roman" w:eastAsia="Times New Roman" w:cs="Times New Roman"/>
                <w:color w:val="auto"/>
                <w:position w:val="7"/>
                <w:sz w:val="15"/>
                <w:szCs w:val="15"/>
                <w:highlight w:val="none"/>
              </w:rPr>
              <w:t>18</w:t>
            </w:r>
            <w:r>
              <w:rPr>
                <w:rFonts w:hint="default" w:ascii="Times New Roman" w:hAnsi="Times New Roman" w:eastAsia="Times New Roman" w:cs="Times New Roman"/>
                <w:color w:val="auto"/>
                <w:highlight w:val="none"/>
              </w:rPr>
              <w:t>O</w:t>
            </w:r>
            <w:r>
              <w:rPr>
                <w:rFonts w:hint="default" w:ascii="Times New Roman" w:hAnsi="Times New Roman" w:cs="Times New Roman"/>
                <w:color w:val="auto"/>
                <w:highlight w:val="none"/>
              </w:rPr>
              <w:t>）可</w:t>
            </w:r>
            <w:r>
              <w:rPr>
                <w:rFonts w:hint="default" w:ascii="Times New Roman" w:hAnsi="Times New Roman" w:cs="Times New Roman"/>
                <w:color w:val="auto"/>
                <w:spacing w:val="-1"/>
                <w:highlight w:val="none"/>
              </w:rPr>
              <w:t xml:space="preserve">得到 </w:t>
            </w:r>
            <w:r>
              <w:rPr>
                <w:rFonts w:hint="eastAsia" w:ascii="Times New Roman" w:hAnsi="Times New Roman" w:eastAsia="宋体" w:cs="Times New Roman"/>
                <w:color w:val="auto"/>
                <w:spacing w:val="-1"/>
                <w:position w:val="7"/>
                <w:sz w:val="15"/>
                <w:szCs w:val="15"/>
                <w:highlight w:val="none"/>
                <w:vertAlign w:val="baseline"/>
                <w:lang w:eastAsia="zh-CN"/>
              </w:rPr>
              <w:t>F-18</w:t>
            </w:r>
            <w:r>
              <w:rPr>
                <w:rFonts w:hint="default" w:ascii="Times New Roman" w:hAnsi="Times New Roman" w:eastAsia="Times New Roman" w:cs="Times New Roman"/>
                <w:color w:val="auto"/>
                <w:spacing w:val="-1"/>
                <w:highlight w:val="none"/>
              </w:rPr>
              <w:t xml:space="preserve"> -F</w:t>
            </w:r>
            <w:r>
              <w:rPr>
                <w:rFonts w:hint="default" w:ascii="Times New Roman" w:hAnsi="Times New Roman" w:eastAsia="Times New Roman" w:cs="Times New Roman"/>
                <w:color w:val="auto"/>
                <w:spacing w:val="-1"/>
                <w:position w:val="7"/>
                <w:sz w:val="15"/>
                <w:szCs w:val="15"/>
                <w:highlight w:val="none"/>
              </w:rPr>
              <w:t xml:space="preserve">- </w:t>
            </w:r>
            <w:r>
              <w:rPr>
                <w:rFonts w:hint="default" w:ascii="Times New Roman" w:hAnsi="Times New Roman" w:cs="Times New Roman"/>
                <w:color w:val="auto"/>
                <w:spacing w:val="-1"/>
                <w:highlight w:val="none"/>
              </w:rPr>
              <w:t>。</w:t>
            </w:r>
            <w:r>
              <w:rPr>
                <w:rFonts w:hint="eastAsia" w:ascii="Times New Roman" w:hAnsi="Times New Roman" w:eastAsia="宋体" w:cs="Times New Roman"/>
                <w:color w:val="auto"/>
                <w:spacing w:val="-1"/>
                <w:position w:val="7"/>
                <w:sz w:val="15"/>
                <w:szCs w:val="15"/>
                <w:highlight w:val="none"/>
                <w:vertAlign w:val="baseline"/>
                <w:lang w:eastAsia="zh-CN"/>
              </w:rPr>
              <w:t>F-18</w:t>
            </w:r>
            <w:r>
              <w:rPr>
                <w:rFonts w:hint="default" w:ascii="Times New Roman" w:hAnsi="Times New Roman" w:eastAsia="Times New Roman" w:cs="Times New Roman"/>
                <w:color w:val="auto"/>
                <w:spacing w:val="-1"/>
                <w:highlight w:val="none"/>
              </w:rPr>
              <w:t xml:space="preserve"> -F</w:t>
            </w:r>
            <w:r>
              <w:rPr>
                <w:rFonts w:hint="default" w:ascii="Times New Roman" w:hAnsi="Times New Roman" w:eastAsia="Times New Roman" w:cs="Times New Roman"/>
                <w:color w:val="auto"/>
                <w:spacing w:val="-1"/>
                <w:sz w:val="15"/>
                <w:szCs w:val="15"/>
                <w:highlight w:val="none"/>
              </w:rPr>
              <w:t>-</w:t>
            </w:r>
            <w:r>
              <w:rPr>
                <w:rFonts w:hint="default" w:ascii="Times New Roman" w:hAnsi="Times New Roman" w:cs="Times New Roman"/>
                <w:color w:val="auto"/>
                <w:spacing w:val="-1"/>
                <w:highlight w:val="none"/>
              </w:rPr>
              <w:t>需从轰击后的靶</w:t>
            </w:r>
            <w:r>
              <w:rPr>
                <w:rFonts w:hint="default" w:ascii="Times New Roman" w:hAnsi="Times New Roman" w:cs="Times New Roman"/>
                <w:color w:val="auto"/>
                <w:highlight w:val="none"/>
              </w:rPr>
              <w:t>水中进行富集捕获，用阴离子交换柱捕获法，从加</w:t>
            </w:r>
            <w:r>
              <w:rPr>
                <w:rFonts w:hint="default" w:ascii="Times New Roman" w:hAnsi="Times New Roman" w:cs="Times New Roman"/>
                <w:color w:val="auto"/>
                <w:spacing w:val="-1"/>
                <w:highlight w:val="none"/>
              </w:rPr>
              <w:t>速器传过来的含</w:t>
            </w:r>
            <w:r>
              <w:rPr>
                <w:rFonts w:hint="default" w:ascii="Times New Roman" w:hAnsi="Times New Roman" w:cs="Times New Roman"/>
                <w:color w:val="auto"/>
                <w:spacing w:val="-42"/>
                <w:highlight w:val="none"/>
              </w:rPr>
              <w:t xml:space="preserve"> </w:t>
            </w:r>
            <w:r>
              <w:rPr>
                <w:rFonts w:hint="eastAsia" w:ascii="Times New Roman" w:hAnsi="Times New Roman" w:eastAsia="宋体" w:cs="Times New Roman"/>
                <w:color w:val="auto"/>
                <w:spacing w:val="-1"/>
                <w:position w:val="8"/>
                <w:sz w:val="15"/>
                <w:szCs w:val="15"/>
                <w:highlight w:val="none"/>
                <w:vertAlign w:val="baseline"/>
                <w:lang w:eastAsia="zh-CN"/>
              </w:rPr>
              <w:t>F-18</w:t>
            </w:r>
            <w:r>
              <w:rPr>
                <w:rFonts w:hint="default" w:ascii="Times New Roman" w:hAnsi="Times New Roman" w:eastAsia="Times New Roman" w:cs="Times New Roman"/>
                <w:color w:val="auto"/>
                <w:spacing w:val="-1"/>
                <w:highlight w:val="none"/>
              </w:rPr>
              <w:t xml:space="preserve"> -F</w:t>
            </w:r>
            <w:r>
              <w:rPr>
                <w:rFonts w:hint="default" w:ascii="Times New Roman" w:hAnsi="Times New Roman" w:eastAsia="Times New Roman" w:cs="Times New Roman"/>
                <w:color w:val="auto"/>
                <w:spacing w:val="-1"/>
                <w:sz w:val="15"/>
                <w:szCs w:val="15"/>
                <w:highlight w:val="none"/>
              </w:rPr>
              <w:t>-</w:t>
            </w:r>
            <w:r>
              <w:rPr>
                <w:rFonts w:hint="default" w:ascii="Times New Roman" w:hAnsi="Times New Roman" w:cs="Times New Roman"/>
                <w:color w:val="auto"/>
                <w:spacing w:val="-1"/>
                <w:highlight w:val="none"/>
              </w:rPr>
              <w:t xml:space="preserve">的靶水经过 </w:t>
            </w:r>
            <w:r>
              <w:rPr>
                <w:rFonts w:hint="default" w:ascii="Times New Roman" w:hAnsi="Times New Roman" w:eastAsia="Times New Roman" w:cs="Times New Roman"/>
                <w:color w:val="auto"/>
                <w:spacing w:val="-1"/>
                <w:highlight w:val="none"/>
              </w:rPr>
              <w:t>QMA</w:t>
            </w:r>
            <w:r>
              <w:rPr>
                <w:rFonts w:hint="default" w:ascii="Times New Roman" w:hAnsi="Times New Roman" w:cs="Times New Roman"/>
                <w:color w:val="auto"/>
                <w:highlight w:val="none"/>
              </w:rPr>
              <w:t>柱，其中氟</w:t>
            </w:r>
            <w:r>
              <w:rPr>
                <w:rFonts w:hint="default" w:ascii="Times New Roman" w:hAnsi="Times New Roman" w:eastAsia="Times New Roman" w:cs="Times New Roman"/>
                <w:color w:val="auto"/>
                <w:position w:val="2"/>
                <w:highlight w:val="none"/>
              </w:rPr>
              <w:t>[</w:t>
            </w:r>
            <w:r>
              <w:rPr>
                <w:rFonts w:hint="eastAsia" w:ascii="Times New Roman" w:hAnsi="Times New Roman" w:eastAsia="宋体" w:cs="Times New Roman"/>
                <w:color w:val="auto"/>
                <w:position w:val="2"/>
                <w:sz w:val="15"/>
                <w:szCs w:val="15"/>
                <w:highlight w:val="none"/>
                <w:vertAlign w:val="baseline"/>
                <w:lang w:eastAsia="zh-CN"/>
              </w:rPr>
              <w:t>F-18</w:t>
            </w:r>
            <w:r>
              <w:rPr>
                <w:rFonts w:hint="default" w:ascii="Times New Roman" w:hAnsi="Times New Roman" w:eastAsia="Times New Roman" w:cs="Times New Roman"/>
                <w:color w:val="auto"/>
                <w:highlight w:val="none"/>
              </w:rPr>
              <w:t>]</w:t>
            </w:r>
            <w:r>
              <w:rPr>
                <w:rFonts w:hint="default" w:ascii="Times New Roman" w:hAnsi="Times New Roman" w:cs="Times New Roman"/>
                <w:color w:val="auto"/>
                <w:highlight w:val="none"/>
              </w:rPr>
              <w:t>离子被附着在柱子上，废水及其中的杂质离子流到废水瓶中</w:t>
            </w:r>
            <w:r>
              <w:rPr>
                <w:rFonts w:hint="default" w:ascii="Times New Roman" w:hAnsi="Times New Roman" w:cs="Times New Roman"/>
                <w:color w:val="auto"/>
                <w:spacing w:val="-1"/>
                <w:highlight w:val="none"/>
              </w:rPr>
              <w:t xml:space="preserve">收集。用乙腈溶液淋洗 </w:t>
            </w:r>
            <w:r>
              <w:rPr>
                <w:rFonts w:hint="default" w:ascii="Times New Roman" w:hAnsi="Times New Roman" w:eastAsia="Times New Roman" w:cs="Times New Roman"/>
                <w:color w:val="auto"/>
                <w:spacing w:val="-1"/>
                <w:highlight w:val="none"/>
              </w:rPr>
              <w:t xml:space="preserve">QMA  </w:t>
            </w:r>
            <w:r>
              <w:rPr>
                <w:rFonts w:hint="default" w:ascii="Times New Roman" w:hAnsi="Times New Roman" w:cs="Times New Roman"/>
                <w:color w:val="auto"/>
                <w:spacing w:val="-1"/>
                <w:highlight w:val="none"/>
              </w:rPr>
              <w:t>柱，将上面的氟</w:t>
            </w:r>
            <w:r>
              <w:rPr>
                <w:rFonts w:hint="default" w:ascii="Times New Roman" w:hAnsi="Times New Roman" w:eastAsia="Times New Roman" w:cs="Times New Roman"/>
                <w:color w:val="auto"/>
                <w:spacing w:val="-1"/>
                <w:position w:val="2"/>
                <w:highlight w:val="none"/>
              </w:rPr>
              <w:t>[</w:t>
            </w:r>
            <w:r>
              <w:rPr>
                <w:rFonts w:hint="eastAsia" w:ascii="Times New Roman" w:hAnsi="Times New Roman" w:eastAsia="宋体" w:cs="Times New Roman"/>
                <w:color w:val="auto"/>
                <w:spacing w:val="-1"/>
                <w:position w:val="2"/>
                <w:sz w:val="15"/>
                <w:szCs w:val="15"/>
                <w:highlight w:val="none"/>
                <w:vertAlign w:val="baseline"/>
                <w:lang w:eastAsia="zh-CN"/>
              </w:rPr>
              <w:t>F-18</w:t>
            </w:r>
            <w:r>
              <w:rPr>
                <w:rFonts w:hint="default" w:ascii="Times New Roman" w:hAnsi="Times New Roman" w:eastAsia="Times New Roman" w:cs="Times New Roman"/>
                <w:color w:val="auto"/>
                <w:spacing w:val="-1"/>
                <w:highlight w:val="none"/>
              </w:rPr>
              <w:t>]</w:t>
            </w:r>
            <w:r>
              <w:rPr>
                <w:rFonts w:hint="default" w:ascii="Times New Roman" w:hAnsi="Times New Roman" w:cs="Times New Roman"/>
                <w:color w:val="auto"/>
                <w:spacing w:val="-1"/>
                <w:highlight w:val="none"/>
              </w:rPr>
              <w:t>离子带入反应</w:t>
            </w:r>
            <w:r>
              <w:rPr>
                <w:rFonts w:hint="default" w:ascii="Times New Roman" w:hAnsi="Times New Roman" w:cs="Times New Roman"/>
                <w:color w:val="auto"/>
                <w:spacing w:val="-2"/>
                <w:highlight w:val="none"/>
              </w:rPr>
              <w:t>管。淋洗结束后，加热反应管使乙腈与水共沸进行除水，待冷却完毕后向反应管中加入三氟甘露糖溶液，混合液发生亲核取代反应，</w:t>
            </w:r>
            <w:r>
              <w:rPr>
                <w:rFonts w:hint="eastAsia" w:ascii="Times New Roman" w:hAnsi="Times New Roman" w:eastAsia="宋体" w:cs="Times New Roman"/>
                <w:color w:val="auto"/>
                <w:spacing w:val="-2"/>
                <w:position w:val="8"/>
                <w:sz w:val="15"/>
                <w:szCs w:val="15"/>
                <w:highlight w:val="none"/>
                <w:vertAlign w:val="baseline"/>
                <w:lang w:eastAsia="zh-CN"/>
              </w:rPr>
              <w:t>F-18</w:t>
            </w:r>
            <w:r>
              <w:rPr>
                <w:rFonts w:hint="default" w:ascii="Times New Roman" w:hAnsi="Times New Roman" w:cs="Times New Roman"/>
                <w:color w:val="auto"/>
                <w:spacing w:val="-1"/>
                <w:highlight w:val="none"/>
              </w:rPr>
              <w:t>取代三氟甘露糖上的一个羟基。亲核反应结束后加热反应管除去过量乙腈，再向反应管中</w:t>
            </w:r>
            <w:r>
              <w:rPr>
                <w:rFonts w:hint="eastAsia" w:ascii="Times New Roman" w:hAnsi="Times New Roman" w:cs="Times New Roman"/>
                <w:color w:val="auto"/>
                <w:spacing w:val="-1"/>
                <w:highlight w:val="none"/>
                <w:lang w:eastAsia="zh-CN"/>
              </w:rPr>
              <w:t>加入</w:t>
            </w:r>
            <w:r>
              <w:rPr>
                <w:rFonts w:hint="default" w:ascii="Times New Roman" w:hAnsi="Times New Roman" w:cs="Times New Roman"/>
                <w:color w:val="auto"/>
                <w:highlight w:val="none"/>
              </w:rPr>
              <w:t>氢氧化钠溶液进行水解。最后经过分离提纯和</w:t>
            </w:r>
            <w:r>
              <w:rPr>
                <w:rFonts w:hint="default" w:ascii="Times New Roman" w:hAnsi="Times New Roman" w:cs="Times New Roman"/>
                <w:color w:val="auto"/>
                <w:spacing w:val="-1"/>
                <w:highlight w:val="none"/>
              </w:rPr>
              <w:t>无菌滤膜过滤获得最终</w:t>
            </w:r>
            <w:r>
              <w:rPr>
                <w:rFonts w:hint="default" w:ascii="Times New Roman" w:hAnsi="Times New Roman" w:cs="Times New Roman"/>
                <w:color w:val="auto"/>
                <w:spacing w:val="-42"/>
                <w:highlight w:val="none"/>
              </w:rPr>
              <w:t xml:space="preserve"> </w:t>
            </w:r>
            <w:r>
              <w:rPr>
                <w:rFonts w:hint="eastAsia" w:ascii="Times New Roman" w:hAnsi="Times New Roman" w:eastAsia="宋体" w:cs="Times New Roman"/>
                <w:color w:val="auto"/>
                <w:spacing w:val="-1"/>
                <w:position w:val="7"/>
                <w:sz w:val="15"/>
                <w:szCs w:val="15"/>
                <w:highlight w:val="none"/>
                <w:vertAlign w:val="baseline"/>
                <w:lang w:eastAsia="zh-CN"/>
              </w:rPr>
              <w:t>F-18</w:t>
            </w:r>
            <w:r>
              <w:rPr>
                <w:rFonts w:hint="default" w:ascii="Times New Roman" w:hAnsi="Times New Roman" w:eastAsia="Times New Roman" w:cs="Times New Roman"/>
                <w:color w:val="auto"/>
                <w:spacing w:val="-1"/>
                <w:highlight w:val="none"/>
              </w:rPr>
              <w:t xml:space="preserve"> -FDG  </w:t>
            </w:r>
            <w:r>
              <w:rPr>
                <w:rFonts w:hint="default" w:ascii="Times New Roman" w:hAnsi="Times New Roman" w:cs="Times New Roman"/>
                <w:color w:val="auto"/>
                <w:spacing w:val="-1"/>
                <w:highlight w:val="none"/>
              </w:rPr>
              <w:t>示踪剂。</w:t>
            </w:r>
          </w:p>
          <w:p w14:paraId="10270D1E">
            <w:pPr>
              <w:pStyle w:val="43"/>
              <w:keepNext w:val="0"/>
              <w:keepLines w:val="0"/>
              <w:suppressLineNumbers w:val="0"/>
              <w:spacing w:before="7" w:beforeAutospacing="0" w:after="0" w:afterAutospacing="0" w:line="217" w:lineRule="auto"/>
              <w:ind w:left="586" w:right="0"/>
              <w:jc w:val="both"/>
              <w:rPr>
                <w:rFonts w:hint="default" w:ascii="Times New Roman" w:hAnsi="Times New Roman" w:cs="Times New Roman"/>
                <w:color w:val="auto"/>
                <w:highlight w:val="none"/>
              </w:rPr>
            </w:pPr>
            <w:r>
              <w:rPr>
                <w:rFonts w:hint="default" w:ascii="Times New Roman" w:hAnsi="Times New Roman" w:cs="Times New Roman"/>
                <w:color w:val="auto"/>
                <w:spacing w:val="-1"/>
                <w:highlight w:val="none"/>
              </w:rPr>
              <w:t>②</w:t>
            </w:r>
            <w:r>
              <w:rPr>
                <w:rFonts w:hint="default" w:ascii="Times New Roman" w:hAnsi="Times New Roman" w:eastAsia="Times New Roman" w:cs="Times New Roman"/>
                <w:color w:val="auto"/>
                <w:spacing w:val="-1"/>
                <w:position w:val="7"/>
                <w:sz w:val="15"/>
                <w:szCs w:val="15"/>
                <w:highlight w:val="none"/>
              </w:rPr>
              <w:t>68</w:t>
            </w:r>
            <w:r>
              <w:rPr>
                <w:rFonts w:hint="default" w:ascii="Times New Roman" w:hAnsi="Times New Roman" w:eastAsia="Times New Roman" w:cs="Times New Roman"/>
                <w:color w:val="auto"/>
                <w:spacing w:val="-1"/>
                <w:highlight w:val="none"/>
              </w:rPr>
              <w:t xml:space="preserve">Ga </w:t>
            </w:r>
            <w:r>
              <w:rPr>
                <w:rFonts w:hint="default" w:ascii="Times New Roman" w:hAnsi="Times New Roman" w:cs="Times New Roman"/>
                <w:color w:val="auto"/>
                <w:spacing w:val="-1"/>
                <w:highlight w:val="none"/>
              </w:rPr>
              <w:t>示踪剂生产工艺流程</w:t>
            </w:r>
          </w:p>
          <w:p w14:paraId="5FA0660F">
            <w:pPr>
              <w:pStyle w:val="43"/>
              <w:keepNext w:val="0"/>
              <w:keepLines w:val="0"/>
              <w:suppressLineNumbers w:val="0"/>
              <w:spacing w:before="198" w:beforeAutospacing="0" w:after="0" w:afterAutospacing="0" w:line="366" w:lineRule="auto"/>
              <w:ind w:left="118" w:right="45" w:firstLine="480"/>
              <w:jc w:val="both"/>
              <w:rPr>
                <w:rFonts w:hint="default" w:ascii="Times New Roman" w:hAnsi="Times New Roman" w:cs="Times New Roman"/>
                <w:color w:val="auto"/>
                <w:highlight w:val="none"/>
              </w:rPr>
            </w:pPr>
            <w:r>
              <w:rPr>
                <w:rFonts w:hint="default" w:ascii="Times New Roman" w:hAnsi="Times New Roman" w:cs="Times New Roman"/>
                <w:color w:val="auto"/>
                <w:spacing w:val="-2"/>
                <w:highlight w:val="none"/>
              </w:rPr>
              <w:t>主要以</w:t>
            </w:r>
            <w:r>
              <w:rPr>
                <w:rFonts w:hint="default" w:ascii="Times New Roman" w:hAnsi="Times New Roman" w:cs="Times New Roman"/>
                <w:color w:val="auto"/>
                <w:spacing w:val="-53"/>
                <w:highlight w:val="none"/>
              </w:rPr>
              <w:t xml:space="preserve"> </w:t>
            </w:r>
            <w:r>
              <w:rPr>
                <w:rFonts w:hint="default" w:ascii="Times New Roman" w:hAnsi="Times New Roman" w:eastAsia="Times New Roman" w:cs="Times New Roman"/>
                <w:color w:val="auto"/>
                <w:spacing w:val="-2"/>
                <w:position w:val="7"/>
                <w:sz w:val="15"/>
                <w:szCs w:val="15"/>
                <w:highlight w:val="none"/>
              </w:rPr>
              <w:t>68</w:t>
            </w:r>
            <w:r>
              <w:rPr>
                <w:rFonts w:hint="default" w:ascii="Times New Roman" w:hAnsi="Times New Roman" w:eastAsia="Times New Roman" w:cs="Times New Roman"/>
                <w:color w:val="auto"/>
                <w:spacing w:val="-2"/>
                <w:highlight w:val="none"/>
              </w:rPr>
              <w:t>Zn (p</w:t>
            </w:r>
            <w:r>
              <w:rPr>
                <w:rFonts w:hint="default" w:ascii="Times New Roman" w:hAnsi="Times New Roman" w:eastAsia="Times New Roman" w:cs="Times New Roman"/>
                <w:color w:val="auto"/>
                <w:spacing w:val="-29"/>
                <w:highlight w:val="none"/>
              </w:rPr>
              <w:t xml:space="preserve"> </w:t>
            </w:r>
            <w:r>
              <w:rPr>
                <w:rFonts w:hint="default" w:ascii="Times New Roman" w:hAnsi="Times New Roman" w:cs="Times New Roman"/>
                <w:color w:val="auto"/>
                <w:spacing w:val="-2"/>
                <w:highlight w:val="none"/>
              </w:rPr>
              <w:t>，</w:t>
            </w:r>
            <w:r>
              <w:rPr>
                <w:rFonts w:hint="default" w:ascii="Times New Roman" w:hAnsi="Times New Roman" w:eastAsia="Times New Roman" w:cs="Times New Roman"/>
                <w:color w:val="auto"/>
                <w:spacing w:val="-2"/>
                <w:highlight w:val="none"/>
              </w:rPr>
              <w:t xml:space="preserve">n) </w:t>
            </w:r>
            <w:r>
              <w:rPr>
                <w:rFonts w:hint="default" w:ascii="Times New Roman" w:hAnsi="Times New Roman" w:eastAsia="Times New Roman" w:cs="Times New Roman"/>
                <w:color w:val="auto"/>
                <w:spacing w:val="-2"/>
                <w:position w:val="7"/>
                <w:sz w:val="15"/>
                <w:szCs w:val="15"/>
                <w:highlight w:val="none"/>
              </w:rPr>
              <w:t>68</w:t>
            </w:r>
            <w:r>
              <w:rPr>
                <w:rFonts w:hint="default" w:ascii="Times New Roman" w:hAnsi="Times New Roman" w:eastAsia="Times New Roman" w:cs="Times New Roman"/>
                <w:color w:val="auto"/>
                <w:spacing w:val="-2"/>
                <w:highlight w:val="none"/>
              </w:rPr>
              <w:t xml:space="preserve">Ga </w:t>
            </w:r>
            <w:r>
              <w:rPr>
                <w:rFonts w:hint="default" w:ascii="Times New Roman" w:hAnsi="Times New Roman" w:cs="Times New Roman"/>
                <w:color w:val="auto"/>
                <w:spacing w:val="-2"/>
                <w:highlight w:val="none"/>
              </w:rPr>
              <w:t>核反应，将</w:t>
            </w:r>
            <w:r>
              <w:rPr>
                <w:rFonts w:hint="default" w:ascii="Times New Roman" w:hAnsi="Times New Roman" w:cs="Times New Roman"/>
                <w:color w:val="auto"/>
                <w:spacing w:val="-53"/>
                <w:highlight w:val="none"/>
              </w:rPr>
              <w:t xml:space="preserve"> </w:t>
            </w:r>
            <w:r>
              <w:rPr>
                <w:rFonts w:hint="default" w:ascii="Times New Roman" w:hAnsi="Times New Roman" w:eastAsia="Times New Roman" w:cs="Times New Roman"/>
                <w:color w:val="auto"/>
                <w:spacing w:val="-2"/>
                <w:position w:val="7"/>
                <w:sz w:val="15"/>
                <w:szCs w:val="15"/>
                <w:highlight w:val="none"/>
              </w:rPr>
              <w:t>68</w:t>
            </w:r>
            <w:r>
              <w:rPr>
                <w:rFonts w:hint="default" w:ascii="Times New Roman" w:hAnsi="Times New Roman" w:eastAsia="Times New Roman" w:cs="Times New Roman"/>
                <w:color w:val="auto"/>
                <w:spacing w:val="-2"/>
                <w:highlight w:val="none"/>
              </w:rPr>
              <w:t xml:space="preserve">Zn  </w:t>
            </w:r>
            <w:r>
              <w:rPr>
                <w:rFonts w:hint="default" w:ascii="Times New Roman" w:hAnsi="Times New Roman" w:cs="Times New Roman"/>
                <w:color w:val="auto"/>
                <w:spacing w:val="-2"/>
                <w:highlight w:val="none"/>
              </w:rPr>
              <w:t>电镀至特制的靶基板后进行照射，将轰</w:t>
            </w:r>
            <w:r>
              <w:rPr>
                <w:rFonts w:hint="default" w:ascii="Times New Roman" w:hAnsi="Times New Roman" w:cs="Times New Roman"/>
                <w:color w:val="auto"/>
                <w:spacing w:val="-3"/>
                <w:highlight w:val="none"/>
              </w:rPr>
              <w:t>击完毕</w:t>
            </w:r>
            <w:r>
              <w:rPr>
                <w:rFonts w:hint="default" w:ascii="Times New Roman" w:hAnsi="Times New Roman" w:cs="Times New Roman"/>
                <w:color w:val="auto"/>
                <w:spacing w:val="-5"/>
                <w:highlight w:val="none"/>
              </w:rPr>
              <w:t>的基板自动注入酸溶液，将</w:t>
            </w:r>
            <w:r>
              <w:rPr>
                <w:rFonts w:hint="default" w:ascii="Times New Roman" w:hAnsi="Times New Roman" w:cs="Times New Roman"/>
                <w:color w:val="auto"/>
                <w:spacing w:val="-50"/>
                <w:highlight w:val="none"/>
              </w:rPr>
              <w:t xml:space="preserve"> </w:t>
            </w:r>
            <w:r>
              <w:rPr>
                <w:rFonts w:hint="default" w:ascii="Times New Roman" w:hAnsi="Times New Roman" w:eastAsia="Times New Roman" w:cs="Times New Roman"/>
                <w:color w:val="auto"/>
                <w:spacing w:val="-5"/>
                <w:position w:val="7"/>
                <w:sz w:val="15"/>
                <w:szCs w:val="15"/>
                <w:highlight w:val="none"/>
              </w:rPr>
              <w:t>68</w:t>
            </w:r>
            <w:r>
              <w:rPr>
                <w:rFonts w:hint="default" w:ascii="Times New Roman" w:hAnsi="Times New Roman" w:eastAsia="Times New Roman" w:cs="Times New Roman"/>
                <w:color w:val="auto"/>
                <w:spacing w:val="-5"/>
                <w:highlight w:val="none"/>
              </w:rPr>
              <w:t>Zn</w:t>
            </w:r>
            <w:r>
              <w:rPr>
                <w:rFonts w:hint="default" w:ascii="Times New Roman" w:hAnsi="Times New Roman" w:cs="Times New Roman"/>
                <w:color w:val="auto"/>
                <w:spacing w:val="-5"/>
                <w:highlight w:val="none"/>
              </w:rPr>
              <w:t>（含</w:t>
            </w:r>
            <w:r>
              <w:rPr>
                <w:rFonts w:hint="default" w:ascii="Times New Roman" w:hAnsi="Times New Roman" w:cs="Times New Roman"/>
                <w:color w:val="auto"/>
                <w:spacing w:val="-54"/>
                <w:highlight w:val="none"/>
              </w:rPr>
              <w:t xml:space="preserve"> </w:t>
            </w:r>
            <w:r>
              <w:rPr>
                <w:rFonts w:hint="default" w:ascii="Times New Roman" w:hAnsi="Times New Roman" w:eastAsia="Times New Roman" w:cs="Times New Roman"/>
                <w:color w:val="auto"/>
                <w:spacing w:val="-5"/>
                <w:position w:val="7"/>
                <w:sz w:val="15"/>
                <w:szCs w:val="15"/>
                <w:highlight w:val="none"/>
              </w:rPr>
              <w:t>68</w:t>
            </w:r>
            <w:r>
              <w:rPr>
                <w:rFonts w:hint="default" w:ascii="Times New Roman" w:hAnsi="Times New Roman" w:eastAsia="Times New Roman" w:cs="Times New Roman"/>
                <w:color w:val="auto"/>
                <w:spacing w:val="-5"/>
                <w:highlight w:val="none"/>
              </w:rPr>
              <w:t>Ga</w:t>
            </w:r>
            <w:r>
              <w:rPr>
                <w:rFonts w:hint="default" w:ascii="Times New Roman" w:hAnsi="Times New Roman" w:cs="Times New Roman"/>
                <w:color w:val="auto"/>
                <w:spacing w:val="-5"/>
                <w:highlight w:val="none"/>
              </w:rPr>
              <w:t>）溶解，通过地沟以液体形式自动传输至纯化装置，</w:t>
            </w:r>
            <w:r>
              <w:rPr>
                <w:rFonts w:hint="default" w:ascii="Times New Roman" w:hAnsi="Times New Roman" w:cs="Times New Roman"/>
                <w:color w:val="auto"/>
                <w:spacing w:val="-1"/>
                <w:highlight w:val="none"/>
              </w:rPr>
              <w:t>然后纯化、标记得到对应的</w:t>
            </w:r>
            <w:r>
              <w:rPr>
                <w:rFonts w:hint="default" w:ascii="Times New Roman" w:hAnsi="Times New Roman" w:cs="Times New Roman"/>
                <w:color w:val="auto"/>
                <w:spacing w:val="-40"/>
                <w:highlight w:val="none"/>
              </w:rPr>
              <w:t xml:space="preserve"> </w:t>
            </w:r>
            <w:r>
              <w:rPr>
                <w:rFonts w:hint="default" w:ascii="Times New Roman" w:hAnsi="Times New Roman" w:eastAsia="Times New Roman" w:cs="Times New Roman"/>
                <w:color w:val="auto"/>
                <w:spacing w:val="-1"/>
                <w:position w:val="7"/>
                <w:sz w:val="15"/>
                <w:szCs w:val="15"/>
                <w:highlight w:val="none"/>
              </w:rPr>
              <w:t>68</w:t>
            </w:r>
            <w:r>
              <w:rPr>
                <w:rFonts w:hint="default" w:ascii="Times New Roman" w:hAnsi="Times New Roman" w:eastAsia="Times New Roman" w:cs="Times New Roman"/>
                <w:color w:val="auto"/>
                <w:spacing w:val="-1"/>
                <w:highlight w:val="none"/>
              </w:rPr>
              <w:t xml:space="preserve">Ga </w:t>
            </w:r>
            <w:r>
              <w:rPr>
                <w:rFonts w:hint="default" w:ascii="Times New Roman" w:hAnsi="Times New Roman" w:cs="Times New Roman"/>
                <w:color w:val="auto"/>
                <w:spacing w:val="-1"/>
                <w:highlight w:val="none"/>
              </w:rPr>
              <w:t>标记化合物（液态）。</w:t>
            </w:r>
          </w:p>
          <w:p w14:paraId="48B232E3">
            <w:pPr>
              <w:pStyle w:val="43"/>
              <w:keepNext w:val="0"/>
              <w:keepLines w:val="0"/>
              <w:suppressLineNumbers w:val="0"/>
              <w:spacing w:before="8" w:beforeAutospacing="0" w:after="0" w:afterAutospacing="0" w:line="217" w:lineRule="auto"/>
              <w:ind w:left="595" w:right="0"/>
              <w:jc w:val="both"/>
              <w:rPr>
                <w:rFonts w:hint="default" w:ascii="Times New Roman" w:hAnsi="Times New Roman" w:cs="Times New Roman"/>
                <w:color w:val="auto"/>
                <w:highlight w:val="none"/>
              </w:rPr>
            </w:pPr>
            <w:r>
              <w:rPr>
                <w:rFonts w:hint="default" w:ascii="Times New Roman" w:hAnsi="Times New Roman" w:cs="Times New Roman"/>
                <w:color w:val="auto"/>
                <w:spacing w:val="-1"/>
                <w:highlight w:val="none"/>
              </w:rPr>
              <w:t>③</w:t>
            </w:r>
            <w:r>
              <w:rPr>
                <w:rFonts w:hint="default" w:ascii="Times New Roman" w:hAnsi="Times New Roman" w:eastAsia="Times New Roman" w:cs="Times New Roman"/>
                <w:color w:val="auto"/>
                <w:spacing w:val="-1"/>
                <w:position w:val="7"/>
                <w:sz w:val="15"/>
                <w:szCs w:val="15"/>
                <w:highlight w:val="none"/>
              </w:rPr>
              <w:t>11</w:t>
            </w:r>
            <w:r>
              <w:rPr>
                <w:rFonts w:hint="default" w:ascii="Times New Roman" w:hAnsi="Times New Roman" w:eastAsia="Times New Roman" w:cs="Times New Roman"/>
                <w:color w:val="auto"/>
                <w:spacing w:val="-1"/>
                <w:highlight w:val="none"/>
              </w:rPr>
              <w:t xml:space="preserve">C -MET </w:t>
            </w:r>
            <w:r>
              <w:rPr>
                <w:rFonts w:hint="default" w:ascii="Times New Roman" w:hAnsi="Times New Roman" w:cs="Times New Roman"/>
                <w:color w:val="auto"/>
                <w:spacing w:val="-1"/>
                <w:highlight w:val="none"/>
              </w:rPr>
              <w:t>示踪剂生产工艺流程</w:t>
            </w:r>
          </w:p>
          <w:p w14:paraId="001495EE">
            <w:pPr>
              <w:pStyle w:val="43"/>
              <w:keepNext w:val="0"/>
              <w:keepLines w:val="0"/>
              <w:suppressLineNumbers w:val="0"/>
              <w:spacing w:before="197" w:beforeAutospacing="0" w:after="0" w:afterAutospacing="0" w:line="368" w:lineRule="auto"/>
              <w:ind w:left="117" w:right="106" w:firstLine="479"/>
              <w:jc w:val="both"/>
              <w:rPr>
                <w:rFonts w:hint="default" w:ascii="Times New Roman" w:hAnsi="Times New Roman" w:cs="Times New Roman"/>
                <w:color w:val="auto"/>
                <w:highlight w:val="none"/>
              </w:rPr>
            </w:pPr>
            <w:r>
              <w:rPr>
                <w:rFonts w:hint="default" w:ascii="Times New Roman" w:hAnsi="Times New Roman" w:eastAsia="Times New Roman" w:cs="Times New Roman"/>
                <w:color w:val="auto"/>
                <w:spacing w:val="-1"/>
                <w:position w:val="7"/>
                <w:sz w:val="15"/>
                <w:szCs w:val="15"/>
                <w:highlight w:val="none"/>
              </w:rPr>
              <w:t>11</w:t>
            </w:r>
            <w:r>
              <w:rPr>
                <w:rFonts w:hint="default" w:ascii="Times New Roman" w:hAnsi="Times New Roman" w:eastAsia="Times New Roman" w:cs="Times New Roman"/>
                <w:color w:val="auto"/>
                <w:spacing w:val="-1"/>
                <w:highlight w:val="none"/>
              </w:rPr>
              <w:t xml:space="preserve">C </w:t>
            </w:r>
            <w:r>
              <w:rPr>
                <w:rFonts w:hint="default" w:ascii="Times New Roman" w:hAnsi="Times New Roman" w:cs="Times New Roman"/>
                <w:color w:val="auto"/>
                <w:spacing w:val="-1"/>
                <w:highlight w:val="none"/>
              </w:rPr>
              <w:t>可采用不同的核反应在不同的类型的靶中生</w:t>
            </w:r>
            <w:r>
              <w:rPr>
                <w:rFonts w:hint="default" w:ascii="Times New Roman" w:hAnsi="Times New Roman" w:cs="Times New Roman"/>
                <w:color w:val="auto"/>
                <w:spacing w:val="-2"/>
                <w:highlight w:val="none"/>
              </w:rPr>
              <w:t xml:space="preserve">产，其中最常见的核反应是 </w:t>
            </w:r>
            <w:r>
              <w:rPr>
                <w:rFonts w:hint="default" w:ascii="Times New Roman" w:hAnsi="Times New Roman" w:eastAsia="Times New Roman" w:cs="Times New Roman"/>
                <w:color w:val="auto"/>
                <w:spacing w:val="-2"/>
                <w:position w:val="7"/>
                <w:sz w:val="15"/>
                <w:szCs w:val="15"/>
                <w:highlight w:val="none"/>
              </w:rPr>
              <w:t>14</w:t>
            </w:r>
            <w:r>
              <w:rPr>
                <w:rFonts w:hint="default" w:ascii="Times New Roman" w:hAnsi="Times New Roman" w:eastAsia="Times New Roman" w:cs="Times New Roman"/>
                <w:color w:val="auto"/>
                <w:spacing w:val="-2"/>
                <w:highlight w:val="none"/>
              </w:rPr>
              <w:t>N</w:t>
            </w:r>
            <w:r>
              <w:rPr>
                <w:rFonts w:hint="default" w:ascii="Times New Roman" w:hAnsi="Times New Roman" w:cs="Times New Roman"/>
                <w:color w:val="auto"/>
                <w:spacing w:val="-2"/>
                <w:highlight w:val="none"/>
              </w:rPr>
              <w:t>（</w:t>
            </w:r>
            <w:r>
              <w:rPr>
                <w:rFonts w:hint="default" w:ascii="Times New Roman" w:hAnsi="Times New Roman" w:eastAsia="Times New Roman" w:cs="Times New Roman"/>
                <w:color w:val="auto"/>
                <w:spacing w:val="-2"/>
                <w:highlight w:val="none"/>
              </w:rPr>
              <w:t>p</w:t>
            </w:r>
            <w:r>
              <w:rPr>
                <w:rFonts w:hint="default" w:ascii="Times New Roman" w:hAnsi="Times New Roman" w:eastAsia="Times New Roman" w:cs="Times New Roman"/>
                <w:color w:val="auto"/>
                <w:spacing w:val="-31"/>
                <w:highlight w:val="none"/>
              </w:rPr>
              <w:t xml:space="preserve"> </w:t>
            </w:r>
            <w:r>
              <w:rPr>
                <w:rFonts w:hint="default" w:ascii="Times New Roman" w:hAnsi="Times New Roman" w:cs="Times New Roman"/>
                <w:color w:val="auto"/>
                <w:spacing w:val="-2"/>
                <w:highlight w:val="none"/>
              </w:rPr>
              <w:t>，</w:t>
            </w:r>
            <w:r>
              <w:rPr>
                <w:rFonts w:hint="default" w:ascii="Times New Roman" w:hAnsi="Times New Roman" w:eastAsia="Times New Roman" w:cs="Times New Roman"/>
                <w:color w:val="auto"/>
                <w:spacing w:val="-2"/>
                <w:highlight w:val="none"/>
              </w:rPr>
              <w:t>α</w:t>
            </w:r>
            <w:r>
              <w:rPr>
                <w:rFonts w:hint="default" w:ascii="Times New Roman" w:hAnsi="Times New Roman" w:cs="Times New Roman"/>
                <w:color w:val="auto"/>
                <w:spacing w:val="-2"/>
                <w:highlight w:val="none"/>
              </w:rPr>
              <w:t>)</w:t>
            </w:r>
            <w:r>
              <w:rPr>
                <w:rFonts w:hint="default" w:ascii="Times New Roman" w:hAnsi="Times New Roman" w:cs="Times New Roman"/>
                <w:color w:val="auto"/>
                <w:highlight w:val="none"/>
              </w:rPr>
              <w:t xml:space="preserve"> </w:t>
            </w:r>
            <w:r>
              <w:rPr>
                <w:rFonts w:hint="default" w:ascii="Times New Roman" w:hAnsi="Times New Roman" w:eastAsia="Times New Roman" w:cs="Times New Roman"/>
                <w:color w:val="auto"/>
                <w:spacing w:val="-7"/>
                <w:position w:val="7"/>
                <w:sz w:val="15"/>
                <w:szCs w:val="15"/>
                <w:highlight w:val="none"/>
              </w:rPr>
              <w:t>11</w:t>
            </w:r>
            <w:r>
              <w:rPr>
                <w:rFonts w:hint="default" w:ascii="Times New Roman" w:hAnsi="Times New Roman" w:eastAsia="Times New Roman" w:cs="Times New Roman"/>
                <w:color w:val="auto"/>
                <w:spacing w:val="-7"/>
                <w:highlight w:val="none"/>
              </w:rPr>
              <w:t>C</w:t>
            </w:r>
            <w:r>
              <w:rPr>
                <w:rFonts w:hint="default" w:ascii="Times New Roman" w:hAnsi="Times New Roman" w:cs="Times New Roman"/>
                <w:color w:val="auto"/>
                <w:spacing w:val="-7"/>
                <w:highlight w:val="none"/>
              </w:rPr>
              <w:t xml:space="preserve">，通常使用高纯 </w:t>
            </w:r>
            <w:r>
              <w:rPr>
                <w:rFonts w:hint="default" w:ascii="Times New Roman" w:hAnsi="Times New Roman" w:eastAsia="Times New Roman" w:cs="Times New Roman"/>
                <w:color w:val="auto"/>
                <w:spacing w:val="-7"/>
                <w:highlight w:val="none"/>
              </w:rPr>
              <w:t>H</w:t>
            </w:r>
            <w:r>
              <w:rPr>
                <w:rFonts w:hint="default" w:ascii="Times New Roman" w:hAnsi="Times New Roman" w:eastAsia="Times New Roman" w:cs="Times New Roman"/>
                <w:color w:val="auto"/>
                <w:spacing w:val="-7"/>
                <w:position w:val="-1"/>
                <w:sz w:val="15"/>
                <w:szCs w:val="15"/>
                <w:highlight w:val="none"/>
              </w:rPr>
              <w:t>2</w:t>
            </w:r>
            <w:r>
              <w:rPr>
                <w:rFonts w:hint="default" w:ascii="Times New Roman" w:hAnsi="Times New Roman" w:cs="Times New Roman"/>
                <w:color w:val="auto"/>
                <w:spacing w:val="-15"/>
                <w:highlight w:val="none"/>
              </w:rPr>
              <w:t>（</w:t>
            </w:r>
            <w:r>
              <w:rPr>
                <w:rFonts w:hint="default" w:ascii="Times New Roman" w:hAnsi="Times New Roman" w:eastAsia="Times New Roman" w:cs="Times New Roman"/>
                <w:color w:val="auto"/>
                <w:spacing w:val="-15"/>
                <w:highlight w:val="none"/>
              </w:rPr>
              <w:t>99.5%</w:t>
            </w:r>
            <w:r>
              <w:rPr>
                <w:rFonts w:hint="default" w:ascii="Times New Roman" w:hAnsi="Times New Roman" w:cs="Times New Roman"/>
                <w:color w:val="auto"/>
                <w:spacing w:val="-15"/>
                <w:highlight w:val="none"/>
              </w:rPr>
              <w:t>）</w:t>
            </w:r>
            <w:r>
              <w:rPr>
                <w:rFonts w:hint="default" w:ascii="Times New Roman" w:hAnsi="Times New Roman" w:eastAsia="Times New Roman" w:cs="Times New Roman"/>
                <w:color w:val="auto"/>
                <w:spacing w:val="-15"/>
                <w:highlight w:val="none"/>
              </w:rPr>
              <w:t>+O</w:t>
            </w:r>
            <w:r>
              <w:rPr>
                <w:rFonts w:hint="default" w:ascii="Times New Roman" w:hAnsi="Times New Roman" w:eastAsia="Times New Roman" w:cs="Times New Roman"/>
                <w:color w:val="auto"/>
                <w:spacing w:val="10"/>
                <w:position w:val="-1"/>
                <w:sz w:val="15"/>
                <w:szCs w:val="15"/>
                <w:highlight w:val="none"/>
              </w:rPr>
              <w:t>2</w:t>
            </w:r>
            <w:r>
              <w:rPr>
                <w:rFonts w:hint="default" w:ascii="Times New Roman" w:hAnsi="Times New Roman" w:cs="Times New Roman"/>
                <w:color w:val="auto"/>
                <w:spacing w:val="-8"/>
                <w:highlight w:val="none"/>
              </w:rPr>
              <w:t>（</w:t>
            </w:r>
            <w:r>
              <w:rPr>
                <w:rFonts w:hint="default" w:ascii="Times New Roman" w:hAnsi="Times New Roman" w:eastAsia="Times New Roman" w:cs="Times New Roman"/>
                <w:color w:val="auto"/>
                <w:spacing w:val="-8"/>
                <w:highlight w:val="none"/>
              </w:rPr>
              <w:t>0.5%</w:t>
            </w:r>
            <w:r>
              <w:rPr>
                <w:rFonts w:hint="default" w:ascii="Times New Roman" w:hAnsi="Times New Roman" w:cs="Times New Roman"/>
                <w:color w:val="auto"/>
                <w:spacing w:val="-8"/>
                <w:highlight w:val="none"/>
              </w:rPr>
              <w:t>）混合气体作为靶材料，经过质子照射后得到</w:t>
            </w:r>
            <w:r>
              <w:rPr>
                <w:rFonts w:hint="default" w:ascii="Times New Roman" w:hAnsi="Times New Roman" w:cs="Times New Roman"/>
                <w:color w:val="auto"/>
                <w:spacing w:val="-28"/>
                <w:highlight w:val="none"/>
              </w:rPr>
              <w:t xml:space="preserve"> </w:t>
            </w:r>
            <w:r>
              <w:rPr>
                <w:rFonts w:hint="default" w:ascii="Times New Roman" w:hAnsi="Times New Roman" w:eastAsia="Times New Roman" w:cs="Times New Roman"/>
                <w:color w:val="auto"/>
                <w:spacing w:val="-8"/>
                <w:position w:val="7"/>
                <w:sz w:val="15"/>
                <w:szCs w:val="15"/>
                <w:highlight w:val="none"/>
              </w:rPr>
              <w:t>11</w:t>
            </w:r>
            <w:r>
              <w:rPr>
                <w:rFonts w:hint="default" w:ascii="Times New Roman" w:hAnsi="Times New Roman" w:eastAsia="Times New Roman" w:cs="Times New Roman"/>
                <w:color w:val="auto"/>
                <w:spacing w:val="-8"/>
                <w:highlight w:val="none"/>
              </w:rPr>
              <w:t>CO</w:t>
            </w:r>
            <w:r>
              <w:rPr>
                <w:rFonts w:hint="default" w:ascii="Times New Roman" w:hAnsi="Times New Roman" w:eastAsia="Times New Roman" w:cs="Times New Roman"/>
                <w:color w:val="auto"/>
                <w:spacing w:val="-8"/>
                <w:position w:val="-1"/>
                <w:sz w:val="15"/>
                <w:szCs w:val="15"/>
                <w:highlight w:val="none"/>
              </w:rPr>
              <w:t>2</w:t>
            </w:r>
            <w:r>
              <w:rPr>
                <w:rFonts w:hint="default" w:ascii="Times New Roman" w:hAnsi="Times New Roman" w:eastAsia="Times New Roman" w:cs="Times New Roman"/>
                <w:color w:val="auto"/>
                <w:position w:val="-1"/>
                <w:sz w:val="15"/>
                <w:szCs w:val="15"/>
                <w:highlight w:val="none"/>
              </w:rPr>
              <w:t xml:space="preserve"> </w:t>
            </w:r>
            <w:r>
              <w:rPr>
                <w:rFonts w:hint="default" w:ascii="Times New Roman" w:hAnsi="Times New Roman" w:cs="Times New Roman"/>
                <w:color w:val="auto"/>
                <w:spacing w:val="-1"/>
                <w:highlight w:val="none"/>
              </w:rPr>
              <w:t>（气态）。</w:t>
            </w:r>
            <w:r>
              <w:rPr>
                <w:rFonts w:hint="default" w:ascii="Times New Roman" w:hAnsi="Times New Roman" w:eastAsia="Times New Roman" w:cs="Times New Roman"/>
                <w:color w:val="auto"/>
                <w:spacing w:val="-1"/>
                <w:position w:val="7"/>
                <w:sz w:val="15"/>
                <w:szCs w:val="15"/>
                <w:highlight w:val="none"/>
              </w:rPr>
              <w:t>11</w:t>
            </w:r>
            <w:r>
              <w:rPr>
                <w:rFonts w:hint="default" w:ascii="Times New Roman" w:hAnsi="Times New Roman" w:eastAsia="Times New Roman" w:cs="Times New Roman"/>
                <w:color w:val="auto"/>
                <w:spacing w:val="-1"/>
                <w:highlight w:val="none"/>
              </w:rPr>
              <w:t>CO</w:t>
            </w:r>
            <w:r>
              <w:rPr>
                <w:rFonts w:hint="default" w:ascii="Times New Roman" w:hAnsi="Times New Roman" w:eastAsia="Times New Roman" w:cs="Times New Roman"/>
                <w:color w:val="auto"/>
                <w:spacing w:val="-1"/>
                <w:position w:val="-1"/>
                <w:sz w:val="15"/>
                <w:szCs w:val="15"/>
                <w:highlight w:val="none"/>
              </w:rPr>
              <w:t>2</w:t>
            </w:r>
            <w:r>
              <w:rPr>
                <w:rFonts w:hint="default" w:ascii="Times New Roman" w:hAnsi="Times New Roman" w:eastAsia="Times New Roman" w:cs="Times New Roman"/>
                <w:color w:val="auto"/>
                <w:spacing w:val="17"/>
                <w:w w:val="101"/>
                <w:position w:val="-1"/>
                <w:sz w:val="15"/>
                <w:szCs w:val="15"/>
                <w:highlight w:val="none"/>
              </w:rPr>
              <w:t xml:space="preserve"> </w:t>
            </w:r>
            <w:r>
              <w:rPr>
                <w:rFonts w:hint="default" w:ascii="Times New Roman" w:hAnsi="Times New Roman" w:cs="Times New Roman"/>
                <w:color w:val="auto"/>
                <w:spacing w:val="-1"/>
                <w:highlight w:val="none"/>
              </w:rPr>
              <w:t>经过核素传输管道传送至自动化合成模块中，</w:t>
            </w:r>
            <w:r>
              <w:rPr>
                <w:rFonts w:hint="default" w:ascii="Times New Roman" w:hAnsi="Times New Roman" w:eastAsia="Times New Roman" w:cs="Times New Roman"/>
                <w:color w:val="auto"/>
                <w:spacing w:val="-1"/>
                <w:position w:val="7"/>
                <w:sz w:val="15"/>
                <w:szCs w:val="15"/>
                <w:highlight w:val="none"/>
              </w:rPr>
              <w:t>11</w:t>
            </w:r>
            <w:r>
              <w:rPr>
                <w:rFonts w:hint="default" w:ascii="Times New Roman" w:hAnsi="Times New Roman" w:eastAsia="Times New Roman" w:cs="Times New Roman"/>
                <w:color w:val="auto"/>
                <w:spacing w:val="-1"/>
                <w:highlight w:val="none"/>
              </w:rPr>
              <w:t>CO</w:t>
            </w:r>
            <w:r>
              <w:rPr>
                <w:rFonts w:hint="default" w:ascii="Times New Roman" w:hAnsi="Times New Roman" w:eastAsia="Times New Roman" w:cs="Times New Roman"/>
                <w:color w:val="auto"/>
                <w:spacing w:val="-1"/>
                <w:position w:val="-1"/>
                <w:sz w:val="15"/>
                <w:szCs w:val="15"/>
                <w:highlight w:val="none"/>
              </w:rPr>
              <w:t>2</w:t>
            </w:r>
            <w:r>
              <w:rPr>
                <w:rFonts w:hint="default" w:ascii="Times New Roman" w:hAnsi="Times New Roman" w:eastAsia="Times New Roman" w:cs="Times New Roman"/>
                <w:color w:val="auto"/>
                <w:spacing w:val="13"/>
                <w:w w:val="101"/>
                <w:position w:val="-1"/>
                <w:sz w:val="15"/>
                <w:szCs w:val="15"/>
                <w:highlight w:val="none"/>
              </w:rPr>
              <w:t xml:space="preserve"> </w:t>
            </w:r>
            <w:r>
              <w:rPr>
                <w:rFonts w:hint="default" w:ascii="Times New Roman" w:hAnsi="Times New Roman" w:cs="Times New Roman"/>
                <w:color w:val="auto"/>
                <w:spacing w:val="-1"/>
                <w:highlight w:val="none"/>
              </w:rPr>
              <w:t>经过氢氧化铝还原转化为</w:t>
            </w:r>
            <w:r>
              <w:rPr>
                <w:rFonts w:hint="default" w:ascii="Times New Roman" w:hAnsi="Times New Roman" w:cs="Times New Roman"/>
                <w:color w:val="auto"/>
                <w:spacing w:val="-32"/>
                <w:highlight w:val="none"/>
              </w:rPr>
              <w:t xml:space="preserve"> </w:t>
            </w:r>
            <w:r>
              <w:rPr>
                <w:rFonts w:hint="default" w:ascii="Times New Roman" w:hAnsi="Times New Roman" w:eastAsia="Times New Roman" w:cs="Times New Roman"/>
                <w:color w:val="auto"/>
                <w:spacing w:val="-1"/>
                <w:position w:val="7"/>
                <w:sz w:val="15"/>
                <w:szCs w:val="15"/>
                <w:highlight w:val="none"/>
              </w:rPr>
              <w:t>11</w:t>
            </w:r>
            <w:r>
              <w:rPr>
                <w:rFonts w:hint="default" w:ascii="Times New Roman" w:hAnsi="Times New Roman" w:eastAsia="Times New Roman" w:cs="Times New Roman"/>
                <w:color w:val="auto"/>
                <w:spacing w:val="-1"/>
                <w:highlight w:val="none"/>
              </w:rPr>
              <w:t>CH</w:t>
            </w:r>
            <w:r>
              <w:rPr>
                <w:rFonts w:hint="default" w:ascii="Times New Roman" w:hAnsi="Times New Roman" w:eastAsia="Times New Roman" w:cs="Times New Roman"/>
                <w:color w:val="auto"/>
                <w:spacing w:val="-1"/>
                <w:position w:val="-1"/>
                <w:sz w:val="15"/>
                <w:szCs w:val="15"/>
                <w:highlight w:val="none"/>
              </w:rPr>
              <w:t>3</w:t>
            </w:r>
            <w:r>
              <w:rPr>
                <w:rFonts w:hint="default" w:ascii="Times New Roman" w:hAnsi="Times New Roman" w:eastAsia="Times New Roman" w:cs="Times New Roman"/>
                <w:color w:val="auto"/>
                <w:spacing w:val="-1"/>
                <w:highlight w:val="none"/>
              </w:rPr>
              <w:t>OH</w:t>
            </w:r>
            <w:r>
              <w:rPr>
                <w:rFonts w:hint="default" w:ascii="Times New Roman" w:hAnsi="Times New Roman" w:eastAsia="Times New Roman" w:cs="Times New Roman"/>
                <w:color w:val="auto"/>
                <w:spacing w:val="-29"/>
                <w:highlight w:val="none"/>
              </w:rPr>
              <w:t xml:space="preserve"> </w:t>
            </w:r>
            <w:r>
              <w:rPr>
                <w:rFonts w:hint="default" w:ascii="Times New Roman" w:hAnsi="Times New Roman" w:cs="Times New Roman"/>
                <w:color w:val="auto"/>
                <w:spacing w:val="-1"/>
                <w:highlight w:val="none"/>
              </w:rPr>
              <w:t>，再经过氢碘酸（</w:t>
            </w:r>
            <w:r>
              <w:rPr>
                <w:rFonts w:hint="default" w:ascii="Times New Roman" w:hAnsi="Times New Roman" w:eastAsia="Times New Roman" w:cs="Times New Roman"/>
                <w:color w:val="auto"/>
                <w:spacing w:val="-1"/>
                <w:highlight w:val="none"/>
              </w:rPr>
              <w:t>HI</w:t>
            </w:r>
            <w:r>
              <w:rPr>
                <w:rFonts w:hint="default" w:ascii="Times New Roman" w:hAnsi="Times New Roman" w:cs="Times New Roman"/>
                <w:color w:val="auto"/>
                <w:spacing w:val="-1"/>
                <w:highlight w:val="none"/>
              </w:rPr>
              <w:t>）碘代法生产出</w:t>
            </w:r>
            <w:r>
              <w:rPr>
                <w:rFonts w:hint="default" w:ascii="Times New Roman" w:hAnsi="Times New Roman" w:cs="Times New Roman"/>
                <w:color w:val="auto"/>
                <w:spacing w:val="-42"/>
                <w:highlight w:val="none"/>
              </w:rPr>
              <w:t xml:space="preserve"> </w:t>
            </w:r>
            <w:r>
              <w:rPr>
                <w:rFonts w:hint="default" w:ascii="Times New Roman" w:hAnsi="Times New Roman" w:eastAsia="Times New Roman" w:cs="Times New Roman"/>
                <w:color w:val="auto"/>
                <w:spacing w:val="-1"/>
                <w:position w:val="7"/>
                <w:sz w:val="15"/>
                <w:szCs w:val="15"/>
                <w:highlight w:val="none"/>
              </w:rPr>
              <w:t>11</w:t>
            </w:r>
            <w:r>
              <w:rPr>
                <w:rFonts w:hint="default" w:ascii="Times New Roman" w:hAnsi="Times New Roman" w:eastAsia="Times New Roman" w:cs="Times New Roman"/>
                <w:color w:val="auto"/>
                <w:spacing w:val="-1"/>
                <w:highlight w:val="none"/>
              </w:rPr>
              <w:t>CH</w:t>
            </w:r>
            <w:r>
              <w:rPr>
                <w:rFonts w:hint="default" w:ascii="Times New Roman" w:hAnsi="Times New Roman" w:eastAsia="Times New Roman" w:cs="Times New Roman"/>
                <w:color w:val="auto"/>
                <w:spacing w:val="-1"/>
                <w:position w:val="-1"/>
                <w:sz w:val="15"/>
                <w:szCs w:val="15"/>
                <w:highlight w:val="none"/>
              </w:rPr>
              <w:t>3</w:t>
            </w:r>
            <w:r>
              <w:rPr>
                <w:rFonts w:hint="default" w:ascii="Times New Roman" w:hAnsi="Times New Roman" w:eastAsia="Times New Roman" w:cs="Times New Roman"/>
                <w:color w:val="auto"/>
                <w:spacing w:val="-1"/>
                <w:highlight w:val="none"/>
              </w:rPr>
              <w:t xml:space="preserve">I </w:t>
            </w:r>
            <w:r>
              <w:rPr>
                <w:rFonts w:hint="default" w:ascii="Times New Roman" w:hAnsi="Times New Roman" w:cs="Times New Roman"/>
                <w:color w:val="auto"/>
                <w:spacing w:val="-1"/>
                <w:highlight w:val="none"/>
              </w:rPr>
              <w:t>示踪剂（液态）。为了防止</w:t>
            </w:r>
            <w:r>
              <w:rPr>
                <w:rFonts w:hint="default" w:ascii="Times New Roman" w:hAnsi="Times New Roman" w:cs="Times New Roman"/>
                <w:color w:val="auto"/>
                <w:spacing w:val="-49"/>
                <w:highlight w:val="none"/>
              </w:rPr>
              <w:t xml:space="preserve"> </w:t>
            </w:r>
            <w:r>
              <w:rPr>
                <w:rFonts w:hint="default" w:ascii="Times New Roman" w:hAnsi="Times New Roman" w:eastAsia="Times New Roman" w:cs="Times New Roman"/>
                <w:color w:val="auto"/>
                <w:spacing w:val="-1"/>
                <w:highlight w:val="none"/>
              </w:rPr>
              <w:t>CO</w:t>
            </w:r>
            <w:r>
              <w:rPr>
                <w:rFonts w:hint="default" w:ascii="Times New Roman" w:hAnsi="Times New Roman" w:eastAsia="Times New Roman" w:cs="Times New Roman"/>
                <w:color w:val="auto"/>
                <w:spacing w:val="-1"/>
                <w:position w:val="-1"/>
                <w:sz w:val="15"/>
                <w:szCs w:val="15"/>
                <w:highlight w:val="none"/>
              </w:rPr>
              <w:t xml:space="preserve">2  </w:t>
            </w:r>
            <w:r>
              <w:rPr>
                <w:rFonts w:hint="default" w:ascii="Times New Roman" w:hAnsi="Times New Roman" w:cs="Times New Roman"/>
                <w:color w:val="auto"/>
                <w:spacing w:val="-1"/>
                <w:highlight w:val="none"/>
              </w:rPr>
              <w:t>的</w:t>
            </w:r>
            <w:r>
              <w:rPr>
                <w:rFonts w:hint="default" w:ascii="Times New Roman" w:hAnsi="Times New Roman" w:cs="Times New Roman"/>
                <w:color w:val="auto"/>
                <w:spacing w:val="1"/>
                <w:highlight w:val="none"/>
              </w:rPr>
              <w:t xml:space="preserve">污染，可在 </w:t>
            </w:r>
            <w:r>
              <w:rPr>
                <w:rFonts w:hint="default" w:ascii="Times New Roman" w:hAnsi="Times New Roman" w:eastAsia="Times New Roman" w:cs="Times New Roman"/>
                <w:color w:val="auto"/>
                <w:spacing w:val="1"/>
                <w:highlight w:val="none"/>
              </w:rPr>
              <w:t>N</w:t>
            </w:r>
            <w:r>
              <w:rPr>
                <w:rFonts w:hint="default" w:ascii="Times New Roman" w:hAnsi="Times New Roman" w:eastAsia="Times New Roman" w:cs="Times New Roman"/>
                <w:color w:val="auto"/>
                <w:spacing w:val="1"/>
                <w:position w:val="-1"/>
                <w:sz w:val="15"/>
                <w:szCs w:val="15"/>
                <w:highlight w:val="none"/>
              </w:rPr>
              <w:t xml:space="preserve">2 </w:t>
            </w:r>
            <w:r>
              <w:rPr>
                <w:rFonts w:hint="default" w:ascii="Times New Roman" w:hAnsi="Times New Roman" w:cs="Times New Roman"/>
                <w:color w:val="auto"/>
                <w:spacing w:val="1"/>
                <w:highlight w:val="none"/>
              </w:rPr>
              <w:t>进入靶室的管线间连接一个捕获器，捕获器内可以装载氢化铝锂、烧碱石棉</w:t>
            </w:r>
            <w:r>
              <w:rPr>
                <w:rFonts w:hint="default" w:ascii="Times New Roman" w:hAnsi="Times New Roman" w:cs="Times New Roman"/>
                <w:color w:val="auto"/>
                <w:spacing w:val="-1"/>
                <w:highlight w:val="none"/>
              </w:rPr>
              <w:t>剂、分子筛或聚苯乙烯固定剂，同时应注意捕获剂所带来的污染。为了防止外界渗透污染，</w:t>
            </w:r>
            <w:r>
              <w:rPr>
                <w:rFonts w:hint="default" w:ascii="Times New Roman" w:hAnsi="Times New Roman" w:cs="Times New Roman"/>
                <w:color w:val="auto"/>
                <w:highlight w:val="none"/>
              </w:rPr>
              <w:t>应选用不锈钢材料的传送管道，并且在保证气体流量的前提下，</w:t>
            </w:r>
            <w:r>
              <w:rPr>
                <w:rFonts w:hint="default" w:ascii="Times New Roman" w:hAnsi="Times New Roman" w:cs="Times New Roman"/>
                <w:color w:val="auto"/>
                <w:spacing w:val="-1"/>
                <w:highlight w:val="none"/>
              </w:rPr>
              <w:t>管道的内径应尽可能细。</w:t>
            </w:r>
          </w:p>
          <w:p w14:paraId="00B3A92C">
            <w:pPr>
              <w:pStyle w:val="43"/>
              <w:keepNext w:val="0"/>
              <w:keepLines w:val="0"/>
              <w:suppressLineNumbers w:val="0"/>
              <w:spacing w:before="0" w:beforeAutospacing="0" w:after="0" w:afterAutospacing="0" w:line="217" w:lineRule="auto"/>
              <w:ind w:left="586" w:right="0"/>
              <w:jc w:val="both"/>
              <w:rPr>
                <w:rFonts w:hint="default" w:ascii="Times New Roman" w:hAnsi="Times New Roman" w:cs="Times New Roman"/>
                <w:color w:val="auto"/>
                <w:highlight w:val="none"/>
              </w:rPr>
            </w:pPr>
            <w:r>
              <w:rPr>
                <w:rFonts w:hint="default" w:ascii="Times New Roman" w:hAnsi="Times New Roman" w:eastAsia="宋体" w:cs="Times New Roman"/>
                <w:color w:val="auto"/>
                <w:spacing w:val="-1"/>
                <w:highlight w:val="none"/>
                <w:lang w:val="en-US" w:eastAsia="zh-CN"/>
              </w:rPr>
              <w:t>④</w:t>
            </w:r>
            <w:r>
              <w:rPr>
                <w:rFonts w:hint="default" w:ascii="Times New Roman" w:hAnsi="Times New Roman" w:eastAsia="Times New Roman" w:cs="Times New Roman"/>
                <w:color w:val="auto"/>
                <w:spacing w:val="-1"/>
                <w:position w:val="7"/>
                <w:sz w:val="15"/>
                <w:szCs w:val="15"/>
                <w:highlight w:val="none"/>
              </w:rPr>
              <w:t>13</w:t>
            </w:r>
            <w:r>
              <w:rPr>
                <w:rFonts w:hint="default" w:ascii="Times New Roman" w:hAnsi="Times New Roman" w:eastAsia="Times New Roman" w:cs="Times New Roman"/>
                <w:color w:val="auto"/>
                <w:spacing w:val="-1"/>
                <w:highlight w:val="none"/>
              </w:rPr>
              <w:t>N-NH</w:t>
            </w:r>
            <w:r>
              <w:rPr>
                <w:rFonts w:hint="default" w:ascii="Times New Roman" w:hAnsi="Times New Roman" w:eastAsia="Times New Roman" w:cs="Times New Roman"/>
                <w:color w:val="auto"/>
                <w:spacing w:val="-1"/>
                <w:position w:val="-1"/>
                <w:sz w:val="15"/>
                <w:szCs w:val="15"/>
                <w:highlight w:val="none"/>
              </w:rPr>
              <w:t>3</w:t>
            </w:r>
            <w:r>
              <w:rPr>
                <w:rFonts w:hint="default" w:ascii="Times New Roman" w:hAnsi="Times New Roman" w:eastAsia="Times New Roman" w:cs="Times New Roman"/>
                <w:color w:val="auto"/>
                <w:spacing w:val="17"/>
                <w:w w:val="101"/>
                <w:position w:val="-1"/>
                <w:sz w:val="15"/>
                <w:szCs w:val="15"/>
                <w:highlight w:val="none"/>
              </w:rPr>
              <w:t xml:space="preserve"> </w:t>
            </w:r>
            <w:r>
              <w:rPr>
                <w:rFonts w:hint="default" w:ascii="Times New Roman" w:hAnsi="Times New Roman" w:cs="Times New Roman"/>
                <w:color w:val="auto"/>
                <w:spacing w:val="-1"/>
                <w:highlight w:val="none"/>
              </w:rPr>
              <w:t>示踪剂生产工艺流程</w:t>
            </w:r>
          </w:p>
          <w:p w14:paraId="5CEB4ED4">
            <w:pPr>
              <w:pStyle w:val="43"/>
              <w:keepNext w:val="0"/>
              <w:keepLines w:val="0"/>
              <w:suppressLineNumbers w:val="0"/>
              <w:spacing w:before="197" w:beforeAutospacing="0" w:after="0" w:afterAutospacing="0" w:line="366" w:lineRule="auto"/>
              <w:ind w:left="124" w:right="26" w:firstLine="508"/>
              <w:jc w:val="both"/>
              <w:rPr>
                <w:rFonts w:hint="default" w:ascii="Times New Roman" w:hAnsi="Times New Roman" w:cs="Times New Roman"/>
                <w:color w:val="auto"/>
                <w:highlight w:val="none"/>
              </w:rPr>
            </w:pPr>
            <w:r>
              <w:rPr>
                <w:rFonts w:hint="default" w:ascii="Times New Roman" w:hAnsi="Times New Roman" w:cs="Times New Roman"/>
                <w:color w:val="auto"/>
                <w:spacing w:val="-9"/>
                <w:highlight w:val="none"/>
              </w:rPr>
              <w:t>目前主要以</w:t>
            </w:r>
            <w:r>
              <w:rPr>
                <w:rFonts w:hint="default" w:ascii="Times New Roman" w:hAnsi="Times New Roman" w:cs="Times New Roman"/>
                <w:color w:val="auto"/>
                <w:spacing w:val="-39"/>
                <w:highlight w:val="none"/>
              </w:rPr>
              <w:t xml:space="preserve"> </w:t>
            </w:r>
            <w:r>
              <w:rPr>
                <w:rFonts w:hint="default" w:ascii="Times New Roman" w:hAnsi="Times New Roman" w:eastAsia="Times New Roman" w:cs="Times New Roman"/>
                <w:color w:val="auto"/>
                <w:spacing w:val="-9"/>
                <w:position w:val="7"/>
                <w:sz w:val="15"/>
                <w:szCs w:val="15"/>
                <w:highlight w:val="none"/>
              </w:rPr>
              <w:t>16</w:t>
            </w:r>
            <w:r>
              <w:rPr>
                <w:rFonts w:hint="default" w:ascii="Times New Roman" w:hAnsi="Times New Roman" w:eastAsia="Times New Roman" w:cs="Times New Roman"/>
                <w:color w:val="auto"/>
                <w:spacing w:val="-9"/>
                <w:highlight w:val="none"/>
              </w:rPr>
              <w:t>O</w:t>
            </w:r>
            <w:r>
              <w:rPr>
                <w:rFonts w:hint="default" w:ascii="Times New Roman" w:hAnsi="Times New Roman" w:cs="Times New Roman"/>
                <w:color w:val="auto"/>
                <w:spacing w:val="-1"/>
                <w:highlight w:val="none"/>
              </w:rPr>
              <w:t>（</w:t>
            </w:r>
            <w:r>
              <w:rPr>
                <w:rFonts w:hint="default" w:ascii="Times New Roman" w:hAnsi="Times New Roman" w:eastAsia="Times New Roman" w:cs="Times New Roman"/>
                <w:color w:val="auto"/>
                <w:spacing w:val="-1"/>
                <w:highlight w:val="none"/>
              </w:rPr>
              <w:t>p</w:t>
            </w:r>
            <w:r>
              <w:rPr>
                <w:rFonts w:hint="default" w:ascii="Times New Roman" w:hAnsi="Times New Roman" w:eastAsia="Times New Roman" w:cs="Times New Roman"/>
                <w:color w:val="auto"/>
                <w:spacing w:val="-31"/>
                <w:highlight w:val="none"/>
              </w:rPr>
              <w:t xml:space="preserve"> </w:t>
            </w:r>
            <w:r>
              <w:rPr>
                <w:rFonts w:hint="default" w:ascii="Times New Roman" w:hAnsi="Times New Roman" w:cs="Times New Roman"/>
                <w:color w:val="auto"/>
                <w:spacing w:val="-1"/>
                <w:highlight w:val="none"/>
              </w:rPr>
              <w:t>，</w:t>
            </w:r>
            <w:r>
              <w:rPr>
                <w:rFonts w:hint="default" w:ascii="Times New Roman" w:hAnsi="Times New Roman" w:eastAsia="Times New Roman" w:cs="Times New Roman"/>
                <w:color w:val="auto"/>
                <w:spacing w:val="-1"/>
                <w:highlight w:val="none"/>
              </w:rPr>
              <w:t>α</w:t>
            </w:r>
            <w:r>
              <w:rPr>
                <w:rFonts w:hint="default" w:ascii="Times New Roman" w:hAnsi="Times New Roman" w:cs="Times New Roman"/>
                <w:color w:val="auto"/>
                <w:spacing w:val="-1"/>
                <w:highlight w:val="none"/>
              </w:rPr>
              <w:t>)</w:t>
            </w:r>
            <w:r>
              <w:rPr>
                <w:rFonts w:hint="default" w:ascii="Times New Roman" w:hAnsi="Times New Roman" w:cs="Times New Roman"/>
                <w:color w:val="auto"/>
                <w:spacing w:val="36"/>
                <w:highlight w:val="none"/>
              </w:rPr>
              <w:t xml:space="preserve"> </w:t>
            </w:r>
            <w:r>
              <w:rPr>
                <w:rFonts w:hint="default" w:ascii="Times New Roman" w:hAnsi="Times New Roman" w:eastAsia="Times New Roman" w:cs="Times New Roman"/>
                <w:color w:val="auto"/>
                <w:spacing w:val="-1"/>
                <w:position w:val="7"/>
                <w:sz w:val="15"/>
                <w:szCs w:val="15"/>
                <w:highlight w:val="none"/>
              </w:rPr>
              <w:t>13</w:t>
            </w:r>
            <w:r>
              <w:rPr>
                <w:rFonts w:hint="default" w:ascii="Times New Roman" w:hAnsi="Times New Roman" w:eastAsia="Times New Roman" w:cs="Times New Roman"/>
                <w:color w:val="auto"/>
                <w:spacing w:val="-1"/>
                <w:highlight w:val="none"/>
              </w:rPr>
              <w:t xml:space="preserve">N  </w:t>
            </w:r>
            <w:r>
              <w:rPr>
                <w:rFonts w:hint="default" w:ascii="Times New Roman" w:hAnsi="Times New Roman" w:cs="Times New Roman"/>
                <w:color w:val="auto"/>
                <w:spacing w:val="-1"/>
                <w:highlight w:val="none"/>
              </w:rPr>
              <w:t xml:space="preserve">核反应，用 </w:t>
            </w:r>
            <w:r>
              <w:rPr>
                <w:rFonts w:hint="default" w:ascii="Times New Roman" w:hAnsi="Times New Roman" w:eastAsia="Times New Roman" w:cs="Times New Roman"/>
                <w:color w:val="auto"/>
                <w:spacing w:val="-1"/>
                <w:highlight w:val="none"/>
              </w:rPr>
              <w:t>H</w:t>
            </w:r>
            <w:r>
              <w:rPr>
                <w:rFonts w:hint="default" w:ascii="Times New Roman" w:hAnsi="Times New Roman" w:eastAsia="Times New Roman" w:cs="Times New Roman"/>
                <w:color w:val="auto"/>
                <w:spacing w:val="-1"/>
                <w:position w:val="-1"/>
                <w:sz w:val="15"/>
                <w:szCs w:val="15"/>
                <w:highlight w:val="none"/>
              </w:rPr>
              <w:t>2</w:t>
            </w:r>
            <w:r>
              <w:rPr>
                <w:rFonts w:hint="default" w:ascii="Times New Roman" w:hAnsi="Times New Roman" w:eastAsia="Times New Roman" w:cs="Times New Roman"/>
                <w:color w:val="auto"/>
                <w:spacing w:val="-1"/>
                <w:position w:val="7"/>
                <w:sz w:val="15"/>
                <w:szCs w:val="15"/>
                <w:highlight w:val="none"/>
              </w:rPr>
              <w:t>16</w:t>
            </w:r>
            <w:r>
              <w:rPr>
                <w:rFonts w:hint="default" w:ascii="Times New Roman" w:hAnsi="Times New Roman" w:eastAsia="Times New Roman" w:cs="Times New Roman"/>
                <w:color w:val="auto"/>
                <w:spacing w:val="-1"/>
                <w:highlight w:val="none"/>
              </w:rPr>
              <w:t xml:space="preserve">O  </w:t>
            </w:r>
            <w:r>
              <w:rPr>
                <w:rFonts w:hint="default" w:ascii="Times New Roman" w:hAnsi="Times New Roman" w:cs="Times New Roman"/>
                <w:color w:val="auto"/>
                <w:spacing w:val="-1"/>
                <w:highlight w:val="none"/>
              </w:rPr>
              <w:t>和乙醇混合液体作为靶材料，经过质子</w:t>
            </w:r>
            <w:r>
              <w:rPr>
                <w:rFonts w:hint="default" w:ascii="Times New Roman" w:hAnsi="Times New Roman" w:cs="Times New Roman"/>
                <w:color w:val="auto"/>
                <w:spacing w:val="1"/>
                <w:highlight w:val="none"/>
              </w:rPr>
              <w:t>照射得到</w:t>
            </w:r>
            <w:r>
              <w:rPr>
                <w:rFonts w:hint="default" w:ascii="Times New Roman" w:hAnsi="Times New Roman" w:cs="Times New Roman"/>
                <w:color w:val="auto"/>
                <w:spacing w:val="-40"/>
                <w:highlight w:val="none"/>
              </w:rPr>
              <w:t xml:space="preserve"> </w:t>
            </w:r>
            <w:r>
              <w:rPr>
                <w:rFonts w:hint="default" w:ascii="Times New Roman" w:hAnsi="Times New Roman" w:eastAsia="Times New Roman" w:cs="Times New Roman"/>
                <w:color w:val="auto"/>
                <w:spacing w:val="1"/>
                <w:position w:val="7"/>
                <w:sz w:val="15"/>
                <w:szCs w:val="15"/>
                <w:highlight w:val="none"/>
              </w:rPr>
              <w:t>13</w:t>
            </w:r>
            <w:r>
              <w:rPr>
                <w:rFonts w:hint="default" w:ascii="Times New Roman" w:hAnsi="Times New Roman" w:eastAsia="Times New Roman" w:cs="Times New Roman"/>
                <w:color w:val="auto"/>
                <w:spacing w:val="1"/>
                <w:highlight w:val="none"/>
              </w:rPr>
              <w:t>N-</w:t>
            </w:r>
            <w:r>
              <w:rPr>
                <w:rFonts w:hint="default" w:ascii="Times New Roman" w:hAnsi="Times New Roman" w:eastAsia="Times New Roman" w:cs="Times New Roman"/>
                <w:color w:val="auto"/>
                <w:highlight w:val="none"/>
              </w:rPr>
              <w:t>NH</w:t>
            </w:r>
            <w:r>
              <w:rPr>
                <w:rFonts w:hint="default" w:ascii="Times New Roman" w:hAnsi="Times New Roman" w:eastAsia="Times New Roman" w:cs="Times New Roman"/>
                <w:color w:val="auto"/>
                <w:spacing w:val="1"/>
                <w:position w:val="-1"/>
                <w:sz w:val="15"/>
                <w:szCs w:val="15"/>
                <w:highlight w:val="none"/>
              </w:rPr>
              <w:t>3</w:t>
            </w:r>
            <w:r>
              <w:rPr>
                <w:rFonts w:hint="default" w:ascii="Times New Roman" w:hAnsi="Times New Roman" w:eastAsia="Times New Roman" w:cs="Times New Roman"/>
                <w:color w:val="auto"/>
                <w:spacing w:val="1"/>
                <w:highlight w:val="none"/>
              </w:rPr>
              <w:t>·H</w:t>
            </w:r>
            <w:r>
              <w:rPr>
                <w:rFonts w:hint="default" w:ascii="Times New Roman" w:hAnsi="Times New Roman" w:eastAsia="Times New Roman" w:cs="Times New Roman"/>
                <w:color w:val="auto"/>
                <w:spacing w:val="1"/>
                <w:position w:val="-1"/>
                <w:sz w:val="15"/>
                <w:szCs w:val="15"/>
                <w:highlight w:val="none"/>
              </w:rPr>
              <w:t>2</w:t>
            </w:r>
            <w:r>
              <w:rPr>
                <w:rFonts w:hint="default" w:ascii="Times New Roman" w:hAnsi="Times New Roman" w:eastAsia="Times New Roman" w:cs="Times New Roman"/>
                <w:color w:val="auto"/>
                <w:spacing w:val="1"/>
                <w:highlight w:val="none"/>
              </w:rPr>
              <w:t>O</w:t>
            </w:r>
            <w:r>
              <w:rPr>
                <w:rFonts w:hint="default" w:ascii="Times New Roman" w:hAnsi="Times New Roman" w:cs="Times New Roman"/>
                <w:color w:val="auto"/>
                <w:spacing w:val="1"/>
                <w:highlight w:val="none"/>
              </w:rPr>
              <w:t>（液态</w:t>
            </w:r>
            <w:r>
              <w:rPr>
                <w:rFonts w:hint="default" w:ascii="Times New Roman" w:hAnsi="Times New Roman" w:cs="Times New Roman"/>
                <w:color w:val="auto"/>
                <w:spacing w:val="13"/>
                <w:highlight w:val="none"/>
              </w:rPr>
              <w:t>），</w:t>
            </w:r>
            <w:r>
              <w:rPr>
                <w:rFonts w:hint="default" w:ascii="Times New Roman" w:hAnsi="Times New Roman" w:eastAsia="Times New Roman" w:cs="Times New Roman"/>
                <w:color w:val="auto"/>
                <w:spacing w:val="1"/>
                <w:position w:val="7"/>
                <w:sz w:val="15"/>
                <w:szCs w:val="15"/>
                <w:highlight w:val="none"/>
              </w:rPr>
              <w:t>13</w:t>
            </w:r>
            <w:r>
              <w:rPr>
                <w:rFonts w:hint="default" w:ascii="Times New Roman" w:hAnsi="Times New Roman" w:eastAsia="Times New Roman" w:cs="Times New Roman"/>
                <w:color w:val="auto"/>
                <w:spacing w:val="1"/>
                <w:highlight w:val="none"/>
              </w:rPr>
              <w:t>N-</w:t>
            </w:r>
            <w:r>
              <w:rPr>
                <w:rFonts w:hint="default" w:ascii="Times New Roman" w:hAnsi="Times New Roman" w:eastAsia="Times New Roman" w:cs="Times New Roman"/>
                <w:color w:val="auto"/>
                <w:highlight w:val="none"/>
              </w:rPr>
              <w:t>NH</w:t>
            </w:r>
            <w:r>
              <w:rPr>
                <w:rFonts w:hint="default" w:ascii="Times New Roman" w:hAnsi="Times New Roman" w:eastAsia="Times New Roman" w:cs="Times New Roman"/>
                <w:color w:val="auto"/>
                <w:spacing w:val="1"/>
                <w:position w:val="-1"/>
                <w:sz w:val="15"/>
                <w:szCs w:val="15"/>
                <w:highlight w:val="none"/>
              </w:rPr>
              <w:t>3</w:t>
            </w:r>
            <w:r>
              <w:rPr>
                <w:rFonts w:hint="default" w:ascii="Times New Roman" w:hAnsi="Times New Roman" w:eastAsia="Times New Roman" w:cs="Times New Roman"/>
                <w:color w:val="auto"/>
                <w:spacing w:val="1"/>
                <w:highlight w:val="none"/>
              </w:rPr>
              <w:t>·H</w:t>
            </w:r>
            <w:r>
              <w:rPr>
                <w:rFonts w:hint="default" w:ascii="Times New Roman" w:hAnsi="Times New Roman" w:eastAsia="Times New Roman" w:cs="Times New Roman"/>
                <w:color w:val="auto"/>
                <w:spacing w:val="1"/>
                <w:position w:val="-1"/>
                <w:sz w:val="15"/>
                <w:szCs w:val="15"/>
                <w:highlight w:val="none"/>
              </w:rPr>
              <w:t>2</w:t>
            </w:r>
            <w:r>
              <w:rPr>
                <w:rFonts w:hint="default" w:ascii="Times New Roman" w:hAnsi="Times New Roman" w:eastAsia="Times New Roman" w:cs="Times New Roman"/>
                <w:color w:val="auto"/>
                <w:spacing w:val="1"/>
                <w:highlight w:val="none"/>
              </w:rPr>
              <w:t xml:space="preserve">O </w:t>
            </w:r>
            <w:r>
              <w:rPr>
                <w:rFonts w:hint="default" w:ascii="Times New Roman" w:hAnsi="Times New Roman" w:cs="Times New Roman"/>
                <w:color w:val="auto"/>
                <w:spacing w:val="1"/>
                <w:highlight w:val="none"/>
              </w:rPr>
              <w:t>进入</w:t>
            </w:r>
            <w:r>
              <w:rPr>
                <w:rFonts w:hint="default" w:ascii="Times New Roman" w:hAnsi="Times New Roman" w:cs="Times New Roman"/>
                <w:color w:val="auto"/>
                <w:highlight w:val="none"/>
              </w:rPr>
              <w:t>收集瓶之前，经过阴离子交换柱（吸附</w:t>
            </w:r>
            <w:r>
              <w:rPr>
                <w:rFonts w:hint="default" w:ascii="Times New Roman" w:hAnsi="Times New Roman" w:cs="Times New Roman"/>
                <w:color w:val="auto"/>
                <w:spacing w:val="-9"/>
                <w:highlight w:val="none"/>
              </w:rPr>
              <w:t>阴离子）、透气过滤器、灭菌过滤器等步骤过滤纯化处理后即</w:t>
            </w:r>
            <w:r>
              <w:rPr>
                <w:rFonts w:hint="default" w:ascii="Times New Roman" w:hAnsi="Times New Roman" w:cs="Times New Roman"/>
                <w:color w:val="auto"/>
                <w:spacing w:val="-10"/>
                <w:highlight w:val="none"/>
              </w:rPr>
              <w:t>可得到</w:t>
            </w:r>
            <w:r>
              <w:rPr>
                <w:rFonts w:hint="default" w:ascii="Times New Roman" w:hAnsi="Times New Roman" w:cs="Times New Roman"/>
                <w:color w:val="auto"/>
                <w:spacing w:val="-42"/>
                <w:highlight w:val="none"/>
              </w:rPr>
              <w:t xml:space="preserve"> </w:t>
            </w:r>
            <w:r>
              <w:rPr>
                <w:rFonts w:hint="default" w:ascii="Times New Roman" w:hAnsi="Times New Roman" w:eastAsia="Times New Roman" w:cs="Times New Roman"/>
                <w:color w:val="auto"/>
                <w:spacing w:val="-10"/>
                <w:position w:val="8"/>
                <w:sz w:val="15"/>
                <w:szCs w:val="15"/>
                <w:highlight w:val="none"/>
              </w:rPr>
              <w:t>13</w:t>
            </w:r>
            <w:r>
              <w:rPr>
                <w:rFonts w:hint="default" w:ascii="Times New Roman" w:hAnsi="Times New Roman" w:eastAsia="Times New Roman" w:cs="Times New Roman"/>
                <w:color w:val="auto"/>
                <w:spacing w:val="-10"/>
                <w:highlight w:val="none"/>
              </w:rPr>
              <w:t>N-NH</w:t>
            </w:r>
            <w:r>
              <w:rPr>
                <w:rFonts w:hint="default" w:ascii="Times New Roman" w:hAnsi="Times New Roman" w:eastAsia="Times New Roman" w:cs="Times New Roman"/>
                <w:color w:val="auto"/>
                <w:spacing w:val="-10"/>
                <w:position w:val="-1"/>
                <w:sz w:val="15"/>
                <w:szCs w:val="15"/>
                <w:highlight w:val="none"/>
              </w:rPr>
              <w:t>3</w:t>
            </w:r>
            <w:r>
              <w:rPr>
                <w:rFonts w:hint="default" w:ascii="Times New Roman" w:hAnsi="Times New Roman" w:eastAsia="Times New Roman" w:cs="Times New Roman"/>
                <w:color w:val="auto"/>
                <w:spacing w:val="13"/>
                <w:position w:val="-1"/>
                <w:sz w:val="15"/>
                <w:szCs w:val="15"/>
                <w:highlight w:val="none"/>
              </w:rPr>
              <w:t xml:space="preserve"> </w:t>
            </w:r>
            <w:r>
              <w:rPr>
                <w:rFonts w:hint="default" w:ascii="Times New Roman" w:hAnsi="Times New Roman" w:cs="Times New Roman"/>
                <w:color w:val="auto"/>
                <w:spacing w:val="-10"/>
                <w:highlight w:val="none"/>
              </w:rPr>
              <w:t>示踪剂（液态）。</w:t>
            </w:r>
          </w:p>
          <w:p w14:paraId="1E18A2CC">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bidi="ar"/>
              </w:rPr>
            </w:pPr>
          </w:p>
          <w:p w14:paraId="75365B6A">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center"/>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eastAsia="宋体" w:cs="Times New Roman"/>
                <w:b/>
                <w:bCs w:val="0"/>
                <w:color w:val="auto"/>
                <w:kern w:val="0"/>
                <w:sz w:val="24"/>
                <w:szCs w:val="24"/>
                <w:highlight w:val="none"/>
                <w:lang w:val="en-US" w:eastAsia="zh-CN" w:bidi="ar"/>
              </w:rPr>
              <w:t>图9-2  回旋加速器生产正电子药物工艺流程图</w:t>
            </w:r>
          </w:p>
          <w:p w14:paraId="26FE6578">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bidi="ar"/>
              </w:rPr>
            </w:pPr>
          </w:p>
          <w:p w14:paraId="0AF4E661">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center"/>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eastAsia="宋体" w:cs="Times New Roman"/>
                <w:b/>
                <w:bCs w:val="0"/>
                <w:color w:val="auto"/>
                <w:kern w:val="0"/>
                <w:sz w:val="24"/>
                <w:szCs w:val="24"/>
                <w:highlight w:val="none"/>
                <w:lang w:val="en-US" w:eastAsia="zh-CN" w:bidi="ar"/>
              </w:rPr>
              <w:t>图9-</w:t>
            </w:r>
            <w:r>
              <w:rPr>
                <w:rFonts w:hint="eastAsia" w:cs="Times New Roman"/>
                <w:b/>
                <w:bCs w:val="0"/>
                <w:color w:val="auto"/>
                <w:kern w:val="0"/>
                <w:sz w:val="24"/>
                <w:szCs w:val="24"/>
                <w:highlight w:val="none"/>
                <w:lang w:val="en-US" w:eastAsia="zh-CN" w:bidi="ar"/>
              </w:rPr>
              <w:t>3</w:t>
            </w:r>
            <w:r>
              <w:rPr>
                <w:rFonts w:hint="default" w:ascii="Times New Roman" w:hAnsi="Times New Roman" w:eastAsia="宋体" w:cs="Times New Roman"/>
                <w:b/>
                <w:bCs w:val="0"/>
                <w:color w:val="auto"/>
                <w:kern w:val="0"/>
                <w:sz w:val="24"/>
                <w:szCs w:val="24"/>
                <w:highlight w:val="none"/>
                <w:lang w:val="en-US" w:eastAsia="zh-CN" w:bidi="ar"/>
              </w:rPr>
              <w:t xml:space="preserve">  回旋加速器生产正电子药物产污环节示意图</w:t>
            </w:r>
          </w:p>
          <w:p w14:paraId="222DD356">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p>
          <w:p w14:paraId="4577D86E">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color w:val="auto"/>
                <w:kern w:val="0"/>
                <w:sz w:val="24"/>
                <w:szCs w:val="24"/>
                <w:highlight w:val="none"/>
                <w:lang w:val="en-US" w:eastAsia="zh-CN" w:bidi="ar"/>
              </w:rPr>
            </w:pPr>
          </w:p>
          <w:p w14:paraId="392E4C93">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center"/>
              <w:rPr>
                <w:rFonts w:hint="default" w:ascii="Times New Roman" w:hAnsi="Times New Roman" w:eastAsia="宋体" w:cs="Times New Roman"/>
                <w:b w:val="0"/>
                <w:bCs/>
                <w:color w:val="auto"/>
                <w:kern w:val="0"/>
                <w:sz w:val="24"/>
                <w:szCs w:val="24"/>
                <w:highlight w:val="none"/>
                <w:lang w:val="en-US" w:eastAsia="zh-CN" w:bidi="ar"/>
              </w:rPr>
            </w:pPr>
            <w:r>
              <w:rPr>
                <w:rFonts w:hint="default" w:ascii="Times New Roman" w:hAnsi="Times New Roman" w:eastAsia="宋体" w:cs="Times New Roman"/>
                <w:b/>
                <w:bCs w:val="0"/>
                <w:color w:val="auto"/>
                <w:kern w:val="0"/>
                <w:sz w:val="24"/>
                <w:szCs w:val="24"/>
                <w:highlight w:val="none"/>
                <w:lang w:val="en-US" w:eastAsia="zh-CN" w:bidi="ar"/>
              </w:rPr>
              <w:t>图9-</w:t>
            </w:r>
            <w:r>
              <w:rPr>
                <w:rFonts w:hint="eastAsia" w:cs="Times New Roman"/>
                <w:b/>
                <w:bCs w:val="0"/>
                <w:color w:val="auto"/>
                <w:kern w:val="0"/>
                <w:sz w:val="24"/>
                <w:szCs w:val="24"/>
                <w:highlight w:val="none"/>
                <w:lang w:val="en-US" w:eastAsia="zh-CN" w:bidi="ar"/>
              </w:rPr>
              <w:t>4</w:t>
            </w:r>
            <w:r>
              <w:rPr>
                <w:rFonts w:hint="default" w:ascii="Times New Roman" w:hAnsi="Times New Roman" w:eastAsia="宋体" w:cs="Times New Roman"/>
                <w:b/>
                <w:bCs w:val="0"/>
                <w:color w:val="auto"/>
                <w:kern w:val="0"/>
                <w:sz w:val="24"/>
                <w:szCs w:val="24"/>
                <w:highlight w:val="none"/>
                <w:lang w:val="en-US" w:eastAsia="zh-CN" w:bidi="ar"/>
              </w:rPr>
              <w:t xml:space="preserve">  PET/CT 检查流程及产污环节分析示意图</w:t>
            </w:r>
          </w:p>
          <w:p w14:paraId="2C07998F">
            <w:pPr>
              <w:keepNext w:val="0"/>
              <w:keepLines w:val="0"/>
              <w:widowControl w:val="0"/>
              <w:suppressLineNumbers w:val="0"/>
              <w:autoSpaceDE w:val="0"/>
              <w:autoSpaceDN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eastAsia="宋体" w:cs="Times New Roman"/>
                <w:b w:val="0"/>
                <w:bCs/>
                <w:color w:val="auto"/>
                <w:kern w:val="0"/>
                <w:sz w:val="24"/>
                <w:szCs w:val="24"/>
                <w:highlight w:val="none"/>
                <w:lang w:val="en-US" w:eastAsia="zh-CN" w:bidi="ar"/>
              </w:rPr>
              <w:t>（4）药物、人员流线</w:t>
            </w:r>
          </w:p>
          <w:p w14:paraId="365C1635">
            <w:pPr>
              <w:keepNext w:val="0"/>
              <w:keepLines w:val="0"/>
              <w:widowControl w:val="0"/>
              <w:suppressLineNumbers w:val="0"/>
              <w:autoSpaceDE w:val="0"/>
              <w:autoSpaceDN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①药物路线</w:t>
            </w:r>
            <w:r>
              <w:rPr>
                <w:rFonts w:hint="default" w:ascii="Times New Roman" w:hAnsi="Times New Roman" w:eastAsia="宋体" w:cs="Times New Roman"/>
                <w:color w:val="auto"/>
                <w:kern w:val="0"/>
                <w:sz w:val="24"/>
                <w:szCs w:val="24"/>
                <w:highlight w:val="none"/>
                <w:lang w:val="en-US" w:eastAsia="zh-CN" w:bidi="ar"/>
              </w:rPr>
              <w:t xml:space="preserve"> </w:t>
            </w:r>
          </w:p>
          <w:p w14:paraId="65ED925F">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 xml:space="preserve">放射性药物 </w:t>
            </w:r>
            <w:r>
              <w:rPr>
                <w:rFonts w:hint="eastAsia" w:cs="Times New Roman"/>
                <w:color w:val="auto"/>
                <w:kern w:val="0"/>
                <w:sz w:val="24"/>
                <w:szCs w:val="24"/>
                <w:highlight w:val="none"/>
                <w:vertAlign w:val="baseline"/>
                <w:lang w:val="en-US" w:eastAsia="zh-CN" w:bidi="ar"/>
              </w:rPr>
              <w:t>F-18</w:t>
            </w:r>
            <w:r>
              <w:rPr>
                <w:rFonts w:hint="default" w:ascii="Times New Roman" w:hAnsi="Times New Roman" w:eastAsia="宋体"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vertAlign w:val="superscript"/>
                <w:lang w:val="en-US" w:eastAsia="zh-CN" w:bidi="ar"/>
              </w:rPr>
              <w:t>68</w:t>
            </w:r>
            <w:r>
              <w:rPr>
                <w:rFonts w:hint="default" w:ascii="Times New Roman" w:hAnsi="Times New Roman" w:eastAsia="宋体" w:cs="Times New Roman"/>
                <w:color w:val="auto"/>
                <w:kern w:val="0"/>
                <w:sz w:val="24"/>
                <w:szCs w:val="24"/>
                <w:highlight w:val="none"/>
                <w:lang w:val="en-US" w:eastAsia="zh-CN" w:bidi="ar"/>
              </w:rPr>
              <w:t>Ga</w:t>
            </w:r>
            <w:r>
              <w:rPr>
                <w:rFonts w:hint="default" w:ascii="Times New Roman" w:hAnsi="Times New Roman"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vertAlign w:val="superscript"/>
                <w:lang w:val="en-US" w:eastAsia="zh-CN" w:bidi="ar"/>
              </w:rPr>
              <w:t>11</w:t>
            </w:r>
            <w:r>
              <w:rPr>
                <w:rFonts w:hint="default" w:ascii="Times New Roman" w:hAnsi="Times New Roman" w:cs="Times New Roman"/>
                <w:color w:val="auto"/>
                <w:kern w:val="0"/>
                <w:sz w:val="24"/>
                <w:szCs w:val="24"/>
                <w:highlight w:val="none"/>
                <w:lang w:val="en-US" w:eastAsia="zh-CN" w:bidi="ar"/>
              </w:rPr>
              <w:t>C、</w:t>
            </w:r>
            <w:r>
              <w:rPr>
                <w:rFonts w:hint="default" w:ascii="Times New Roman" w:hAnsi="Times New Roman" w:cs="Times New Roman"/>
                <w:color w:val="auto"/>
                <w:kern w:val="0"/>
                <w:sz w:val="24"/>
                <w:szCs w:val="24"/>
                <w:highlight w:val="none"/>
                <w:vertAlign w:val="superscript"/>
                <w:lang w:val="en-US" w:eastAsia="zh-CN" w:bidi="ar"/>
              </w:rPr>
              <w:t>13</w:t>
            </w:r>
            <w:r>
              <w:rPr>
                <w:rFonts w:hint="default" w:ascii="Times New Roman" w:hAnsi="Times New Roman" w:cs="Times New Roman"/>
                <w:color w:val="auto"/>
                <w:kern w:val="0"/>
                <w:sz w:val="24"/>
                <w:szCs w:val="24"/>
                <w:highlight w:val="none"/>
                <w:vertAlign w:val="baseline"/>
                <w:lang w:val="en-US" w:eastAsia="zh-CN" w:bidi="ar"/>
              </w:rPr>
              <w:t>N</w:t>
            </w:r>
            <w:r>
              <w:rPr>
                <w:rFonts w:hint="default" w:ascii="Times New Roman" w:hAnsi="Times New Roman" w:cs="Times New Roman"/>
                <w:color w:val="auto"/>
                <w:kern w:val="0"/>
                <w:sz w:val="24"/>
                <w:szCs w:val="24"/>
                <w:highlight w:val="none"/>
                <w:lang w:val="en-US" w:eastAsia="zh-CN" w:bidi="ar"/>
              </w:rPr>
              <w:t>在核医学楼负一层正电子制药车间回旋加速器内合成，制备好的核素通过核素传输管道自动传输到热室的合成热室分装柜中，</w:t>
            </w:r>
            <w:r>
              <w:rPr>
                <w:rFonts w:hint="default" w:ascii="Times New Roman" w:hAnsi="Times New Roman" w:eastAsia="宋体" w:cs="Times New Roman"/>
                <w:color w:val="auto"/>
                <w:kern w:val="0"/>
                <w:sz w:val="24"/>
                <w:szCs w:val="24"/>
                <w:highlight w:val="none"/>
                <w:lang w:val="en-US" w:eastAsia="zh-CN" w:bidi="ar"/>
              </w:rPr>
              <w:t>由</w:t>
            </w:r>
            <w:r>
              <w:rPr>
                <w:rFonts w:hint="default" w:ascii="Times New Roman" w:hAnsi="Times New Roman" w:cs="Times New Roman"/>
                <w:color w:val="auto"/>
                <w:kern w:val="0"/>
                <w:sz w:val="24"/>
                <w:szCs w:val="24"/>
                <w:highlight w:val="none"/>
                <w:lang w:val="en-US" w:eastAsia="zh-CN" w:bidi="ar"/>
              </w:rPr>
              <w:t>核医学楼</w:t>
            </w:r>
            <w:r>
              <w:rPr>
                <w:rFonts w:hint="default" w:ascii="Times New Roman" w:hAnsi="Times New Roman" w:eastAsia="宋体" w:cs="Times New Roman"/>
                <w:color w:val="auto"/>
                <w:kern w:val="0"/>
                <w:sz w:val="24"/>
                <w:szCs w:val="24"/>
                <w:highlight w:val="none"/>
                <w:lang w:val="en-US" w:eastAsia="zh-CN" w:bidi="ar"/>
              </w:rPr>
              <w:t>负一层合成热室分装柜内进行药物分装，分装</w:t>
            </w:r>
            <w:r>
              <w:rPr>
                <w:rFonts w:hint="default" w:ascii="Times New Roman" w:hAnsi="Times New Roman" w:cs="Times New Roman"/>
                <w:color w:val="auto"/>
                <w:kern w:val="0"/>
                <w:sz w:val="24"/>
                <w:szCs w:val="24"/>
                <w:highlight w:val="none"/>
                <w:lang w:val="en-US" w:eastAsia="zh-CN" w:bidi="ar"/>
              </w:rPr>
              <w:t>后的</w:t>
            </w:r>
            <w:r>
              <w:rPr>
                <w:rFonts w:hint="default" w:ascii="Times New Roman" w:hAnsi="Times New Roman" w:eastAsia="宋体" w:cs="Times New Roman"/>
                <w:color w:val="auto"/>
                <w:kern w:val="0"/>
                <w:sz w:val="24"/>
                <w:szCs w:val="24"/>
                <w:highlight w:val="none"/>
                <w:lang w:val="en-US" w:eastAsia="zh-CN" w:bidi="ar"/>
              </w:rPr>
              <w:t xml:space="preserve">药物通过专用传药梯送至二层 PET-CT/MRI 诊断区注射准备室进行药物注射。 </w:t>
            </w:r>
          </w:p>
          <w:p w14:paraId="59E287E8">
            <w:pPr>
              <w:keepNext w:val="0"/>
              <w:keepLines w:val="0"/>
              <w:widowControl w:val="0"/>
              <w:suppressLineNumbers w:val="0"/>
              <w:autoSpaceDE w:val="0"/>
              <w:autoSpaceDN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 xml:space="preserve">②患者路线 </w:t>
            </w:r>
          </w:p>
          <w:p w14:paraId="11F5ED9C">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PET 诊断患者由核医学楼</w:t>
            </w:r>
            <w:r>
              <w:rPr>
                <w:rFonts w:hint="eastAsia" w:cs="Times New Roman"/>
                <w:color w:val="auto"/>
                <w:kern w:val="0"/>
                <w:sz w:val="24"/>
                <w:szCs w:val="24"/>
                <w:highlight w:val="none"/>
                <w:lang w:val="en-US" w:eastAsia="zh-CN" w:bidi="ar"/>
              </w:rPr>
              <w:t>西侧</w:t>
            </w:r>
            <w:r>
              <w:rPr>
                <w:rFonts w:hint="default" w:ascii="Times New Roman" w:hAnsi="Times New Roman" w:eastAsia="宋体" w:cs="Times New Roman"/>
                <w:color w:val="auto"/>
                <w:kern w:val="0"/>
                <w:sz w:val="24"/>
                <w:szCs w:val="24"/>
                <w:highlight w:val="none"/>
                <w:lang w:val="en-US" w:eastAsia="zh-CN" w:bidi="ar"/>
              </w:rPr>
              <w:t>入口进入</w:t>
            </w:r>
            <w:r>
              <w:rPr>
                <w:rFonts w:hint="default" w:ascii="Times New Roman" w:hAnsi="Times New Roman" w:cs="Times New Roman"/>
                <w:color w:val="auto"/>
                <w:kern w:val="0"/>
                <w:sz w:val="24"/>
                <w:szCs w:val="24"/>
                <w:highlight w:val="none"/>
                <w:lang w:val="en-US" w:eastAsia="zh-CN" w:bidi="ar"/>
              </w:rPr>
              <w:t>核医学楼</w:t>
            </w:r>
            <w:r>
              <w:rPr>
                <w:rFonts w:hint="default" w:ascii="Times New Roman" w:hAnsi="Times New Roman" w:eastAsia="宋体" w:cs="Times New Roman"/>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从西侧楼梯到达二层</w:t>
            </w:r>
            <w:r>
              <w:rPr>
                <w:rFonts w:hint="default" w:ascii="Times New Roman" w:hAnsi="Times New Roman" w:eastAsia="宋体" w:cs="Times New Roman"/>
                <w:color w:val="auto"/>
                <w:kern w:val="0"/>
                <w:sz w:val="24"/>
                <w:szCs w:val="24"/>
                <w:highlight w:val="none"/>
                <w:lang w:val="en-US" w:eastAsia="zh-CN" w:bidi="ar"/>
              </w:rPr>
              <w:t>在候诊区候诊，通过病患入口进 入病人注射准备室完成给药后，核素显像检查的患者前往PET-CT或PET-MRI注射后休息室休息、候诊，然后进入PET-CT或PET-MRI机房扫描检查。扫描完成后沿患者</w:t>
            </w:r>
            <w:r>
              <w:rPr>
                <w:rFonts w:hint="eastAsia" w:cs="Times New Roman"/>
                <w:color w:val="auto"/>
                <w:kern w:val="0"/>
                <w:sz w:val="24"/>
                <w:szCs w:val="24"/>
                <w:highlight w:val="none"/>
                <w:lang w:val="en-US" w:eastAsia="zh-CN" w:bidi="ar"/>
              </w:rPr>
              <w:t>走廊</w:t>
            </w:r>
            <w:r>
              <w:rPr>
                <w:rFonts w:hint="default" w:ascii="Times New Roman" w:hAnsi="Times New Roman" w:eastAsia="宋体" w:cs="Times New Roman"/>
                <w:color w:val="auto"/>
                <w:kern w:val="0"/>
                <w:sz w:val="24"/>
                <w:szCs w:val="24"/>
                <w:highlight w:val="none"/>
                <w:lang w:val="en-US" w:eastAsia="zh-CN" w:bidi="ar"/>
              </w:rPr>
              <w:t>进入留观/抢救室留观，然后从</w:t>
            </w:r>
            <w:r>
              <w:rPr>
                <w:rFonts w:hint="default" w:ascii="Times New Roman" w:hAnsi="Times New Roman" w:cs="Times New Roman"/>
                <w:color w:val="auto"/>
                <w:kern w:val="0"/>
                <w:sz w:val="24"/>
                <w:szCs w:val="24"/>
                <w:highlight w:val="none"/>
                <w:lang w:val="en-US" w:eastAsia="zh-CN" w:bidi="ar"/>
              </w:rPr>
              <w:t>核医学楼</w:t>
            </w:r>
            <w:r>
              <w:rPr>
                <w:rFonts w:hint="eastAsia" w:cs="Times New Roman"/>
                <w:color w:val="auto"/>
                <w:kern w:val="0"/>
                <w:sz w:val="24"/>
                <w:szCs w:val="24"/>
                <w:highlight w:val="none"/>
                <w:lang w:val="en-US" w:eastAsia="zh-CN" w:bidi="ar"/>
              </w:rPr>
              <w:t>东侧楼梯</w:t>
            </w:r>
            <w:r>
              <w:rPr>
                <w:rFonts w:hint="default" w:ascii="Times New Roman" w:hAnsi="Times New Roman" w:eastAsia="宋体" w:cs="Times New Roman"/>
                <w:color w:val="auto"/>
                <w:kern w:val="0"/>
                <w:sz w:val="24"/>
                <w:szCs w:val="24"/>
                <w:highlight w:val="none"/>
                <w:lang w:val="en-US" w:eastAsia="zh-CN" w:bidi="ar"/>
              </w:rPr>
              <w:t>病患出口离开核医学楼。</w:t>
            </w:r>
          </w:p>
          <w:p w14:paraId="334B58C0">
            <w:pPr>
              <w:keepNext w:val="0"/>
              <w:keepLines w:val="0"/>
              <w:widowControl w:val="0"/>
              <w:suppressLineNumbers w:val="0"/>
              <w:autoSpaceDE w:val="0"/>
              <w:autoSpaceDN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③医务人员路线</w:t>
            </w:r>
          </w:p>
          <w:p w14:paraId="59903D9A">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药物操作工作人员</w:t>
            </w:r>
            <w:r>
              <w:rPr>
                <w:rFonts w:hint="eastAsia" w:cs="Times New Roman"/>
                <w:color w:val="auto"/>
                <w:kern w:val="0"/>
                <w:sz w:val="24"/>
                <w:szCs w:val="24"/>
                <w:highlight w:val="none"/>
                <w:lang w:val="en-US" w:eastAsia="zh-CN" w:bidi="ar"/>
              </w:rPr>
              <w:t>乘电梯</w:t>
            </w:r>
            <w:r>
              <w:rPr>
                <w:rFonts w:hint="default" w:ascii="Times New Roman" w:hAnsi="Times New Roman" w:eastAsia="宋体" w:cs="Times New Roman"/>
                <w:color w:val="auto"/>
                <w:kern w:val="0"/>
                <w:sz w:val="24"/>
                <w:szCs w:val="24"/>
                <w:highlight w:val="none"/>
                <w:lang w:val="en-US" w:eastAsia="zh-CN" w:bidi="ar"/>
              </w:rPr>
              <w:t>进入负一层正电子药物生产单元合成热室分装室分装柜取药，药物准备完毕后通过传药梯传递到</w:t>
            </w:r>
            <w:r>
              <w:rPr>
                <w:rFonts w:hint="eastAsia" w:cs="Times New Roman"/>
                <w:color w:val="auto"/>
                <w:kern w:val="0"/>
                <w:sz w:val="24"/>
                <w:szCs w:val="24"/>
                <w:highlight w:val="none"/>
                <w:lang w:val="en-US" w:eastAsia="zh-CN" w:bidi="ar"/>
              </w:rPr>
              <w:t>二</w:t>
            </w:r>
            <w:r>
              <w:rPr>
                <w:rFonts w:hint="default" w:ascii="Times New Roman" w:hAnsi="Times New Roman" w:eastAsia="宋体" w:cs="Times New Roman"/>
                <w:color w:val="auto"/>
                <w:kern w:val="0"/>
                <w:sz w:val="24"/>
                <w:szCs w:val="24"/>
                <w:highlight w:val="none"/>
                <w:lang w:val="en-US" w:eastAsia="zh-CN" w:bidi="ar"/>
              </w:rPr>
              <w:t>层PET-CT/MRI区域注射准备室，由注射人员在注射窗口给患者注射，完成后通过去污、表污检测达标后原路返回离开</w:t>
            </w:r>
            <w:r>
              <w:rPr>
                <w:rFonts w:hint="default" w:ascii="Times New Roman" w:hAnsi="Times New Roman" w:cs="Times New Roman"/>
                <w:color w:val="auto"/>
                <w:kern w:val="0"/>
                <w:sz w:val="24"/>
                <w:szCs w:val="24"/>
                <w:highlight w:val="none"/>
                <w:lang w:val="en-US" w:eastAsia="zh-CN" w:bidi="ar"/>
              </w:rPr>
              <w:t>核医学楼</w:t>
            </w:r>
            <w:r>
              <w:rPr>
                <w:rFonts w:hint="default" w:ascii="Times New Roman" w:hAnsi="Times New Roman" w:eastAsia="宋体" w:cs="Times New Roman"/>
                <w:color w:val="auto"/>
                <w:kern w:val="0"/>
                <w:sz w:val="24"/>
                <w:szCs w:val="24"/>
                <w:highlight w:val="none"/>
                <w:lang w:val="en-US" w:eastAsia="zh-CN" w:bidi="ar"/>
              </w:rPr>
              <w:t>。</w:t>
            </w:r>
          </w:p>
          <w:p w14:paraId="6F71250D">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PET控制室工作人员由核医学楼</w:t>
            </w:r>
            <w:r>
              <w:rPr>
                <w:rFonts w:hint="eastAsia" w:cs="Times New Roman"/>
                <w:color w:val="auto"/>
                <w:kern w:val="0"/>
                <w:sz w:val="24"/>
                <w:szCs w:val="24"/>
                <w:highlight w:val="none"/>
                <w:lang w:val="en-US" w:eastAsia="zh-CN" w:bidi="ar"/>
              </w:rPr>
              <w:t>西侧医梯到达二层，沿</w:t>
            </w:r>
            <w:r>
              <w:rPr>
                <w:rFonts w:hint="default" w:ascii="Times New Roman" w:hAnsi="Times New Roman" w:eastAsia="宋体" w:cs="Times New Roman"/>
                <w:color w:val="auto"/>
                <w:kern w:val="0"/>
                <w:sz w:val="24"/>
                <w:szCs w:val="24"/>
                <w:highlight w:val="none"/>
                <w:lang w:val="en-US" w:eastAsia="zh-CN" w:bidi="ar"/>
              </w:rPr>
              <w:t>医护走廊通道进入PET控制室，工作完成后原路返回离开。</w:t>
            </w:r>
          </w:p>
          <w:p w14:paraId="78B9EBEF">
            <w:pPr>
              <w:keepNext w:val="0"/>
              <w:keepLines w:val="0"/>
              <w:widowControl w:val="0"/>
              <w:suppressLineNumbers w:val="0"/>
              <w:autoSpaceDE w:val="0"/>
              <w:autoSpaceDN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④放射性固体废物路线</w:t>
            </w:r>
          </w:p>
          <w:p w14:paraId="760E5880">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医院拟将放射性固体废物收集存于</w:t>
            </w:r>
            <w:r>
              <w:rPr>
                <w:rFonts w:hint="eastAsia" w:cs="Times New Roman"/>
                <w:color w:val="auto"/>
                <w:kern w:val="0"/>
                <w:sz w:val="24"/>
                <w:szCs w:val="24"/>
                <w:highlight w:val="none"/>
                <w:lang w:val="en-US" w:eastAsia="zh-CN" w:bidi="ar"/>
              </w:rPr>
              <w:t>核医学科楼二层</w:t>
            </w:r>
            <w:r>
              <w:rPr>
                <w:rFonts w:hint="default" w:ascii="Times New Roman" w:hAnsi="Times New Roman" w:eastAsia="宋体" w:cs="Times New Roman"/>
                <w:color w:val="auto"/>
                <w:kern w:val="0"/>
                <w:sz w:val="24"/>
                <w:szCs w:val="24"/>
                <w:highlight w:val="none"/>
                <w:lang w:val="en-US" w:eastAsia="zh-CN" w:bidi="ar"/>
              </w:rPr>
              <w:t>注射室内</w:t>
            </w:r>
            <w:r>
              <w:rPr>
                <w:rFonts w:hint="eastAsia" w:cs="Times New Roman"/>
                <w:color w:val="auto"/>
                <w:kern w:val="0"/>
                <w:sz w:val="24"/>
                <w:szCs w:val="24"/>
                <w:highlight w:val="none"/>
                <w:lang w:val="en-US" w:eastAsia="zh-CN" w:bidi="ar"/>
              </w:rPr>
              <w:t>放射性</w:t>
            </w:r>
            <w:r>
              <w:rPr>
                <w:rFonts w:hint="default" w:ascii="Times New Roman" w:hAnsi="Times New Roman" w:eastAsia="宋体" w:cs="Times New Roman"/>
                <w:color w:val="auto"/>
                <w:kern w:val="0"/>
                <w:sz w:val="24"/>
                <w:szCs w:val="24"/>
                <w:highlight w:val="none"/>
                <w:lang w:val="en-US" w:eastAsia="zh-CN" w:bidi="ar"/>
              </w:rPr>
              <w:t>废物桶中，每天下班前将当天产生的放射性废物及时转移至核医学科楼二层</w:t>
            </w:r>
            <w:r>
              <w:rPr>
                <w:rFonts w:hint="eastAsia" w:cs="Times New Roman"/>
                <w:color w:val="auto"/>
                <w:kern w:val="0"/>
                <w:sz w:val="24"/>
                <w:szCs w:val="24"/>
                <w:highlight w:val="none"/>
                <w:lang w:val="en-US" w:eastAsia="zh-CN" w:bidi="ar"/>
              </w:rPr>
              <w:t>放射性</w:t>
            </w:r>
            <w:r>
              <w:rPr>
                <w:rFonts w:hint="default" w:ascii="Times New Roman" w:hAnsi="Times New Roman" w:eastAsia="宋体" w:cs="Times New Roman"/>
                <w:color w:val="auto"/>
                <w:kern w:val="0"/>
                <w:sz w:val="24"/>
                <w:szCs w:val="24"/>
                <w:highlight w:val="none"/>
                <w:lang w:val="en-US" w:eastAsia="zh-CN" w:bidi="ar"/>
              </w:rPr>
              <w:t>废物库内，暂存于废物衰变箱内衰变。待10个以上半衰期后衰变至符合清洁解控水平后，转移至院区的医疗污物暂存间，按照医疗废物交由有资质单位进行处置。</w:t>
            </w:r>
          </w:p>
          <w:p w14:paraId="6C2A3F66">
            <w:pPr>
              <w:pStyle w:val="43"/>
              <w:keepNext w:val="0"/>
              <w:keepLines w:val="0"/>
              <w:suppressLineNumbers w:val="0"/>
              <w:spacing w:before="190" w:beforeAutospacing="0" w:after="0" w:afterAutospacing="0" w:line="368" w:lineRule="auto"/>
              <w:ind w:left="117" w:right="106" w:firstLine="474"/>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医院前期已取得回旋加速器（型号：HM-10HC+，场所：核医学楼负一层回旋加速器机房）的许可和</w:t>
            </w:r>
            <w:r>
              <w:rPr>
                <w:rFonts w:hint="default" w:ascii="Times New Roman" w:hAnsi="Times New Roman" w:cs="Times New Roman"/>
                <w:color w:val="auto"/>
                <w:highlight w:val="none"/>
                <w:vertAlign w:val="baseline"/>
                <w:lang w:val="en-US" w:eastAsia="zh-CN"/>
              </w:rPr>
              <w:t>F-18</w:t>
            </w:r>
            <w:r>
              <w:rPr>
                <w:rFonts w:hint="default" w:ascii="Times New Roman" w:hAnsi="Times New Roman" w:cs="Times New Roman"/>
                <w:color w:val="auto"/>
                <w:highlight w:val="none"/>
                <w:lang w:val="en-US" w:eastAsia="zh-CN"/>
              </w:rPr>
              <w:t>、Ga-68的许可，本次新增</w:t>
            </w:r>
            <w:r>
              <w:rPr>
                <w:rFonts w:hint="default" w:ascii="Times New Roman" w:hAnsi="Times New Roman" w:cs="Times New Roman"/>
                <w:color w:val="auto"/>
                <w:highlight w:val="none"/>
                <w:vertAlign w:val="baseline"/>
                <w:lang w:val="en-US" w:eastAsia="zh-CN"/>
              </w:rPr>
              <w:t>F-18</w:t>
            </w:r>
            <w:r>
              <w:rPr>
                <w:rFonts w:hint="default" w:ascii="Times New Roman" w:hAnsi="Times New Roman" w:cs="Times New Roman"/>
                <w:color w:val="auto"/>
                <w:highlight w:val="none"/>
                <w:lang w:val="en-US" w:eastAsia="zh-CN"/>
              </w:rPr>
              <w:t>、Ga-68的日最大操作量，新增C-11、</w:t>
            </w:r>
            <w:r>
              <w:rPr>
                <w:rFonts w:hint="eastAsia" w:ascii="Times New Roman" w:hAnsi="Times New Roman" w:cs="Times New Roman"/>
                <w:color w:val="auto"/>
                <w:highlight w:val="none"/>
                <w:lang w:val="en-US" w:eastAsia="zh-CN"/>
              </w:rPr>
              <w:t>N-13</w:t>
            </w:r>
            <w:r>
              <w:rPr>
                <w:rFonts w:hint="default" w:ascii="Times New Roman" w:hAnsi="Times New Roman" w:cs="Times New Roman"/>
                <w:color w:val="auto"/>
                <w:highlight w:val="none"/>
                <w:lang w:val="en-US" w:eastAsia="zh-CN"/>
              </w:rPr>
              <w:t>的使用。</w:t>
            </w:r>
          </w:p>
          <w:p w14:paraId="5A7FADBE">
            <w:pPr>
              <w:keepNext w:val="0"/>
              <w:keepLines w:val="0"/>
              <w:widowControl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val="0"/>
                <w:color w:val="auto"/>
                <w:kern w:val="0"/>
                <w:sz w:val="24"/>
                <w:szCs w:val="24"/>
                <w:highlight w:val="none"/>
                <w:lang w:val="en-US" w:eastAsia="zh-CN" w:bidi="ar"/>
              </w:rPr>
              <w:t>9.1.</w:t>
            </w:r>
            <w:r>
              <w:rPr>
                <w:rFonts w:hint="default" w:ascii="Times New Roman" w:hAnsi="Times New Roman" w:cs="Times New Roman"/>
                <w:b/>
                <w:bCs w:val="0"/>
                <w:color w:val="auto"/>
                <w:kern w:val="0"/>
                <w:sz w:val="24"/>
                <w:szCs w:val="24"/>
                <w:highlight w:val="none"/>
                <w:lang w:val="en-US" w:eastAsia="zh-CN" w:bidi="ar"/>
              </w:rPr>
              <w:t>2</w:t>
            </w:r>
            <w:r>
              <w:rPr>
                <w:rFonts w:hint="default" w:ascii="Times New Roman" w:hAnsi="Times New Roman" w:eastAsia="宋体" w:cs="Times New Roman"/>
                <w:b/>
                <w:bCs w:val="0"/>
                <w:color w:val="auto"/>
                <w:kern w:val="0"/>
                <w:sz w:val="24"/>
                <w:szCs w:val="24"/>
                <w:highlight w:val="none"/>
                <w:lang w:val="en-US" w:eastAsia="zh-CN" w:bidi="ar"/>
              </w:rPr>
              <w:t>SPECT工程原理</w:t>
            </w:r>
          </w:p>
          <w:p w14:paraId="3D341072">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医院前期已取得Tc-99m、Mo-99(Tc-99m)、</w:t>
            </w:r>
            <w:r>
              <w:rPr>
                <w:rFonts w:hint="default" w:ascii="Times New Roman" w:hAnsi="Times New Roman" w:eastAsia="宋体" w:cs="Times New Roman"/>
                <w:color w:val="auto"/>
                <w:kern w:val="0"/>
                <w:sz w:val="24"/>
                <w:szCs w:val="24"/>
                <w:highlight w:val="none"/>
                <w:vertAlign w:val="baseline"/>
                <w:lang w:val="en-US" w:eastAsia="zh-CN" w:bidi="ar"/>
              </w:rPr>
              <w:t>I-131</w:t>
            </w:r>
            <w:r>
              <w:rPr>
                <w:rFonts w:hint="default" w:ascii="Times New Roman" w:hAnsi="Times New Roman" w:eastAsia="宋体" w:cs="Times New Roman"/>
                <w:color w:val="auto"/>
                <w:kern w:val="0"/>
                <w:sz w:val="24"/>
                <w:szCs w:val="24"/>
                <w:highlight w:val="none"/>
                <w:lang w:val="en-US" w:eastAsia="zh-CN" w:bidi="ar"/>
              </w:rPr>
              <w:t>的许可，本次新增Tc-99m、Mo-99(Tc-99m)、</w:t>
            </w:r>
            <w:r>
              <w:rPr>
                <w:rFonts w:hint="default" w:ascii="Times New Roman" w:hAnsi="Times New Roman" w:eastAsia="宋体" w:cs="Times New Roman"/>
                <w:color w:val="auto"/>
                <w:kern w:val="0"/>
                <w:sz w:val="24"/>
                <w:szCs w:val="24"/>
                <w:highlight w:val="none"/>
                <w:vertAlign w:val="baseline"/>
                <w:lang w:val="en-US" w:eastAsia="zh-CN" w:bidi="ar"/>
              </w:rPr>
              <w:t>I-131</w:t>
            </w:r>
            <w:r>
              <w:rPr>
                <w:rFonts w:hint="default" w:ascii="Times New Roman" w:hAnsi="Times New Roman" w:eastAsia="宋体" w:cs="Times New Roman"/>
                <w:color w:val="auto"/>
                <w:kern w:val="0"/>
                <w:sz w:val="24"/>
                <w:szCs w:val="24"/>
                <w:highlight w:val="none"/>
                <w:lang w:val="en-US" w:eastAsia="zh-CN" w:bidi="ar"/>
              </w:rPr>
              <w:t>的</w:t>
            </w:r>
            <w:r>
              <w:rPr>
                <w:rFonts w:hint="default" w:ascii="Times New Roman" w:hAnsi="Times New Roman" w:cs="Times New Roman"/>
                <w:color w:val="auto"/>
                <w:kern w:val="0"/>
                <w:sz w:val="24"/>
                <w:szCs w:val="24"/>
                <w:highlight w:val="none"/>
                <w:lang w:val="en-US" w:eastAsia="zh-CN" w:bidi="ar"/>
              </w:rPr>
              <w:t>日最大操作量</w:t>
            </w:r>
            <w:r>
              <w:rPr>
                <w:rFonts w:hint="default" w:ascii="Times New Roman" w:hAnsi="Times New Roman" w:eastAsia="宋体" w:cs="Times New Roman"/>
                <w:color w:val="auto"/>
                <w:kern w:val="0"/>
                <w:sz w:val="24"/>
                <w:szCs w:val="24"/>
                <w:highlight w:val="none"/>
                <w:lang w:val="en-US" w:eastAsia="zh-CN" w:bidi="ar"/>
              </w:rPr>
              <w:t>，SPECT工程原理分述如下：</w:t>
            </w:r>
          </w:p>
          <w:p w14:paraId="3B40ACA9">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cs="Times New Roman"/>
                <w:color w:val="auto"/>
                <w:kern w:val="0"/>
                <w:sz w:val="24"/>
                <w:szCs w:val="24"/>
                <w:highlight w:val="none"/>
                <w:lang w:val="en-US" w:eastAsia="zh-CN" w:bidi="ar"/>
              </w:rPr>
              <w:t>本项目</w:t>
            </w:r>
            <w:r>
              <w:rPr>
                <w:rFonts w:hint="default" w:ascii="Times New Roman" w:hAnsi="Times New Roman" w:eastAsia="宋体" w:cs="Times New Roman"/>
                <w:color w:val="auto"/>
                <w:kern w:val="0"/>
                <w:sz w:val="24"/>
                <w:szCs w:val="24"/>
                <w:highlight w:val="none"/>
                <w:lang w:val="en-US" w:eastAsia="zh-CN" w:bidi="ar"/>
              </w:rPr>
              <w:t>使用Tc-99m、</w:t>
            </w:r>
            <w:r>
              <w:rPr>
                <w:rFonts w:hint="default" w:ascii="Times New Roman" w:hAnsi="Times New Roman" w:eastAsia="宋体" w:cs="Times New Roman"/>
                <w:color w:val="auto"/>
                <w:kern w:val="0"/>
                <w:sz w:val="24"/>
                <w:szCs w:val="24"/>
                <w:highlight w:val="none"/>
                <w:vertAlign w:val="baseline"/>
                <w:lang w:val="en-US" w:eastAsia="zh-CN" w:bidi="ar"/>
              </w:rPr>
              <w:t>I-131</w:t>
            </w:r>
            <w:r>
              <w:rPr>
                <w:rFonts w:hint="default" w:ascii="Times New Roman" w:hAnsi="Times New Roman" w:eastAsia="宋体" w:cs="Times New Roman"/>
                <w:color w:val="auto"/>
                <w:kern w:val="0"/>
                <w:sz w:val="24"/>
                <w:szCs w:val="24"/>
                <w:highlight w:val="none"/>
                <w:lang w:val="en-US" w:eastAsia="zh-CN" w:bidi="ar"/>
              </w:rPr>
              <w:t>开展SPECT/CT显像，依托医院前期已获得许可的SPECT/CT设备（单光子发射/X射线计算机断层成像系统，场所：核医学楼一层SPECT2室、SPECT3室，型号：NM/CT860Advance、Symbiaintevo2），本项目不新增射线装置，不对SPECT/CT设备工艺流程进行介绍。</w:t>
            </w:r>
          </w:p>
          <w:p w14:paraId="30D95083">
            <w:pPr>
              <w:keepNext w:val="0"/>
              <w:keepLines w:val="0"/>
              <w:widowControl w:val="0"/>
              <w:suppressLineNumbers w:val="0"/>
              <w:autoSpaceDE w:val="0"/>
              <w:autoSpaceDN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kern w:val="0"/>
                <w:sz w:val="24"/>
                <w:szCs w:val="24"/>
                <w:highlight w:val="none"/>
                <w:lang w:val="en-US" w:eastAsia="zh-CN" w:bidi="ar"/>
              </w:rPr>
              <w:t>9.1.</w:t>
            </w:r>
            <w:r>
              <w:rPr>
                <w:rFonts w:hint="default" w:ascii="Times New Roman" w:hAnsi="Times New Roman" w:cs="Times New Roman"/>
                <w:b/>
                <w:bCs/>
                <w:color w:val="auto"/>
                <w:kern w:val="0"/>
                <w:sz w:val="24"/>
                <w:szCs w:val="24"/>
                <w:highlight w:val="none"/>
                <w:lang w:val="en-US" w:eastAsia="zh-CN" w:bidi="ar"/>
              </w:rPr>
              <w:t>2.1</w:t>
            </w:r>
            <w:r>
              <w:rPr>
                <w:rFonts w:hint="default" w:ascii="Times New Roman" w:hAnsi="Times New Roman" w:eastAsia="宋体" w:cs="Times New Roman"/>
                <w:b/>
                <w:bCs/>
                <w:color w:val="auto"/>
                <w:kern w:val="0"/>
                <w:sz w:val="24"/>
                <w:szCs w:val="24"/>
                <w:highlight w:val="none"/>
                <w:lang w:val="en-US" w:eastAsia="zh-CN" w:bidi="ar"/>
              </w:rPr>
              <w:t>制备SPECT/CT显像诊断药</w:t>
            </w:r>
            <w:r>
              <w:rPr>
                <w:rFonts w:hint="default" w:ascii="Times New Roman" w:hAnsi="Times New Roman" w:eastAsia="宋体" w:cs="Times New Roman"/>
                <w:b/>
                <w:bCs/>
                <w:color w:val="auto"/>
                <w:kern w:val="0"/>
                <w:sz w:val="24"/>
                <w:szCs w:val="24"/>
                <w:highlight w:val="none"/>
                <w:vertAlign w:val="superscript"/>
                <w:lang w:val="en-US" w:eastAsia="zh-CN" w:bidi="ar"/>
              </w:rPr>
              <w:t>99m</w:t>
            </w:r>
            <w:r>
              <w:rPr>
                <w:rFonts w:hint="default" w:ascii="Times New Roman" w:hAnsi="Times New Roman" w:eastAsia="宋体" w:cs="Times New Roman"/>
                <w:b/>
                <w:bCs/>
                <w:color w:val="auto"/>
                <w:kern w:val="0"/>
                <w:sz w:val="24"/>
                <w:szCs w:val="24"/>
                <w:highlight w:val="none"/>
                <w:lang w:val="en-US" w:eastAsia="zh-CN" w:bidi="ar"/>
              </w:rPr>
              <w:t>Tc钼锝发生器淋洗工作原理</w:t>
            </w:r>
          </w:p>
          <w:p w14:paraId="6901E642">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本项目SPECT/CT显像诊断使用的</w:t>
            </w:r>
            <w:r>
              <w:rPr>
                <w:rFonts w:hint="default" w:ascii="Times New Roman" w:hAnsi="Times New Roman" w:eastAsia="宋体" w:cs="Times New Roman"/>
                <w:color w:val="auto"/>
                <w:kern w:val="0"/>
                <w:sz w:val="24"/>
                <w:szCs w:val="24"/>
                <w:highlight w:val="none"/>
                <w:vertAlign w:val="superscript"/>
                <w:lang w:val="en-US" w:eastAsia="zh-CN" w:bidi="ar"/>
              </w:rPr>
              <w:t>99m</w:t>
            </w:r>
            <w:r>
              <w:rPr>
                <w:rFonts w:hint="default" w:ascii="Times New Roman" w:hAnsi="Times New Roman" w:eastAsia="宋体" w:cs="Times New Roman"/>
                <w:color w:val="auto"/>
                <w:kern w:val="0"/>
                <w:sz w:val="24"/>
                <w:szCs w:val="24"/>
                <w:highlight w:val="none"/>
                <w:lang w:val="en-US" w:eastAsia="zh-CN" w:bidi="ar"/>
              </w:rPr>
              <w:t>Tc由钼锝发生器淋洗而成，该发生器属于裂变</w:t>
            </w:r>
            <w:r>
              <w:rPr>
                <w:rFonts w:hint="default" w:ascii="Times New Roman" w:hAnsi="Times New Roman" w:eastAsia="宋体" w:cs="Times New Roman"/>
                <w:color w:val="auto"/>
                <w:kern w:val="0"/>
                <w:sz w:val="24"/>
                <w:szCs w:val="24"/>
                <w:highlight w:val="none"/>
                <w:vertAlign w:val="superscript"/>
                <w:lang w:val="en-US" w:eastAsia="zh-CN" w:bidi="ar"/>
              </w:rPr>
              <w:t>99</w:t>
            </w:r>
            <w:r>
              <w:rPr>
                <w:rFonts w:hint="default" w:ascii="Times New Roman" w:hAnsi="Times New Roman" w:eastAsia="宋体" w:cs="Times New Roman"/>
                <w:color w:val="auto"/>
                <w:kern w:val="0"/>
                <w:sz w:val="24"/>
                <w:szCs w:val="24"/>
                <w:highlight w:val="none"/>
                <w:lang w:val="en-US" w:eastAsia="zh-CN" w:bidi="ar"/>
              </w:rPr>
              <w:t>Mo-</w:t>
            </w:r>
            <w:r>
              <w:rPr>
                <w:rFonts w:hint="default" w:ascii="Times New Roman" w:hAnsi="Times New Roman" w:eastAsia="宋体" w:cs="Times New Roman"/>
                <w:color w:val="auto"/>
                <w:kern w:val="0"/>
                <w:sz w:val="24"/>
                <w:szCs w:val="24"/>
                <w:highlight w:val="none"/>
                <w:vertAlign w:val="superscript"/>
                <w:lang w:val="en-US" w:eastAsia="zh-CN" w:bidi="ar"/>
              </w:rPr>
              <w:t>99m</w:t>
            </w:r>
            <w:r>
              <w:rPr>
                <w:rFonts w:hint="default" w:ascii="Times New Roman" w:hAnsi="Times New Roman" w:eastAsia="宋体" w:cs="Times New Roman"/>
                <w:color w:val="auto"/>
                <w:kern w:val="0"/>
                <w:sz w:val="24"/>
                <w:szCs w:val="24"/>
                <w:highlight w:val="none"/>
                <w:lang w:val="en-US" w:eastAsia="zh-CN" w:bidi="ar"/>
              </w:rPr>
              <w:t>Tc色层发生器，基本部件是钼酸锆柱、淋洗系统和用于保护工作人员的辐射屏蔽套。</w:t>
            </w:r>
            <w:r>
              <w:rPr>
                <w:rFonts w:hint="default" w:ascii="Times New Roman" w:hAnsi="Times New Roman" w:eastAsia="宋体" w:cs="Times New Roman"/>
                <w:color w:val="auto"/>
                <w:kern w:val="0"/>
                <w:sz w:val="24"/>
                <w:szCs w:val="24"/>
                <w:highlight w:val="none"/>
                <w:vertAlign w:val="superscript"/>
                <w:lang w:val="en-US" w:eastAsia="zh-CN" w:bidi="ar"/>
              </w:rPr>
              <w:t>99</w:t>
            </w:r>
            <w:r>
              <w:rPr>
                <w:rFonts w:hint="default" w:ascii="Times New Roman" w:hAnsi="Times New Roman" w:eastAsia="宋体" w:cs="Times New Roman"/>
                <w:color w:val="auto"/>
                <w:kern w:val="0"/>
                <w:sz w:val="24"/>
                <w:szCs w:val="24"/>
                <w:highlight w:val="none"/>
                <w:lang w:val="en-US" w:eastAsia="zh-CN" w:bidi="ar"/>
              </w:rPr>
              <w:t>Mo的衰变方式为β-，其衰变过程详见</w:t>
            </w:r>
            <w:r>
              <w:rPr>
                <w:rFonts w:hint="eastAsia" w:cs="Times New Roman"/>
                <w:color w:val="auto"/>
                <w:kern w:val="0"/>
                <w:sz w:val="24"/>
                <w:szCs w:val="24"/>
                <w:highlight w:val="none"/>
                <w:lang w:val="en-US" w:eastAsia="zh-CN" w:bidi="ar"/>
              </w:rPr>
              <w:t>下图</w:t>
            </w:r>
            <w:r>
              <w:rPr>
                <w:rFonts w:hint="default" w:ascii="Times New Roman" w:hAnsi="Times New Roman" w:eastAsia="宋体" w:cs="Times New Roman"/>
                <w:color w:val="auto"/>
                <w:kern w:val="0"/>
                <w:sz w:val="24"/>
                <w:szCs w:val="24"/>
                <w:highlight w:val="none"/>
                <w:lang w:val="en-US" w:eastAsia="zh-CN" w:bidi="ar"/>
              </w:rPr>
              <w:t>。</w:t>
            </w:r>
          </w:p>
          <w:p w14:paraId="6F0B41E8">
            <w:pPr>
              <w:keepNext w:val="0"/>
              <w:keepLines w:val="0"/>
              <w:widowControl w:val="0"/>
              <w:suppressLineNumbers w:val="0"/>
              <w:autoSpaceDE w:val="0"/>
              <w:autoSpaceDN w:val="0"/>
              <w:spacing w:before="0" w:beforeAutospacing="0" w:after="0" w:afterAutospacing="0" w:line="360" w:lineRule="auto"/>
              <w:ind w:left="0" w:right="0" w:firstLine="482" w:firstLineChars="20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kern w:val="0"/>
                <w:sz w:val="24"/>
                <w:szCs w:val="24"/>
                <w:highlight w:val="none"/>
                <w:lang w:val="en-US" w:eastAsia="zh-CN" w:bidi="ar"/>
              </w:rPr>
              <w:t>图9-</w:t>
            </w:r>
            <w:r>
              <w:rPr>
                <w:rFonts w:hint="eastAsia" w:cs="Times New Roman"/>
                <w:b/>
                <w:bCs/>
                <w:color w:val="auto"/>
                <w:kern w:val="0"/>
                <w:sz w:val="24"/>
                <w:szCs w:val="24"/>
                <w:highlight w:val="none"/>
                <w:lang w:val="en-US" w:eastAsia="zh-CN" w:bidi="ar"/>
              </w:rPr>
              <w:t>5</w:t>
            </w:r>
            <w:r>
              <w:rPr>
                <w:rFonts w:hint="default" w:ascii="Times New Roman" w:hAnsi="Times New Roman" w:eastAsia="宋体" w:cs="Times New Roman"/>
                <w:b/>
                <w:bCs/>
                <w:color w:val="auto"/>
                <w:kern w:val="0"/>
                <w:sz w:val="24"/>
                <w:szCs w:val="24"/>
                <w:highlight w:val="none"/>
                <w:lang w:val="en-US" w:eastAsia="zh-CN" w:bidi="ar"/>
              </w:rPr>
              <w:t xml:space="preserve">  钼锝发生器衰变过程图</w:t>
            </w:r>
          </w:p>
          <w:p w14:paraId="7A1BB2DB">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vertAlign w:val="superscript"/>
                <w:lang w:val="en-US" w:eastAsia="zh-CN" w:bidi="ar"/>
              </w:rPr>
              <w:t>99m</w:t>
            </w:r>
            <w:r>
              <w:rPr>
                <w:rFonts w:hint="default" w:ascii="Times New Roman" w:hAnsi="Times New Roman" w:eastAsia="宋体" w:cs="Times New Roman"/>
                <w:color w:val="auto"/>
                <w:kern w:val="0"/>
                <w:sz w:val="24"/>
                <w:szCs w:val="24"/>
                <w:highlight w:val="none"/>
                <w:lang w:val="en-US" w:eastAsia="zh-CN" w:bidi="ar"/>
              </w:rPr>
              <w:t>Tc 由钼酸锆柱内</w:t>
            </w:r>
            <w:r>
              <w:rPr>
                <w:rFonts w:hint="default" w:ascii="Times New Roman" w:hAnsi="Times New Roman" w:eastAsia="宋体" w:cs="Times New Roman"/>
                <w:color w:val="auto"/>
                <w:kern w:val="0"/>
                <w:sz w:val="24"/>
                <w:szCs w:val="24"/>
                <w:highlight w:val="none"/>
                <w:vertAlign w:val="superscript"/>
                <w:lang w:val="en-US" w:eastAsia="zh-CN" w:bidi="ar"/>
              </w:rPr>
              <w:t>99</w:t>
            </w:r>
            <w:r>
              <w:rPr>
                <w:rFonts w:hint="default" w:ascii="Times New Roman" w:hAnsi="Times New Roman" w:eastAsia="宋体" w:cs="Times New Roman"/>
                <w:color w:val="auto"/>
                <w:kern w:val="0"/>
                <w:sz w:val="24"/>
                <w:szCs w:val="24"/>
                <w:highlight w:val="none"/>
                <w:lang w:val="en-US" w:eastAsia="zh-CN" w:bidi="ar"/>
              </w:rPr>
              <w:t>Mo 不断衰变产生，并被钼酸锆柱吸附，当加入适当的淋洗剂时，</w:t>
            </w:r>
            <w:r>
              <w:rPr>
                <w:rFonts w:hint="default" w:ascii="Times New Roman" w:hAnsi="Times New Roman" w:eastAsia="宋体" w:cs="Times New Roman"/>
                <w:color w:val="auto"/>
                <w:kern w:val="0"/>
                <w:sz w:val="24"/>
                <w:szCs w:val="24"/>
                <w:highlight w:val="none"/>
                <w:vertAlign w:val="superscript"/>
                <w:lang w:val="en-US" w:eastAsia="zh-CN" w:bidi="ar"/>
              </w:rPr>
              <w:t>99m</w:t>
            </w:r>
            <w:r>
              <w:rPr>
                <w:rFonts w:hint="default" w:ascii="Times New Roman" w:hAnsi="Times New Roman" w:eastAsia="宋体" w:cs="Times New Roman"/>
                <w:color w:val="auto"/>
                <w:kern w:val="0"/>
                <w:sz w:val="24"/>
                <w:szCs w:val="24"/>
                <w:highlight w:val="none"/>
                <w:lang w:val="en-US" w:eastAsia="zh-CN" w:bidi="ar"/>
              </w:rPr>
              <w:t>Tc 便以</w:t>
            </w:r>
            <w:r>
              <w:rPr>
                <w:rFonts w:hint="default" w:ascii="Times New Roman" w:hAnsi="Times New Roman" w:eastAsia="宋体" w:cs="Times New Roman"/>
                <w:color w:val="auto"/>
                <w:kern w:val="0"/>
                <w:sz w:val="24"/>
                <w:szCs w:val="24"/>
                <w:highlight w:val="none"/>
                <w:vertAlign w:val="superscript"/>
                <w:lang w:val="en-US" w:eastAsia="zh-CN" w:bidi="ar"/>
              </w:rPr>
              <w:t>99m</w:t>
            </w:r>
            <w:r>
              <w:rPr>
                <w:rFonts w:hint="default" w:ascii="Times New Roman" w:hAnsi="Times New Roman" w:eastAsia="宋体" w:cs="Times New Roman"/>
                <w:color w:val="auto"/>
                <w:kern w:val="0"/>
                <w:sz w:val="24"/>
                <w:szCs w:val="24"/>
                <w:highlight w:val="none"/>
                <w:lang w:val="en-US" w:eastAsia="zh-CN" w:bidi="ar"/>
              </w:rPr>
              <w:t>TcO</w:t>
            </w:r>
            <w:r>
              <w:rPr>
                <w:rFonts w:hint="default" w:ascii="Times New Roman" w:hAnsi="Times New Roman" w:eastAsia="宋体" w:cs="Times New Roman"/>
                <w:color w:val="auto"/>
                <w:kern w:val="0"/>
                <w:sz w:val="24"/>
                <w:szCs w:val="24"/>
                <w:highlight w:val="none"/>
                <w:vertAlign w:val="subscript"/>
                <w:lang w:val="en-US" w:eastAsia="zh-CN" w:bidi="ar"/>
              </w:rPr>
              <w:t>4</w:t>
            </w:r>
            <w:r>
              <w:rPr>
                <w:rFonts w:hint="default" w:ascii="Times New Roman" w:hAnsi="Times New Roman" w:eastAsia="宋体" w:cs="Times New Roman"/>
                <w:color w:val="auto"/>
                <w:kern w:val="0"/>
                <w:sz w:val="24"/>
                <w:szCs w:val="24"/>
                <w:highlight w:val="none"/>
                <w:lang w:val="en-US" w:eastAsia="zh-CN" w:bidi="ar"/>
              </w:rPr>
              <w:t>－的形式被淋洗出来，称之为</w:t>
            </w:r>
            <w:r>
              <w:rPr>
                <w:rFonts w:hint="default" w:ascii="Times New Roman" w:hAnsi="Times New Roman" w:eastAsia="宋体" w:cs="Times New Roman"/>
                <w:caps w:val="0"/>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挤奶</w:t>
            </w:r>
            <w:r>
              <w:rPr>
                <w:rFonts w:hint="default" w:ascii="Times New Roman" w:hAnsi="Times New Roman" w:eastAsia="宋体" w:cs="Times New Roman"/>
                <w:caps w:val="0"/>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。为了使用方便，一套钼锝发生器除基本部件外，常附加子体核素（</w:t>
            </w:r>
            <w:r>
              <w:rPr>
                <w:rFonts w:hint="default" w:ascii="Times New Roman" w:hAnsi="Times New Roman" w:eastAsia="宋体" w:cs="Times New Roman"/>
                <w:color w:val="auto"/>
                <w:kern w:val="0"/>
                <w:sz w:val="24"/>
                <w:szCs w:val="24"/>
                <w:highlight w:val="none"/>
                <w:vertAlign w:val="superscript"/>
                <w:lang w:val="en-US" w:eastAsia="zh-CN" w:bidi="ar"/>
              </w:rPr>
              <w:t>99m</w:t>
            </w:r>
            <w:r>
              <w:rPr>
                <w:rFonts w:hint="default" w:ascii="Times New Roman" w:hAnsi="Times New Roman" w:eastAsia="宋体" w:cs="Times New Roman"/>
                <w:color w:val="auto"/>
                <w:kern w:val="0"/>
                <w:sz w:val="24"/>
                <w:szCs w:val="24"/>
                <w:highlight w:val="none"/>
                <w:lang w:val="en-US" w:eastAsia="zh-CN" w:bidi="ar"/>
              </w:rPr>
              <w:t>Tc）溶液接收瓶（即负压瓶）和一定量的淋洗剂（生理盐水）。由于母体核素的不断衰变就不断地产生子体核素，因而核素发生器可以反复淋洗制得子体核素。钼锝发生器的内部结构见</w:t>
            </w:r>
            <w:r>
              <w:rPr>
                <w:rFonts w:hint="eastAsia" w:cs="Times New Roman"/>
                <w:color w:val="auto"/>
                <w:kern w:val="0"/>
                <w:sz w:val="24"/>
                <w:szCs w:val="24"/>
                <w:highlight w:val="none"/>
                <w:lang w:val="en-US" w:eastAsia="zh-CN" w:bidi="ar"/>
              </w:rPr>
              <w:t>下图</w:t>
            </w:r>
            <w:r>
              <w:rPr>
                <w:rFonts w:hint="default" w:ascii="Times New Roman" w:hAnsi="Times New Roman" w:eastAsia="宋体" w:cs="Times New Roman"/>
                <w:color w:val="auto"/>
                <w:kern w:val="0"/>
                <w:sz w:val="24"/>
                <w:szCs w:val="24"/>
                <w:highlight w:val="none"/>
                <w:lang w:val="en-US" w:eastAsia="zh-CN" w:bidi="ar"/>
              </w:rPr>
              <w:t>。</w:t>
            </w:r>
          </w:p>
          <w:p w14:paraId="37D15556">
            <w:pPr>
              <w:keepNext w:val="0"/>
              <w:keepLines w:val="0"/>
              <w:widowControl w:val="0"/>
              <w:suppressLineNumbers w:val="0"/>
              <w:autoSpaceDE w:val="0"/>
              <w:autoSpaceDN w:val="0"/>
              <w:spacing w:before="0" w:beforeAutospacing="0" w:after="0" w:afterAutospacing="0" w:line="360" w:lineRule="auto"/>
              <w:ind w:left="0" w:right="0" w:firstLine="480" w:firstLineChars="20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lang w:val="en-US" w:eastAsia="zh-CN" w:bidi="ar"/>
              </w:rPr>
              <w:t xml:space="preserve"> </w:t>
            </w:r>
          </w:p>
          <w:p w14:paraId="78650B19">
            <w:pPr>
              <w:keepNext w:val="0"/>
              <w:keepLines w:val="0"/>
              <w:widowControl w:val="0"/>
              <w:suppressLineNumbers w:val="0"/>
              <w:autoSpaceDE w:val="0"/>
              <w:autoSpaceDN w:val="0"/>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kern w:val="0"/>
                <w:sz w:val="24"/>
                <w:szCs w:val="24"/>
                <w:highlight w:val="none"/>
                <w:lang w:val="en-US" w:eastAsia="zh-CN" w:bidi="ar"/>
              </w:rPr>
              <w:t>图9-</w:t>
            </w:r>
            <w:r>
              <w:rPr>
                <w:rFonts w:hint="eastAsia" w:cs="Times New Roman"/>
                <w:b/>
                <w:bCs/>
                <w:color w:val="auto"/>
                <w:kern w:val="0"/>
                <w:sz w:val="24"/>
                <w:szCs w:val="24"/>
                <w:highlight w:val="none"/>
                <w:lang w:val="en-US" w:eastAsia="zh-CN" w:bidi="ar"/>
              </w:rPr>
              <w:t>6</w:t>
            </w:r>
            <w:r>
              <w:rPr>
                <w:rFonts w:hint="default" w:ascii="Times New Roman" w:hAnsi="Times New Roman" w:eastAsia="宋体" w:cs="Times New Roman"/>
                <w:b/>
                <w:bCs/>
                <w:color w:val="auto"/>
                <w:kern w:val="0"/>
                <w:sz w:val="24"/>
                <w:szCs w:val="24"/>
                <w:highlight w:val="none"/>
                <w:lang w:val="en-US" w:eastAsia="zh-CN" w:bidi="ar"/>
              </w:rPr>
              <w:t xml:space="preserve">  钼锝发生器的内部结构及实景图</w:t>
            </w:r>
          </w:p>
          <w:p w14:paraId="1B02AD09">
            <w:pPr>
              <w:pStyle w:val="43"/>
              <w:keepNext w:val="0"/>
              <w:keepLines w:val="0"/>
              <w:suppressLineNumbers w:val="0"/>
              <w:spacing w:before="78" w:beforeAutospacing="0" w:after="0" w:afterAutospacing="0" w:line="220" w:lineRule="auto"/>
              <w:ind w:left="115" w:right="0" w:firstLine="474" w:firstLineChars="200"/>
              <w:jc w:val="center"/>
              <w:rPr>
                <w:rFonts w:hint="default" w:ascii="Times New Roman" w:hAnsi="Times New Roman" w:eastAsia="宋体" w:cs="Times New Roman"/>
                <w:b/>
                <w:bCs/>
                <w:color w:val="auto"/>
                <w:spacing w:val="-2"/>
                <w:highlight w:val="none"/>
                <w:lang w:val="en-US" w:eastAsia="zh-CN"/>
              </w:rPr>
            </w:pPr>
            <w:r>
              <w:rPr>
                <w:rFonts w:hint="default" w:ascii="Times New Roman" w:hAnsi="Times New Roman" w:eastAsia="宋体" w:cs="Times New Roman"/>
                <w:b/>
                <w:bCs/>
                <w:color w:val="auto"/>
                <w:spacing w:val="-2"/>
                <w:highlight w:val="none"/>
                <w:lang w:val="en-US" w:eastAsia="zh-CN"/>
              </w:rPr>
              <w:t>表9-</w:t>
            </w:r>
            <w:r>
              <w:rPr>
                <w:rFonts w:hint="eastAsia" w:ascii="Times New Roman" w:hAnsi="Times New Roman" w:cs="Times New Roman"/>
                <w:b/>
                <w:bCs/>
                <w:color w:val="auto"/>
                <w:spacing w:val="-2"/>
                <w:highlight w:val="none"/>
                <w:lang w:val="en-US" w:eastAsia="zh-CN"/>
              </w:rPr>
              <w:t>6</w:t>
            </w:r>
            <w:r>
              <w:rPr>
                <w:rFonts w:hint="default" w:ascii="Times New Roman" w:hAnsi="Times New Roman" w:eastAsia="宋体" w:cs="Times New Roman"/>
                <w:b/>
                <w:bCs/>
                <w:color w:val="auto"/>
                <w:spacing w:val="-2"/>
                <w:highlight w:val="none"/>
                <w:lang w:val="en-US" w:eastAsia="zh-CN"/>
              </w:rPr>
              <w:t xml:space="preserve">  </w:t>
            </w:r>
            <w:r>
              <w:rPr>
                <w:rFonts w:hint="default" w:ascii="Times New Roman" w:hAnsi="Times New Roman" w:cs="Times New Roman"/>
                <w:b/>
                <w:bCs/>
                <w:color w:val="auto"/>
                <w:spacing w:val="-2"/>
                <w:highlight w:val="none"/>
                <w:lang w:val="en-US" w:eastAsia="zh-CN"/>
              </w:rPr>
              <w:t>单光子</w:t>
            </w:r>
            <w:r>
              <w:rPr>
                <w:rFonts w:hint="default" w:ascii="Times New Roman" w:hAnsi="Times New Roman" w:eastAsia="宋体" w:cs="Times New Roman"/>
                <w:b/>
                <w:bCs/>
                <w:color w:val="auto"/>
                <w:spacing w:val="-2"/>
                <w:highlight w:val="none"/>
                <w:lang w:val="en-US" w:eastAsia="zh-CN"/>
              </w:rPr>
              <w:t>药物</w:t>
            </w:r>
            <w:r>
              <w:rPr>
                <w:rFonts w:hint="default" w:ascii="Times New Roman" w:hAnsi="Times New Roman" w:cs="Times New Roman"/>
                <w:b/>
                <w:bCs/>
                <w:color w:val="auto"/>
                <w:spacing w:val="-2"/>
                <w:highlight w:val="none"/>
                <w:lang w:val="en-US" w:eastAsia="zh-CN"/>
              </w:rPr>
              <w:t>制备核素使用</w:t>
            </w:r>
            <w:r>
              <w:rPr>
                <w:rFonts w:hint="default" w:ascii="Times New Roman" w:hAnsi="Times New Roman" w:eastAsia="宋体" w:cs="Times New Roman"/>
                <w:b/>
                <w:bCs/>
                <w:color w:val="auto"/>
                <w:spacing w:val="-2"/>
                <w:highlight w:val="none"/>
                <w:lang w:val="en-US" w:eastAsia="zh-CN"/>
              </w:rPr>
              <w:t>情况</w:t>
            </w:r>
            <w:r>
              <w:rPr>
                <w:rFonts w:hint="default" w:ascii="Times New Roman" w:hAnsi="Times New Roman" w:cs="Times New Roman"/>
                <w:b/>
                <w:bCs/>
                <w:color w:val="auto"/>
                <w:spacing w:val="-2"/>
                <w:highlight w:val="none"/>
                <w:lang w:val="en-US" w:eastAsia="zh-CN"/>
              </w:rPr>
              <w:t>（锝）</w:t>
            </w:r>
          </w:p>
          <w:tbl>
            <w:tblPr>
              <w:tblStyle w:val="22"/>
              <w:tblW w:w="4870"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1417"/>
              <w:gridCol w:w="2465"/>
              <w:gridCol w:w="4935"/>
            </w:tblGrid>
            <w:tr w14:paraId="0404DB6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401" w:hRule="atLeast"/>
                <w:jc w:val="center"/>
              </w:trPr>
              <w:tc>
                <w:tcPr>
                  <w:tcW w:w="803" w:type="pct"/>
                  <w:tcBorders>
                    <w:tl2br w:val="nil"/>
                    <w:tr2bl w:val="nil"/>
                  </w:tcBorders>
                  <w:shd w:val="clear" w:color="auto" w:fill="auto"/>
                  <w:tcMar>
                    <w:top w:w="120" w:type="dxa"/>
                    <w:left w:w="120" w:type="dxa"/>
                    <w:bottom w:w="120" w:type="dxa"/>
                    <w:right w:w="120" w:type="dxa"/>
                  </w:tcMar>
                  <w:vAlign w:val="center"/>
                </w:tcPr>
                <w:p w14:paraId="107015EA">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序号</w:t>
                  </w:r>
                </w:p>
              </w:tc>
              <w:tc>
                <w:tcPr>
                  <w:tcW w:w="1397" w:type="pct"/>
                  <w:tcBorders>
                    <w:tl2br w:val="nil"/>
                    <w:tr2bl w:val="nil"/>
                  </w:tcBorders>
                  <w:shd w:val="clear" w:color="auto" w:fill="auto"/>
                  <w:tcMar>
                    <w:top w:w="120" w:type="dxa"/>
                    <w:left w:w="120" w:type="dxa"/>
                    <w:bottom w:w="120" w:type="dxa"/>
                    <w:right w:w="120" w:type="dxa"/>
                  </w:tcMar>
                  <w:vAlign w:val="center"/>
                </w:tcPr>
                <w:p w14:paraId="6757D8D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核素</w:t>
                  </w:r>
                </w:p>
              </w:tc>
              <w:tc>
                <w:tcPr>
                  <w:tcW w:w="2798" w:type="pct"/>
                  <w:tcBorders>
                    <w:tl2br w:val="nil"/>
                    <w:tr2bl w:val="nil"/>
                  </w:tcBorders>
                  <w:shd w:val="clear" w:color="auto" w:fill="auto"/>
                  <w:tcMar>
                    <w:top w:w="120" w:type="dxa"/>
                    <w:left w:w="120" w:type="dxa"/>
                    <w:bottom w:w="120" w:type="dxa"/>
                    <w:right w:w="120" w:type="dxa"/>
                  </w:tcMar>
                  <w:vAlign w:val="center"/>
                </w:tcPr>
                <w:p w14:paraId="459E99CE">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使用情况</w:t>
                  </w:r>
                </w:p>
              </w:tc>
            </w:tr>
            <w:tr w14:paraId="5C7E7C9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82" w:hRule="atLeast"/>
                <w:jc w:val="center"/>
              </w:trPr>
              <w:tc>
                <w:tcPr>
                  <w:tcW w:w="803" w:type="pct"/>
                  <w:tcBorders>
                    <w:tl2br w:val="nil"/>
                    <w:tr2bl w:val="nil"/>
                  </w:tcBorders>
                  <w:shd w:val="clear" w:color="auto" w:fill="auto"/>
                  <w:tcMar>
                    <w:top w:w="120" w:type="dxa"/>
                    <w:left w:w="120" w:type="dxa"/>
                    <w:bottom w:w="120" w:type="dxa"/>
                    <w:right w:w="120" w:type="dxa"/>
                  </w:tcMar>
                  <w:vAlign w:val="center"/>
                </w:tcPr>
                <w:p w14:paraId="5EF1553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w:t>
                  </w:r>
                </w:p>
              </w:tc>
              <w:tc>
                <w:tcPr>
                  <w:tcW w:w="1397" w:type="pct"/>
                  <w:tcBorders>
                    <w:tl2br w:val="nil"/>
                    <w:tr2bl w:val="nil"/>
                  </w:tcBorders>
                  <w:shd w:val="clear" w:color="auto" w:fill="auto"/>
                  <w:tcMar>
                    <w:top w:w="120" w:type="dxa"/>
                    <w:left w:w="120" w:type="dxa"/>
                    <w:bottom w:w="120" w:type="dxa"/>
                    <w:right w:w="120" w:type="dxa"/>
                  </w:tcMar>
                  <w:vAlign w:val="center"/>
                </w:tcPr>
                <w:p w14:paraId="7D3315C4">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Mo-99(Tc-99m)</w:t>
                  </w:r>
                </w:p>
              </w:tc>
              <w:tc>
                <w:tcPr>
                  <w:tcW w:w="2798" w:type="pct"/>
                  <w:tcBorders>
                    <w:tl2br w:val="nil"/>
                    <w:tr2bl w:val="nil"/>
                  </w:tcBorders>
                  <w:shd w:val="clear" w:color="auto" w:fill="auto"/>
                  <w:tcMar>
                    <w:top w:w="120" w:type="dxa"/>
                    <w:left w:w="120" w:type="dxa"/>
                    <w:bottom w:w="120" w:type="dxa"/>
                    <w:right w:w="120" w:type="dxa"/>
                  </w:tcMar>
                  <w:vAlign w:val="center"/>
                </w:tcPr>
                <w:p w14:paraId="755AE1A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8.22E+10 Bq（</w:t>
                  </w:r>
                  <w:r>
                    <w:rPr>
                      <w:rFonts w:hint="default" w:ascii="Times New Roman" w:hAnsi="Times New Roman" w:eastAsia="宋体" w:cs="Times New Roman"/>
                      <w:color w:val="auto"/>
                      <w:kern w:val="0"/>
                      <w:sz w:val="20"/>
                      <w:szCs w:val="21"/>
                      <w:highlight w:val="none"/>
                      <w:lang w:val="en-US" w:eastAsia="zh-CN"/>
                    </w:rPr>
                    <w:t>2222.22mCi</w:t>
                  </w:r>
                  <w:r>
                    <w:rPr>
                      <w:rFonts w:hint="default" w:ascii="Times New Roman" w:hAnsi="Times New Roman" w:cs="Times New Roman"/>
                      <w:color w:val="auto"/>
                      <w:kern w:val="0"/>
                      <w:sz w:val="20"/>
                      <w:szCs w:val="21"/>
                      <w:highlight w:val="none"/>
                      <w:lang w:val="en-US" w:eastAsia="zh-CN"/>
                    </w:rPr>
                    <w:t>）</w:t>
                  </w:r>
                </w:p>
              </w:tc>
            </w:tr>
            <w:tr w14:paraId="4B4F9C2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411" w:hRule="atLeast"/>
                <w:jc w:val="center"/>
              </w:trPr>
              <w:tc>
                <w:tcPr>
                  <w:tcW w:w="803" w:type="pct"/>
                  <w:tcBorders>
                    <w:tl2br w:val="nil"/>
                    <w:tr2bl w:val="nil"/>
                  </w:tcBorders>
                  <w:shd w:val="clear" w:color="auto" w:fill="auto"/>
                  <w:tcMar>
                    <w:top w:w="120" w:type="dxa"/>
                    <w:left w:w="120" w:type="dxa"/>
                    <w:bottom w:w="120" w:type="dxa"/>
                    <w:right w:w="120" w:type="dxa"/>
                  </w:tcMar>
                  <w:vAlign w:val="center"/>
                </w:tcPr>
                <w:p w14:paraId="376F53C6">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2</w:t>
                  </w:r>
                </w:p>
              </w:tc>
              <w:tc>
                <w:tcPr>
                  <w:tcW w:w="1397" w:type="pct"/>
                  <w:tcBorders>
                    <w:tl2br w:val="nil"/>
                    <w:tr2bl w:val="nil"/>
                  </w:tcBorders>
                  <w:shd w:val="clear" w:color="auto" w:fill="auto"/>
                  <w:tcMar>
                    <w:top w:w="120" w:type="dxa"/>
                    <w:left w:w="120" w:type="dxa"/>
                    <w:bottom w:w="120" w:type="dxa"/>
                    <w:right w:w="120" w:type="dxa"/>
                  </w:tcMar>
                  <w:vAlign w:val="center"/>
                </w:tcPr>
                <w:p w14:paraId="60B4D416">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bidi="ar-SA"/>
                    </w:rPr>
                  </w:pPr>
                  <w:r>
                    <w:rPr>
                      <w:rFonts w:hint="default" w:ascii="Times New Roman" w:hAnsi="Times New Roman" w:eastAsia="宋体" w:cs="Times New Roman"/>
                      <w:color w:val="auto"/>
                      <w:kern w:val="0"/>
                      <w:sz w:val="20"/>
                      <w:szCs w:val="21"/>
                      <w:highlight w:val="none"/>
                      <w:lang w:val="en-US" w:eastAsia="zh-CN"/>
                    </w:rPr>
                    <w:t>Tc-99m</w:t>
                  </w:r>
                </w:p>
              </w:tc>
              <w:tc>
                <w:tcPr>
                  <w:tcW w:w="2798" w:type="pct"/>
                  <w:tcBorders>
                    <w:tl2br w:val="nil"/>
                    <w:tr2bl w:val="nil"/>
                  </w:tcBorders>
                  <w:shd w:val="clear" w:color="auto" w:fill="auto"/>
                  <w:tcMar>
                    <w:top w:w="120" w:type="dxa"/>
                    <w:left w:w="120" w:type="dxa"/>
                    <w:bottom w:w="120" w:type="dxa"/>
                    <w:right w:w="120" w:type="dxa"/>
                  </w:tcMar>
                  <w:vAlign w:val="center"/>
                </w:tcPr>
                <w:p w14:paraId="747AE006">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bidi="ar-SA"/>
                    </w:rPr>
                  </w:pPr>
                  <w:r>
                    <w:rPr>
                      <w:rFonts w:hint="default" w:ascii="Times New Roman" w:hAnsi="Times New Roman" w:eastAsia="宋体" w:cs="Times New Roman"/>
                      <w:color w:val="auto"/>
                      <w:kern w:val="0"/>
                      <w:sz w:val="20"/>
                      <w:szCs w:val="21"/>
                      <w:highlight w:val="none"/>
                      <w:lang w:val="en-US" w:eastAsia="zh-CN" w:bidi="ar-SA"/>
                    </w:rPr>
                    <w:t>7.40E+10 Bq（2000mCi）</w:t>
                  </w:r>
                </w:p>
              </w:tc>
            </w:tr>
          </w:tbl>
          <w:p w14:paraId="00111515">
            <w:pPr>
              <w:pStyle w:val="43"/>
              <w:keepNext w:val="0"/>
              <w:keepLines w:val="0"/>
              <w:suppressLineNumbers w:val="0"/>
              <w:spacing w:before="78" w:beforeAutospacing="0" w:after="0" w:afterAutospacing="0" w:line="220" w:lineRule="auto"/>
              <w:ind w:left="0" w:right="0"/>
              <w:jc w:val="left"/>
              <w:rPr>
                <w:rFonts w:hint="default" w:ascii="Times New Roman" w:hAnsi="Times New Roman" w:eastAsia="Times New Roman" w:cs="Times New Roman"/>
                <w:b/>
                <w:bCs/>
                <w:color w:val="auto"/>
                <w:spacing w:val="-2"/>
                <w:sz w:val="21"/>
                <w:szCs w:val="21"/>
                <w:highlight w:val="none"/>
                <w:lang w:val="en-US" w:eastAsia="zh-CN"/>
              </w:rPr>
            </w:pPr>
            <w:r>
              <w:rPr>
                <w:rFonts w:hint="default" w:ascii="Times New Roman" w:hAnsi="Times New Roman" w:eastAsia="Times New Roman" w:cs="Times New Roman"/>
                <w:b/>
                <w:bCs/>
                <w:color w:val="auto"/>
                <w:spacing w:val="-2"/>
                <w:sz w:val="21"/>
                <w:szCs w:val="21"/>
                <w:highlight w:val="none"/>
                <w:lang w:val="en-US" w:eastAsia="zh-CN"/>
              </w:rPr>
              <w:t>注：钼锝发生器淋洗效率按90%计算。</w:t>
            </w:r>
          </w:p>
          <w:p w14:paraId="48F3B9AD">
            <w:pPr>
              <w:pStyle w:val="43"/>
              <w:keepNext w:val="0"/>
              <w:keepLines w:val="0"/>
              <w:suppressLineNumbers w:val="0"/>
              <w:spacing w:before="78" w:beforeAutospacing="0" w:after="0" w:afterAutospacing="0" w:line="220" w:lineRule="auto"/>
              <w:ind w:left="115" w:right="0" w:firstLine="472" w:firstLineChars="200"/>
              <w:jc w:val="center"/>
              <w:rPr>
                <w:rFonts w:hint="default" w:ascii="Times New Roman" w:hAnsi="Times New Roman" w:eastAsia="Times New Roman" w:cs="Times New Roman"/>
                <w:b/>
                <w:bCs/>
                <w:color w:val="auto"/>
                <w:spacing w:val="-2"/>
                <w:highlight w:val="none"/>
                <w:lang w:val="en-US"/>
              </w:rPr>
            </w:pPr>
            <w:r>
              <w:rPr>
                <w:rFonts w:hint="default" w:ascii="Times New Roman" w:hAnsi="Times New Roman" w:eastAsia="Times New Roman" w:cs="Times New Roman"/>
                <w:b/>
                <w:bCs/>
                <w:color w:val="auto"/>
                <w:spacing w:val="-2"/>
                <w:highlight w:val="none"/>
                <w:lang w:val="en-US" w:eastAsia="zh-CN"/>
              </w:rPr>
              <w:t>表9-</w:t>
            </w:r>
            <w:r>
              <w:rPr>
                <w:rFonts w:hint="eastAsia" w:ascii="Times New Roman" w:hAnsi="Times New Roman" w:eastAsia="Times New Roman" w:cs="Times New Roman"/>
                <w:b/>
                <w:bCs/>
                <w:color w:val="auto"/>
                <w:spacing w:val="-2"/>
                <w:highlight w:val="none"/>
                <w:lang w:val="en-US" w:eastAsia="zh-CN"/>
              </w:rPr>
              <w:t>7</w:t>
            </w:r>
            <w:r>
              <w:rPr>
                <w:rFonts w:hint="default" w:ascii="Times New Roman" w:hAnsi="Times New Roman" w:eastAsia="Times New Roman" w:cs="Times New Roman"/>
                <w:b/>
                <w:bCs/>
                <w:color w:val="auto"/>
                <w:spacing w:val="-2"/>
                <w:highlight w:val="none"/>
                <w:lang w:val="en-US" w:eastAsia="zh-CN"/>
              </w:rPr>
              <w:t xml:space="preserve">   单光子药物诊断使用情况（锝）</w:t>
            </w:r>
          </w:p>
          <w:tbl>
            <w:tblPr>
              <w:tblStyle w:val="30"/>
              <w:tblW w:w="9068" w:type="dxa"/>
              <w:tblInd w:w="5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75"/>
              <w:gridCol w:w="1314"/>
              <w:gridCol w:w="1969"/>
              <w:gridCol w:w="1300"/>
              <w:gridCol w:w="1078"/>
              <w:gridCol w:w="1263"/>
              <w:gridCol w:w="1169"/>
            </w:tblGrid>
            <w:tr w14:paraId="43EA65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tcBorders>
                    <w:tl2br w:val="nil"/>
                    <w:tr2bl w:val="nil"/>
                  </w:tcBorders>
                  <w:vAlign w:val="center"/>
                </w:tcPr>
                <w:p w14:paraId="0DB6A3B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工作场所</w:t>
                  </w:r>
                </w:p>
              </w:tc>
              <w:tc>
                <w:tcPr>
                  <w:tcW w:w="1314" w:type="dxa"/>
                  <w:tcBorders>
                    <w:tl2br w:val="nil"/>
                    <w:tr2bl w:val="nil"/>
                  </w:tcBorders>
                  <w:vAlign w:val="center"/>
                </w:tcPr>
                <w:p w14:paraId="4B28B29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核素</w:t>
                  </w:r>
                </w:p>
              </w:tc>
              <w:tc>
                <w:tcPr>
                  <w:tcW w:w="1969" w:type="dxa"/>
                  <w:tcBorders>
                    <w:tl2br w:val="nil"/>
                    <w:tr2bl w:val="nil"/>
                  </w:tcBorders>
                  <w:vAlign w:val="center"/>
                </w:tcPr>
                <w:p w14:paraId="29712DA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单人最大用药量</w:t>
                  </w:r>
                </w:p>
                <w:p w14:paraId="11679AB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（Bq/人·次）</w:t>
                  </w:r>
                </w:p>
              </w:tc>
              <w:tc>
                <w:tcPr>
                  <w:tcW w:w="1300" w:type="dxa"/>
                  <w:tcBorders>
                    <w:tl2br w:val="nil"/>
                    <w:tr2bl w:val="nil"/>
                  </w:tcBorders>
                  <w:vAlign w:val="center"/>
                </w:tcPr>
                <w:p w14:paraId="0A431272">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日最大门诊量（人次）</w:t>
                  </w:r>
                </w:p>
              </w:tc>
              <w:tc>
                <w:tcPr>
                  <w:tcW w:w="1078" w:type="dxa"/>
                  <w:tcBorders>
                    <w:tl2br w:val="nil"/>
                    <w:tr2bl w:val="nil"/>
                  </w:tcBorders>
                  <w:vAlign w:val="center"/>
                </w:tcPr>
                <w:p w14:paraId="45ABE159">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年工作时间（天）</w:t>
                  </w:r>
                </w:p>
              </w:tc>
              <w:tc>
                <w:tcPr>
                  <w:tcW w:w="1263" w:type="dxa"/>
                  <w:tcBorders>
                    <w:tl2br w:val="nil"/>
                    <w:tr2bl w:val="nil"/>
                  </w:tcBorders>
                  <w:vAlign w:val="center"/>
                </w:tcPr>
                <w:p w14:paraId="1BDE8F2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日最大操作量</w:t>
                  </w:r>
                </w:p>
                <w:p w14:paraId="20594A44">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（Bq）</w:t>
                  </w:r>
                </w:p>
              </w:tc>
              <w:tc>
                <w:tcPr>
                  <w:tcW w:w="1169" w:type="dxa"/>
                  <w:tcBorders>
                    <w:tl2br w:val="nil"/>
                    <w:tr2bl w:val="nil"/>
                  </w:tcBorders>
                  <w:vAlign w:val="center"/>
                </w:tcPr>
                <w:p w14:paraId="79707843">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年最大使用量（Bq）</w:t>
                  </w:r>
                </w:p>
              </w:tc>
            </w:tr>
            <w:tr w14:paraId="07DAA1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tcBorders>
                    <w:tl2br w:val="nil"/>
                    <w:tr2bl w:val="nil"/>
                  </w:tcBorders>
                  <w:vAlign w:val="center"/>
                </w:tcPr>
                <w:p w14:paraId="15C8430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zh-CN"/>
                    </w:rPr>
                  </w:pPr>
                  <w:r>
                    <w:rPr>
                      <w:rFonts w:hint="default" w:ascii="Times New Roman" w:hAnsi="Times New Roman" w:cs="Times New Roman"/>
                      <w:color w:val="auto"/>
                      <w:kern w:val="0"/>
                      <w:sz w:val="18"/>
                      <w:szCs w:val="20"/>
                      <w:highlight w:val="none"/>
                      <w:lang w:val="en-US" w:eastAsia="zh-CN"/>
                    </w:rPr>
                    <w:t>SPECT诊断区</w:t>
                  </w:r>
                </w:p>
              </w:tc>
              <w:tc>
                <w:tcPr>
                  <w:tcW w:w="1314" w:type="dxa"/>
                  <w:tcBorders>
                    <w:tl2br w:val="nil"/>
                    <w:tr2bl w:val="nil"/>
                  </w:tcBorders>
                  <w:shd w:val="clear" w:color="auto" w:fill="auto"/>
                  <w:vAlign w:val="center"/>
                </w:tcPr>
                <w:p w14:paraId="0A9EAD15">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en-US"/>
                    </w:rPr>
                    <w:t>Tc-99m</w:t>
                  </w:r>
                </w:p>
              </w:tc>
              <w:tc>
                <w:tcPr>
                  <w:tcW w:w="1969" w:type="dxa"/>
                  <w:tcBorders>
                    <w:tl2br w:val="nil"/>
                    <w:tr2bl w:val="nil"/>
                  </w:tcBorders>
                  <w:vAlign w:val="center"/>
                </w:tcPr>
                <w:p w14:paraId="35A01313">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7.40E+08Bq（20mCi）</w:t>
                  </w:r>
                </w:p>
              </w:tc>
              <w:tc>
                <w:tcPr>
                  <w:tcW w:w="1300" w:type="dxa"/>
                  <w:tcBorders>
                    <w:tl2br w:val="nil"/>
                    <w:tr2bl w:val="nil"/>
                  </w:tcBorders>
                  <w:shd w:val="clear" w:color="auto" w:fill="auto"/>
                  <w:vAlign w:val="center"/>
                </w:tcPr>
                <w:p w14:paraId="5B2EA420">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100</w:t>
                  </w:r>
                </w:p>
              </w:tc>
              <w:tc>
                <w:tcPr>
                  <w:tcW w:w="1078" w:type="dxa"/>
                  <w:tcBorders>
                    <w:tl2br w:val="nil"/>
                    <w:tr2bl w:val="nil"/>
                  </w:tcBorders>
                  <w:shd w:val="clear" w:color="auto" w:fill="auto"/>
                  <w:vAlign w:val="center"/>
                </w:tcPr>
                <w:p w14:paraId="6989182C">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250</w:t>
                  </w:r>
                </w:p>
              </w:tc>
              <w:tc>
                <w:tcPr>
                  <w:tcW w:w="1263" w:type="dxa"/>
                  <w:tcBorders>
                    <w:tl2br w:val="nil"/>
                    <w:tr2bl w:val="nil"/>
                  </w:tcBorders>
                  <w:shd w:val="clear" w:color="auto" w:fill="auto"/>
                  <w:vAlign w:val="center"/>
                </w:tcPr>
                <w:p w14:paraId="72FD0179">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7.40E+10</w:t>
                  </w:r>
                </w:p>
              </w:tc>
              <w:tc>
                <w:tcPr>
                  <w:tcW w:w="1169" w:type="dxa"/>
                  <w:tcBorders>
                    <w:tl2br w:val="nil"/>
                    <w:tr2bl w:val="nil"/>
                  </w:tcBorders>
                  <w:shd w:val="clear" w:color="auto" w:fill="auto"/>
                  <w:vAlign w:val="center"/>
                </w:tcPr>
                <w:p w14:paraId="623BD421">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1.85E+13</w:t>
                  </w:r>
                </w:p>
              </w:tc>
            </w:tr>
          </w:tbl>
          <w:p w14:paraId="64B5410E">
            <w:pPr>
              <w:pStyle w:val="14"/>
              <w:keepNext w:val="0"/>
              <w:keepLines w:val="0"/>
              <w:suppressLineNumbers w:val="0"/>
              <w:spacing w:before="0" w:beforeAutospacing="0" w:after="0" w:afterAutospacing="0"/>
              <w:ind w:left="0" w:right="0"/>
              <w:jc w:val="center"/>
              <w:rPr>
                <w:rFonts w:hint="default" w:ascii="Times New Roman" w:hAnsi="Times New Roman" w:cs="Times New Roman"/>
                <w:b/>
                <w:bCs/>
                <w:color w:val="auto"/>
                <w:sz w:val="24"/>
                <w:szCs w:val="21"/>
                <w:highlight w:val="none"/>
              </w:rPr>
            </w:pPr>
            <w:r>
              <w:rPr>
                <w:rFonts w:hint="default" w:ascii="Times New Roman" w:hAnsi="Times New Roman" w:cs="Times New Roman"/>
                <w:b/>
                <w:bCs/>
                <w:color w:val="auto"/>
                <w:sz w:val="24"/>
                <w:szCs w:val="21"/>
                <w:highlight w:val="none"/>
              </w:rPr>
              <w:t>表9-</w:t>
            </w:r>
            <w:r>
              <w:rPr>
                <w:rFonts w:hint="eastAsia" w:ascii="Times New Roman" w:hAnsi="Times New Roman" w:cs="Times New Roman"/>
                <w:b/>
                <w:bCs/>
                <w:color w:val="auto"/>
                <w:sz w:val="24"/>
                <w:szCs w:val="21"/>
                <w:highlight w:val="none"/>
                <w:lang w:val="en-US" w:eastAsia="zh-CN"/>
              </w:rPr>
              <w:t>8</w:t>
            </w:r>
            <w:r>
              <w:rPr>
                <w:rFonts w:hint="default" w:ascii="Times New Roman" w:hAnsi="Times New Roman" w:cs="Times New Roman"/>
                <w:b/>
                <w:bCs/>
                <w:color w:val="auto"/>
                <w:sz w:val="24"/>
                <w:szCs w:val="21"/>
                <w:highlight w:val="none"/>
              </w:rPr>
              <w:t xml:space="preserve">  </w:t>
            </w:r>
            <w:r>
              <w:rPr>
                <w:rFonts w:hint="default" w:ascii="Times New Roman" w:hAnsi="Times New Roman" w:cs="Times New Roman"/>
                <w:b/>
                <w:bCs/>
                <w:color w:val="auto"/>
                <w:sz w:val="24"/>
                <w:szCs w:val="21"/>
                <w:highlight w:val="none"/>
                <w:vertAlign w:val="superscript"/>
                <w:lang w:eastAsia="en-US"/>
              </w:rPr>
              <w:t>99m</w:t>
            </w:r>
            <w:r>
              <w:rPr>
                <w:rFonts w:hint="default" w:ascii="Times New Roman" w:hAnsi="Times New Roman" w:cs="Times New Roman"/>
                <w:b/>
                <w:bCs/>
                <w:color w:val="auto"/>
                <w:sz w:val="24"/>
                <w:szCs w:val="21"/>
                <w:highlight w:val="none"/>
                <w:lang w:eastAsia="en-US"/>
              </w:rPr>
              <w:t>Tc</w:t>
            </w:r>
            <w:r>
              <w:rPr>
                <w:rFonts w:hint="default" w:ascii="Times New Roman" w:hAnsi="Times New Roman" w:cs="Times New Roman"/>
                <w:b/>
                <w:bCs/>
                <w:color w:val="auto"/>
                <w:sz w:val="24"/>
                <w:szCs w:val="21"/>
                <w:highlight w:val="none"/>
              </w:rPr>
              <w:t>源项参数</w:t>
            </w:r>
          </w:p>
          <w:tbl>
            <w:tblPr>
              <w:tblStyle w:val="30"/>
              <w:tblW w:w="9021" w:type="dxa"/>
              <w:tblInd w:w="2"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851"/>
              <w:gridCol w:w="849"/>
              <w:gridCol w:w="851"/>
              <w:gridCol w:w="1132"/>
              <w:gridCol w:w="1393"/>
              <w:gridCol w:w="1770"/>
              <w:gridCol w:w="2175"/>
            </w:tblGrid>
            <w:tr w14:paraId="7A5BCE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51" w:type="dxa"/>
                  <w:tcBorders>
                    <w:tl2br w:val="nil"/>
                    <w:tr2bl w:val="nil"/>
                  </w:tcBorders>
                  <w:vAlign w:val="center"/>
                </w:tcPr>
                <w:p w14:paraId="4CAC030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val="en-US" w:eastAsia="en-US"/>
                    </w:rPr>
                  </w:pPr>
                  <w:r>
                    <w:rPr>
                      <w:rFonts w:hint="default" w:ascii="Times New Roman" w:hAnsi="Times New Roman" w:cs="Times New Roman"/>
                      <w:color w:val="auto"/>
                      <w:sz w:val="21"/>
                      <w:szCs w:val="20"/>
                      <w:highlight w:val="none"/>
                      <w:lang w:val="en-US" w:eastAsia="en-US"/>
                    </w:rPr>
                    <w:t>核素名称</w:t>
                  </w:r>
                </w:p>
              </w:tc>
              <w:tc>
                <w:tcPr>
                  <w:tcW w:w="849" w:type="dxa"/>
                  <w:tcBorders>
                    <w:tl2br w:val="nil"/>
                    <w:tr2bl w:val="nil"/>
                  </w:tcBorders>
                  <w:vAlign w:val="center"/>
                </w:tcPr>
                <w:p w14:paraId="73FC4F79">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val="en-US" w:eastAsia="en-US"/>
                    </w:rPr>
                  </w:pPr>
                  <w:r>
                    <w:rPr>
                      <w:rFonts w:hint="default" w:ascii="Times New Roman" w:hAnsi="Times New Roman" w:cs="Times New Roman"/>
                      <w:color w:val="auto"/>
                      <w:sz w:val="21"/>
                      <w:szCs w:val="20"/>
                      <w:highlight w:val="none"/>
                      <w:lang w:val="en-US" w:eastAsia="en-US"/>
                    </w:rPr>
                    <w:t>状态</w:t>
                  </w:r>
                </w:p>
              </w:tc>
              <w:tc>
                <w:tcPr>
                  <w:tcW w:w="851" w:type="dxa"/>
                  <w:tcBorders>
                    <w:tl2br w:val="nil"/>
                    <w:tr2bl w:val="nil"/>
                  </w:tcBorders>
                  <w:vAlign w:val="center"/>
                </w:tcPr>
                <w:p w14:paraId="325A55F7">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val="en-US" w:eastAsia="en-US"/>
                    </w:rPr>
                  </w:pPr>
                  <w:r>
                    <w:rPr>
                      <w:rFonts w:hint="default" w:ascii="Times New Roman" w:hAnsi="Times New Roman" w:cs="Times New Roman"/>
                      <w:color w:val="auto"/>
                      <w:sz w:val="21"/>
                      <w:szCs w:val="20"/>
                      <w:highlight w:val="none"/>
                      <w:lang w:val="en-US" w:eastAsia="en-US"/>
                    </w:rPr>
                    <w:t>半衰期</w:t>
                  </w:r>
                </w:p>
              </w:tc>
              <w:tc>
                <w:tcPr>
                  <w:tcW w:w="1132" w:type="dxa"/>
                  <w:tcBorders>
                    <w:tl2br w:val="nil"/>
                    <w:tr2bl w:val="nil"/>
                  </w:tcBorders>
                  <w:vAlign w:val="center"/>
                </w:tcPr>
                <w:p w14:paraId="73D424E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val="en-US" w:eastAsia="en-US"/>
                    </w:rPr>
                  </w:pPr>
                  <w:r>
                    <w:rPr>
                      <w:rFonts w:hint="default" w:ascii="Times New Roman" w:hAnsi="Times New Roman" w:cs="Times New Roman"/>
                      <w:color w:val="auto"/>
                      <w:sz w:val="21"/>
                      <w:szCs w:val="20"/>
                      <w:highlight w:val="none"/>
                      <w:lang w:val="en-US" w:eastAsia="en-US"/>
                    </w:rPr>
                    <w:t>毒性组别</w:t>
                  </w:r>
                </w:p>
              </w:tc>
              <w:tc>
                <w:tcPr>
                  <w:tcW w:w="1393" w:type="dxa"/>
                  <w:tcBorders>
                    <w:tl2br w:val="nil"/>
                    <w:tr2bl w:val="nil"/>
                  </w:tcBorders>
                  <w:vAlign w:val="center"/>
                </w:tcPr>
                <w:p w14:paraId="5146A70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val="en-US" w:eastAsia="en-US"/>
                    </w:rPr>
                  </w:pPr>
                  <w:r>
                    <w:rPr>
                      <w:rFonts w:hint="default" w:ascii="Times New Roman" w:hAnsi="Times New Roman" w:cs="Times New Roman"/>
                      <w:color w:val="auto"/>
                      <w:sz w:val="21"/>
                      <w:szCs w:val="20"/>
                      <w:highlight w:val="none"/>
                      <w:lang w:val="en-US" w:eastAsia="en-US"/>
                    </w:rPr>
                    <w:t>衰变方式</w:t>
                  </w:r>
                </w:p>
              </w:tc>
              <w:tc>
                <w:tcPr>
                  <w:tcW w:w="1770" w:type="dxa"/>
                  <w:tcBorders>
                    <w:tl2br w:val="nil"/>
                    <w:tr2bl w:val="nil"/>
                  </w:tcBorders>
                  <w:vAlign w:val="center"/>
                </w:tcPr>
                <w:p w14:paraId="656645D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val="en-US" w:eastAsia="en-US"/>
                    </w:rPr>
                  </w:pPr>
                  <w:r>
                    <w:rPr>
                      <w:rFonts w:hint="default" w:ascii="Times New Roman" w:hAnsi="Times New Roman" w:cs="Times New Roman"/>
                      <w:color w:val="auto"/>
                      <w:sz w:val="21"/>
                      <w:szCs w:val="20"/>
                      <w:highlight w:val="none"/>
                      <w:lang w:val="en-US" w:eastAsia="en-US"/>
                    </w:rPr>
                    <w:t>主要射线和能量（MeV）</w:t>
                  </w:r>
                </w:p>
              </w:tc>
              <w:tc>
                <w:tcPr>
                  <w:tcW w:w="2175" w:type="dxa"/>
                  <w:tcBorders>
                    <w:tl2br w:val="nil"/>
                    <w:tr2bl w:val="nil"/>
                  </w:tcBorders>
                  <w:vAlign w:val="center"/>
                </w:tcPr>
                <w:p w14:paraId="4A94DD0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val="en-US" w:eastAsia="en-US"/>
                    </w:rPr>
                  </w:pPr>
                  <w:r>
                    <w:rPr>
                      <w:rFonts w:hint="default" w:ascii="Times New Roman" w:hAnsi="Times New Roman" w:cs="Times New Roman"/>
                      <w:color w:val="auto"/>
                      <w:sz w:val="21"/>
                      <w:szCs w:val="20"/>
                      <w:highlight w:val="none"/>
                      <w:lang w:val="en-US" w:eastAsia="en-US"/>
                    </w:rPr>
                    <w:t>空气比释动能率常数(μGy·m</w:t>
                  </w:r>
                  <w:r>
                    <w:rPr>
                      <w:rFonts w:hint="default" w:ascii="Times New Roman" w:hAnsi="Times New Roman" w:cs="Times New Roman"/>
                      <w:color w:val="auto"/>
                      <w:sz w:val="21"/>
                      <w:szCs w:val="20"/>
                      <w:highlight w:val="none"/>
                      <w:vertAlign w:val="superscript"/>
                      <w:lang w:val="en-US" w:eastAsia="en-US"/>
                    </w:rPr>
                    <w:t>2</w:t>
                  </w:r>
                  <w:r>
                    <w:rPr>
                      <w:rFonts w:hint="default" w:ascii="Times New Roman" w:hAnsi="Times New Roman" w:cs="Times New Roman"/>
                      <w:color w:val="auto"/>
                      <w:sz w:val="21"/>
                      <w:szCs w:val="20"/>
                      <w:highlight w:val="none"/>
                      <w:lang w:val="en-US" w:eastAsia="en-US"/>
                    </w:rPr>
                    <w:t>·MBq-1·h-1）</w:t>
                  </w:r>
                </w:p>
              </w:tc>
            </w:tr>
            <w:tr w14:paraId="23A898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51" w:type="dxa"/>
                  <w:tcBorders>
                    <w:tl2br w:val="nil"/>
                    <w:tr2bl w:val="nil"/>
                  </w:tcBorders>
                  <w:vAlign w:val="center"/>
                </w:tcPr>
                <w:p w14:paraId="15DB1A1D">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eastAsia="en-US"/>
                    </w:rPr>
                  </w:pPr>
                  <w:r>
                    <w:rPr>
                      <w:rFonts w:hint="default" w:ascii="Times New Roman" w:hAnsi="Times New Roman" w:cs="Times New Roman"/>
                      <w:color w:val="auto"/>
                      <w:sz w:val="21"/>
                      <w:szCs w:val="20"/>
                      <w:highlight w:val="none"/>
                      <w:vertAlign w:val="superscript"/>
                      <w:lang w:eastAsia="en-US"/>
                    </w:rPr>
                    <w:t>99m</w:t>
                  </w:r>
                  <w:r>
                    <w:rPr>
                      <w:rFonts w:hint="default" w:ascii="Times New Roman" w:hAnsi="Times New Roman" w:cs="Times New Roman"/>
                      <w:color w:val="auto"/>
                      <w:sz w:val="21"/>
                      <w:szCs w:val="20"/>
                      <w:highlight w:val="none"/>
                      <w:lang w:eastAsia="en-US"/>
                    </w:rPr>
                    <w:t>Tc</w:t>
                  </w:r>
                </w:p>
              </w:tc>
              <w:tc>
                <w:tcPr>
                  <w:tcW w:w="849" w:type="dxa"/>
                  <w:tcBorders>
                    <w:tl2br w:val="nil"/>
                    <w:tr2bl w:val="nil"/>
                  </w:tcBorders>
                  <w:vAlign w:val="center"/>
                </w:tcPr>
                <w:p w14:paraId="6024F27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val="en-US" w:eastAsia="en-US"/>
                    </w:rPr>
                  </w:pPr>
                  <w:r>
                    <w:rPr>
                      <w:rFonts w:hint="default" w:ascii="Times New Roman" w:hAnsi="Times New Roman" w:cs="Times New Roman"/>
                      <w:color w:val="auto"/>
                      <w:sz w:val="21"/>
                      <w:szCs w:val="20"/>
                      <w:highlight w:val="none"/>
                      <w:lang w:val="en-US" w:eastAsia="en-US"/>
                    </w:rPr>
                    <w:t>液态</w:t>
                  </w:r>
                </w:p>
              </w:tc>
              <w:tc>
                <w:tcPr>
                  <w:tcW w:w="851" w:type="dxa"/>
                  <w:tcBorders>
                    <w:tl2br w:val="nil"/>
                    <w:tr2bl w:val="nil"/>
                  </w:tcBorders>
                  <w:vAlign w:val="center"/>
                </w:tcPr>
                <w:p w14:paraId="31EF1211">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eastAsia="en-US"/>
                    </w:rPr>
                  </w:pPr>
                  <w:r>
                    <w:rPr>
                      <w:rFonts w:hint="default" w:ascii="Times New Roman" w:hAnsi="Times New Roman" w:cs="Times New Roman"/>
                      <w:color w:val="auto"/>
                      <w:sz w:val="21"/>
                      <w:szCs w:val="20"/>
                      <w:highlight w:val="none"/>
                      <w:lang w:eastAsia="en-US"/>
                    </w:rPr>
                    <w:t>6.02h</w:t>
                  </w:r>
                </w:p>
              </w:tc>
              <w:tc>
                <w:tcPr>
                  <w:tcW w:w="1132" w:type="dxa"/>
                  <w:tcBorders>
                    <w:tl2br w:val="nil"/>
                    <w:tr2bl w:val="nil"/>
                  </w:tcBorders>
                  <w:vAlign w:val="center"/>
                </w:tcPr>
                <w:p w14:paraId="66A0EA7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val="en-US" w:eastAsia="en-US"/>
                    </w:rPr>
                  </w:pPr>
                  <w:r>
                    <w:rPr>
                      <w:rFonts w:hint="default" w:ascii="Times New Roman" w:hAnsi="Times New Roman" w:cs="Times New Roman"/>
                      <w:color w:val="auto"/>
                      <w:sz w:val="21"/>
                      <w:szCs w:val="20"/>
                      <w:highlight w:val="none"/>
                      <w:lang w:val="en-US" w:eastAsia="en-US"/>
                    </w:rPr>
                    <w:t>低毒</w:t>
                  </w:r>
                </w:p>
              </w:tc>
              <w:tc>
                <w:tcPr>
                  <w:tcW w:w="1393" w:type="dxa"/>
                  <w:tcBorders>
                    <w:tl2br w:val="nil"/>
                    <w:tr2bl w:val="nil"/>
                  </w:tcBorders>
                  <w:vAlign w:val="center"/>
                </w:tcPr>
                <w:p w14:paraId="3F7279A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val="en-US" w:eastAsia="en-US"/>
                    </w:rPr>
                  </w:pPr>
                  <w:r>
                    <w:rPr>
                      <w:rFonts w:hint="default" w:ascii="Times New Roman" w:hAnsi="Times New Roman" w:cs="Times New Roman"/>
                      <w:color w:val="auto"/>
                      <w:sz w:val="21"/>
                      <w:szCs w:val="20"/>
                      <w:highlight w:val="none"/>
                      <w:lang w:val="en-US" w:eastAsia="en-US"/>
                    </w:rPr>
                    <w:t>同质异能跃迁</w:t>
                  </w:r>
                </w:p>
              </w:tc>
              <w:tc>
                <w:tcPr>
                  <w:tcW w:w="1770" w:type="dxa"/>
                  <w:tcBorders>
                    <w:tl2br w:val="nil"/>
                    <w:tr2bl w:val="nil"/>
                  </w:tcBorders>
                  <w:vAlign w:val="center"/>
                </w:tcPr>
                <w:p w14:paraId="3C5E7C63">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val="en-US" w:eastAsia="en-US"/>
                    </w:rPr>
                  </w:pPr>
                  <w:r>
                    <w:rPr>
                      <w:rFonts w:hint="default" w:ascii="Times New Roman" w:hAnsi="Times New Roman" w:cs="Times New Roman"/>
                      <w:color w:val="auto"/>
                      <w:sz w:val="21"/>
                      <w:szCs w:val="20"/>
                      <w:highlight w:val="none"/>
                      <w:lang w:val="en-US" w:eastAsia="en-US"/>
                    </w:rPr>
                    <w:t>光子0.140</w:t>
                  </w:r>
                </w:p>
              </w:tc>
              <w:tc>
                <w:tcPr>
                  <w:tcW w:w="2175" w:type="dxa"/>
                  <w:tcBorders>
                    <w:tl2br w:val="nil"/>
                    <w:tr2bl w:val="nil"/>
                  </w:tcBorders>
                  <w:vAlign w:val="center"/>
                </w:tcPr>
                <w:p w14:paraId="34D9F91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1"/>
                      <w:szCs w:val="20"/>
                      <w:highlight w:val="none"/>
                      <w:lang w:eastAsia="en-US"/>
                    </w:rPr>
                  </w:pPr>
                  <w:r>
                    <w:rPr>
                      <w:rFonts w:hint="default" w:ascii="Times New Roman" w:hAnsi="Times New Roman" w:cs="Times New Roman"/>
                      <w:color w:val="auto"/>
                      <w:sz w:val="21"/>
                      <w:szCs w:val="20"/>
                      <w:highlight w:val="none"/>
                      <w:lang w:eastAsia="en-US"/>
                    </w:rPr>
                    <w:t>0.0303</w:t>
                  </w:r>
                </w:p>
              </w:tc>
            </w:tr>
          </w:tbl>
          <w:p w14:paraId="57008049">
            <w:pPr>
              <w:pStyle w:val="7"/>
              <w:keepNext w:val="0"/>
              <w:keepLines w:val="0"/>
              <w:suppressLineNumbers w:val="0"/>
              <w:spacing w:before="240" w:beforeAutospacing="0" w:after="120" w:afterAutospacing="0"/>
              <w:ind w:left="0" w:leftChars="0" w:firstLine="482" w:firstLineChars="200"/>
              <w:jc w:val="both"/>
              <w:rPr>
                <w:rFonts w:hint="default" w:ascii="Times New Roman" w:hAnsi="Times New Roman" w:eastAsia="宋体" w:cs="Times New Roman"/>
                <w:b/>
                <w:bCs/>
                <w:color w:val="auto"/>
                <w:kern w:val="0"/>
                <w:sz w:val="24"/>
                <w:szCs w:val="24"/>
                <w:highlight w:val="none"/>
                <w:lang w:val="en-US" w:eastAsia="zh-CN" w:bidi="ar"/>
              </w:rPr>
            </w:pPr>
          </w:p>
          <w:p w14:paraId="1157AC2E">
            <w:pPr>
              <w:pStyle w:val="7"/>
              <w:keepNext w:val="0"/>
              <w:keepLines w:val="0"/>
              <w:suppressLineNumbers w:val="0"/>
              <w:spacing w:before="240" w:beforeAutospacing="0" w:after="120" w:afterAutospacing="0"/>
              <w:ind w:left="0" w:leftChars="0" w:firstLine="482" w:firstLineChars="200"/>
              <w:jc w:val="center"/>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图9-</w:t>
            </w:r>
            <w:r>
              <w:rPr>
                <w:rFonts w:hint="eastAsia" w:cs="Times New Roman"/>
                <w:b/>
                <w:bCs/>
                <w:color w:val="auto"/>
                <w:kern w:val="0"/>
                <w:sz w:val="24"/>
                <w:szCs w:val="24"/>
                <w:highlight w:val="none"/>
                <w:lang w:val="en-US" w:eastAsia="zh-CN" w:bidi="ar"/>
              </w:rPr>
              <w:t>7</w:t>
            </w:r>
            <w:r>
              <w:rPr>
                <w:rFonts w:hint="default" w:ascii="Times New Roman" w:hAnsi="Times New Roman" w:eastAsia="宋体" w:cs="Times New Roman"/>
                <w:b/>
                <w:bCs/>
                <w:color w:val="auto"/>
                <w:kern w:val="0"/>
                <w:sz w:val="24"/>
                <w:szCs w:val="24"/>
                <w:highlight w:val="none"/>
                <w:lang w:val="en-US" w:eastAsia="zh-CN" w:bidi="ar"/>
              </w:rPr>
              <w:t xml:space="preserve">  SPECT/CT 诊断工作流程及产污环节分析示意图</w:t>
            </w:r>
          </w:p>
          <w:p w14:paraId="20291289">
            <w:pPr>
              <w:pStyle w:val="7"/>
              <w:keepNext w:val="0"/>
              <w:keepLines w:val="0"/>
              <w:suppressLineNumbers w:val="0"/>
              <w:spacing w:before="240" w:beforeAutospacing="0" w:after="120" w:afterAutospacing="0"/>
              <w:ind w:left="0" w:leftChars="0" w:firstLine="482" w:firstLineChars="200"/>
              <w:jc w:val="both"/>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9.1.</w:t>
            </w:r>
            <w:r>
              <w:rPr>
                <w:rFonts w:hint="default" w:ascii="Times New Roman" w:hAnsi="Times New Roman" w:cs="Times New Roman"/>
                <w:b/>
                <w:bCs/>
                <w:color w:val="auto"/>
                <w:kern w:val="0"/>
                <w:sz w:val="24"/>
                <w:szCs w:val="24"/>
                <w:highlight w:val="none"/>
                <w:lang w:val="en-US" w:eastAsia="zh-CN" w:bidi="ar"/>
              </w:rPr>
              <w:t>2</w:t>
            </w:r>
            <w:r>
              <w:rPr>
                <w:rFonts w:hint="default" w:ascii="Times New Roman" w:hAnsi="Times New Roman" w:eastAsia="宋体" w:cs="Times New Roman"/>
                <w:b/>
                <w:bCs/>
                <w:color w:val="auto"/>
                <w:kern w:val="0"/>
                <w:sz w:val="24"/>
                <w:szCs w:val="24"/>
                <w:highlight w:val="none"/>
                <w:lang w:val="en-US" w:eastAsia="zh-CN" w:bidi="ar"/>
              </w:rPr>
              <w:t>.2钼锝发生器</w:t>
            </w:r>
            <w:r>
              <w:rPr>
                <w:rFonts w:hint="default" w:ascii="Times New Roman" w:hAnsi="Times New Roman" w:cs="Times New Roman"/>
                <w:b/>
                <w:bCs/>
                <w:color w:val="auto"/>
                <w:kern w:val="0"/>
                <w:sz w:val="24"/>
                <w:szCs w:val="24"/>
                <w:highlight w:val="none"/>
                <w:lang w:val="en-US" w:eastAsia="zh-CN" w:bidi="ar"/>
              </w:rPr>
              <w:t>使用</w:t>
            </w:r>
            <w:r>
              <w:rPr>
                <w:rFonts w:hint="default" w:ascii="Times New Roman" w:hAnsi="Times New Roman" w:eastAsia="宋体" w:cs="Times New Roman"/>
                <w:b/>
                <w:bCs/>
                <w:color w:val="auto"/>
                <w:kern w:val="0"/>
                <w:sz w:val="24"/>
                <w:szCs w:val="24"/>
                <w:highlight w:val="none"/>
                <w:lang w:val="en-US" w:eastAsia="zh-CN" w:bidi="ar"/>
              </w:rPr>
              <w:t>工艺流程和产污环节分析</w:t>
            </w:r>
          </w:p>
          <w:p w14:paraId="22B81925">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①订药：根据患者的预约情况进行预订，然后制定制药计划，进行制药。</w:t>
            </w:r>
          </w:p>
          <w:p w14:paraId="1D39F780">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②检查药盒完整性：负责标记操作的工作人员穿戴铅衣等防护用品，在淋洗操作前检查待标记药盒的完整性，主要内容为检查药盒是否破损、过期，厂家药品名是否不符。经检查合格后，放入防护罐中用 75%酒精棉球消毒瓶口 2 遍，盖上盖子备用。</w:t>
            </w:r>
          </w:p>
          <w:p w14:paraId="273757B2">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③</w:t>
            </w:r>
            <w:r>
              <w:rPr>
                <w:rFonts w:hint="default" w:ascii="Times New Roman" w:hAnsi="Times New Roman" w:eastAsia="宋体" w:cs="Times New Roman"/>
                <w:b w:val="0"/>
                <w:bCs w:val="0"/>
                <w:i w:val="0"/>
                <w:iCs w:val="0"/>
                <w:strike w:val="0"/>
                <w:color w:val="auto"/>
                <w:sz w:val="24"/>
                <w:szCs w:val="24"/>
                <w:highlight w:val="none"/>
                <w:vertAlign w:val="superscript"/>
              </w:rPr>
              <w:t>99m</w:t>
            </w:r>
            <w:r>
              <w:rPr>
                <w:rFonts w:hint="default" w:ascii="Times New Roman" w:hAnsi="Times New Roman" w:eastAsia="宋体" w:cs="Times New Roman"/>
                <w:b w:val="0"/>
                <w:bCs w:val="0"/>
                <w:i w:val="0"/>
                <w:iCs w:val="0"/>
                <w:strike w:val="0"/>
                <w:color w:val="auto"/>
                <w:sz w:val="24"/>
                <w:szCs w:val="24"/>
                <w:highlight w:val="none"/>
              </w:rPr>
              <w:t xml:space="preserve">Tc 淋洗：发生器从药物供应商购入后即进入储源室内暂存，淋洗时，工作人员将发生器从储源室转移至配药室 </w:t>
            </w:r>
            <w:r>
              <w:rPr>
                <w:rFonts w:hint="default" w:ascii="Times New Roman" w:hAnsi="Times New Roman" w:eastAsia="宋体" w:cs="Times New Roman"/>
                <w:b w:val="0"/>
                <w:bCs w:val="0"/>
                <w:i w:val="0"/>
                <w:iCs w:val="0"/>
                <w:strike w:val="0"/>
                <w:color w:val="auto"/>
                <w:sz w:val="24"/>
                <w:szCs w:val="24"/>
                <w:highlight w:val="none"/>
                <w:vertAlign w:val="superscript"/>
              </w:rPr>
              <w:t>99m</w:t>
            </w:r>
            <w:r>
              <w:rPr>
                <w:rFonts w:hint="default" w:ascii="Times New Roman" w:hAnsi="Times New Roman" w:eastAsia="宋体" w:cs="Times New Roman"/>
                <w:b w:val="0"/>
                <w:bCs w:val="0"/>
                <w:i w:val="0"/>
                <w:iCs w:val="0"/>
                <w:strike w:val="0"/>
                <w:color w:val="auto"/>
                <w:sz w:val="24"/>
                <w:szCs w:val="24"/>
                <w:highlight w:val="none"/>
              </w:rPr>
              <w:t>Tc 手套箱，在手套箱内即可对发生器进行淋洗操作。</w:t>
            </w:r>
          </w:p>
          <w:p w14:paraId="663DA21F">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具体的淋洗操作如下：</w:t>
            </w:r>
          </w:p>
          <w:p w14:paraId="44523E79">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准备：开负压瓶、0.9%生理盐水瓶，把负压瓶装入铅制的防护罐。</w:t>
            </w:r>
          </w:p>
          <w:p w14:paraId="70708709">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消毒：用 75%酒精擦拭负压瓶、0.9%生理盐水瓶。</w:t>
            </w:r>
          </w:p>
          <w:p w14:paraId="65A930B1">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 xml:space="preserve">淋洗：先把 0.9%生理盐水瓶插入发生器的双针，然后把外有防护罐的负压瓶插入发生器的单针，直至 0.9%生理盐水被吸干，1min 后整体拔下外有防护罐的负压瓶，即制得 </w:t>
            </w:r>
            <w:r>
              <w:rPr>
                <w:rFonts w:hint="default" w:ascii="Times New Roman" w:hAnsi="Times New Roman" w:eastAsia="宋体" w:cs="Times New Roman"/>
                <w:b w:val="0"/>
                <w:bCs w:val="0"/>
                <w:i w:val="0"/>
                <w:iCs w:val="0"/>
                <w:strike w:val="0"/>
                <w:color w:val="auto"/>
                <w:sz w:val="24"/>
                <w:szCs w:val="24"/>
                <w:highlight w:val="none"/>
                <w:vertAlign w:val="superscript"/>
              </w:rPr>
              <w:t>99m</w:t>
            </w:r>
            <w:r>
              <w:rPr>
                <w:rFonts w:hint="default" w:ascii="Times New Roman" w:hAnsi="Times New Roman" w:eastAsia="宋体" w:cs="Times New Roman"/>
                <w:b w:val="0"/>
                <w:bCs w:val="0"/>
                <w:i w:val="0"/>
                <w:iCs w:val="0"/>
                <w:strike w:val="0"/>
                <w:color w:val="auto"/>
                <w:sz w:val="24"/>
                <w:szCs w:val="24"/>
                <w:highlight w:val="none"/>
              </w:rPr>
              <w:t>Tc 淋洗液，制得的淋洗液贮存于外有防护罐的负压瓶之中。通常整个淋洗过程约需 2min。</w:t>
            </w:r>
          </w:p>
          <w:p w14:paraId="3BCB2DDD">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vertAlign w:val="superscript"/>
              </w:rPr>
              <w:t>99</w:t>
            </w:r>
            <w:r>
              <w:rPr>
                <w:rFonts w:hint="default" w:ascii="Times New Roman" w:hAnsi="Times New Roman" w:eastAsia="宋体" w:cs="Times New Roman"/>
                <w:b w:val="0"/>
                <w:bCs w:val="0"/>
                <w:i w:val="0"/>
                <w:iCs w:val="0"/>
                <w:strike w:val="0"/>
                <w:color w:val="auto"/>
                <w:sz w:val="24"/>
                <w:szCs w:val="24"/>
                <w:highlight w:val="none"/>
              </w:rPr>
              <w:t>Mo 装在钼锝发生器内，发生器外用铅包装，在整个使用过程中</w:t>
            </w:r>
            <w:r>
              <w:rPr>
                <w:rFonts w:hint="default" w:ascii="Times New Roman" w:hAnsi="Times New Roman" w:eastAsia="宋体" w:cs="Times New Roman"/>
                <w:b w:val="0"/>
                <w:bCs w:val="0"/>
                <w:i w:val="0"/>
                <w:iCs w:val="0"/>
                <w:strike w:val="0"/>
                <w:color w:val="auto"/>
                <w:sz w:val="24"/>
                <w:szCs w:val="24"/>
                <w:highlight w:val="none"/>
                <w:vertAlign w:val="superscript"/>
              </w:rPr>
              <w:t>99</w:t>
            </w:r>
            <w:r>
              <w:rPr>
                <w:rFonts w:hint="default" w:ascii="Times New Roman" w:hAnsi="Times New Roman" w:eastAsia="宋体" w:cs="Times New Roman"/>
                <w:b w:val="0"/>
                <w:bCs w:val="0"/>
                <w:i w:val="0"/>
                <w:iCs w:val="0"/>
                <w:strike w:val="0"/>
                <w:color w:val="auto"/>
                <w:sz w:val="24"/>
                <w:szCs w:val="24"/>
                <w:highlight w:val="none"/>
              </w:rPr>
              <w:t>Mo 都保持在发生器柱子里，使用后的柱子随铅罐包装一同回收至供应商，</w:t>
            </w:r>
            <w:r>
              <w:rPr>
                <w:rFonts w:hint="default" w:ascii="Times New Roman" w:hAnsi="Times New Roman" w:eastAsia="宋体" w:cs="Times New Roman"/>
                <w:b w:val="0"/>
                <w:bCs w:val="0"/>
                <w:i w:val="0"/>
                <w:iCs w:val="0"/>
                <w:strike w:val="0"/>
                <w:color w:val="auto"/>
                <w:sz w:val="24"/>
                <w:szCs w:val="24"/>
                <w:highlight w:val="none"/>
                <w:vertAlign w:val="superscript"/>
              </w:rPr>
              <w:t>99</w:t>
            </w:r>
            <w:r>
              <w:rPr>
                <w:rFonts w:hint="default" w:ascii="Times New Roman" w:hAnsi="Times New Roman" w:eastAsia="宋体" w:cs="Times New Roman"/>
                <w:b w:val="0"/>
                <w:bCs w:val="0"/>
                <w:i w:val="0"/>
                <w:iCs w:val="0"/>
                <w:strike w:val="0"/>
                <w:color w:val="auto"/>
                <w:sz w:val="24"/>
                <w:szCs w:val="24"/>
                <w:highlight w:val="none"/>
              </w:rPr>
              <w:t>Mo 也就随包装而被完全转移至供应商。钼锝发生器整个制药过程均在手套箱内进行，经过手套箱屏蔽后，钼锝发生器对职业辐射工作人员影响非常小，而在整个制药过程中，公众不能进入配药室，而在非工作期间，工作人员将配药室上锁，公众仍然无法进入，因此经屏蔽后，钼锝发生器对公众人员的影响可以忽略不计。</w:t>
            </w:r>
          </w:p>
          <w:p w14:paraId="737B8493">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④测量活度：测量活度在手套箱内进行，由负责标记的工作人员完成。工作人员用注射器吸取上一步制得的少量淋洗液（0.1mL），垂直放入活度计井中，测量其放射性活度，得出该瓶淋洗液的比活度，同时可测量淋洗液的纯度。</w:t>
            </w:r>
          </w:p>
          <w:p w14:paraId="182985C7">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val="0"/>
                <w:bCs w:val="0"/>
                <w:i w:val="0"/>
                <w:iCs w:val="0"/>
                <w:strike w:val="0"/>
                <w:color w:val="auto"/>
                <w:sz w:val="24"/>
                <w:szCs w:val="24"/>
                <w:highlight w:val="none"/>
              </w:rPr>
            </w:pPr>
            <w:r>
              <w:rPr>
                <w:rFonts w:hint="default" w:ascii="Times New Roman" w:hAnsi="Times New Roman" w:eastAsia="宋体" w:cs="Times New Roman"/>
                <w:b w:val="0"/>
                <w:bCs w:val="0"/>
                <w:i w:val="0"/>
                <w:iCs w:val="0"/>
                <w:strike w:val="0"/>
                <w:color w:val="auto"/>
                <w:sz w:val="24"/>
                <w:szCs w:val="24"/>
                <w:highlight w:val="none"/>
              </w:rPr>
              <w:t>⑤标记与分装：用于标记的冻干药盒在标记操作前经完整性检查后传递至手套箱内。用注射器将已测量好活度的淋洗液迅速转移至冻干药盒，并充分摇匀，稀释到预设体积，室温放置5min。</w:t>
            </w:r>
          </w:p>
          <w:p w14:paraId="7654C05B">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val="0"/>
                <w:bCs w:val="0"/>
                <w:i w:val="0"/>
                <w:iCs w:val="0"/>
                <w:strike w:val="0"/>
                <w:color w:val="auto"/>
                <w:sz w:val="24"/>
                <w:szCs w:val="24"/>
                <w:highlight w:val="none"/>
                <w:lang w:val="en-US" w:eastAsia="zh-CN"/>
              </w:rPr>
            </w:pPr>
            <w:r>
              <w:rPr>
                <w:rFonts w:hint="default" w:ascii="Times New Roman" w:hAnsi="Times New Roman" w:eastAsia="宋体" w:cs="Times New Roman"/>
                <w:b w:val="0"/>
                <w:bCs w:val="0"/>
                <w:i w:val="0"/>
                <w:iCs w:val="0"/>
                <w:strike w:val="0"/>
                <w:color w:val="auto"/>
                <w:sz w:val="24"/>
                <w:szCs w:val="24"/>
                <w:highlight w:val="none"/>
                <w:lang w:val="en-US" w:eastAsia="zh-CN"/>
              </w:rPr>
              <w:t>⑥患者通过病患入口进入注射室完成给药后，核素显像检查的患者前往SPECT-CT区注射后休息室休息、候诊，然后进入SPECT-CT机房扫描检查。扫描完成后由患者走廊进入留观室留观，无异常后可以从病患专用出口离开核医学科楼。</w:t>
            </w:r>
          </w:p>
          <w:p w14:paraId="67EF9909">
            <w:pPr>
              <w:keepNext w:val="0"/>
              <w:keepLines w:val="0"/>
              <w:widowControl w:val="0"/>
              <w:suppressLineNumbers w:val="0"/>
              <w:autoSpaceDE w:val="0"/>
              <w:autoSpaceDN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9.1.</w:t>
            </w: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cs="Times New Roman"/>
                <w:b/>
                <w:bCs/>
                <w:color w:val="auto"/>
                <w:sz w:val="24"/>
                <w:szCs w:val="24"/>
                <w:highlight w:val="none"/>
                <w:lang w:val="en-US" w:eastAsia="zh-CN"/>
              </w:rPr>
              <w:t xml:space="preserve">3 </w:t>
            </w:r>
            <w:r>
              <w:rPr>
                <w:rFonts w:hint="default" w:ascii="Times New Roman" w:hAnsi="Times New Roman" w:eastAsia="宋体" w:cs="Times New Roman"/>
                <w:b/>
                <w:bCs/>
                <w:color w:val="auto"/>
                <w:sz w:val="24"/>
                <w:szCs w:val="24"/>
                <w:highlight w:val="none"/>
                <w:vertAlign w:val="baseline"/>
                <w:lang w:val="en-US" w:eastAsia="zh-CN"/>
              </w:rPr>
              <w:t>I-131</w:t>
            </w:r>
            <w:r>
              <w:rPr>
                <w:rFonts w:hint="default" w:ascii="Times New Roman" w:hAnsi="Times New Roman" w:eastAsia="宋体" w:cs="Times New Roman"/>
                <w:b/>
                <w:bCs/>
                <w:color w:val="auto"/>
                <w:sz w:val="24"/>
                <w:szCs w:val="24"/>
                <w:highlight w:val="none"/>
                <w:lang w:val="en-US" w:eastAsia="zh-CN"/>
              </w:rPr>
              <w:t>的购买使用流程</w:t>
            </w:r>
          </w:p>
          <w:p w14:paraId="5384C6DC">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SPECT诊断用</w:t>
            </w:r>
            <w:r>
              <w:rPr>
                <w:rFonts w:hint="default" w:ascii="Times New Roman" w:hAnsi="Times New Roman" w:eastAsia="宋体" w:cs="Times New Roman"/>
                <w:color w:val="auto"/>
                <w:sz w:val="24"/>
                <w:szCs w:val="24"/>
                <w:highlight w:val="none"/>
                <w:vertAlign w:val="baseline"/>
                <w:lang w:val="en-US" w:eastAsia="zh-CN"/>
              </w:rPr>
              <w:t>I-131</w:t>
            </w:r>
            <w:r>
              <w:rPr>
                <w:rFonts w:hint="default" w:ascii="Times New Roman" w:hAnsi="Times New Roman" w:cs="Times New Roman"/>
                <w:color w:val="auto"/>
                <w:sz w:val="24"/>
                <w:szCs w:val="24"/>
                <w:highlight w:val="none"/>
                <w:lang w:val="en-US" w:eastAsia="zh-CN"/>
              </w:rPr>
              <w:t>（液体）</w:t>
            </w:r>
            <w:r>
              <w:rPr>
                <w:rFonts w:hint="default" w:ascii="Times New Roman" w:hAnsi="Times New Roman" w:eastAsia="宋体" w:cs="Times New Roman"/>
                <w:color w:val="auto"/>
                <w:sz w:val="24"/>
                <w:szCs w:val="24"/>
                <w:highlight w:val="none"/>
                <w:lang w:val="en-US" w:eastAsia="zh-CN"/>
              </w:rPr>
              <w:t>为外购放射性药物，工作人员根据临床诊断所需用药量、病人预约情况确定诊 断所需药物的使用量，提前与供药公司联系并提供药物。供药单位在约定的时间，将预约用量的药物送至核医学楼</w:t>
            </w:r>
            <w:r>
              <w:rPr>
                <w:rFonts w:hint="eastAsia" w:cs="Times New Roman"/>
                <w:color w:val="auto"/>
                <w:sz w:val="24"/>
                <w:szCs w:val="24"/>
                <w:highlight w:val="none"/>
                <w:lang w:val="en-US" w:eastAsia="zh-CN"/>
              </w:rPr>
              <w:t>一层储源室内</w:t>
            </w:r>
            <w:r>
              <w:rPr>
                <w:rFonts w:hint="default" w:ascii="Times New Roman" w:hAnsi="Times New Roman" w:eastAsia="宋体" w:cs="Times New Roman"/>
                <w:color w:val="auto"/>
                <w:sz w:val="24"/>
                <w:szCs w:val="24"/>
                <w:highlight w:val="none"/>
                <w:lang w:val="en-US" w:eastAsia="zh-CN"/>
              </w:rPr>
              <w:t>，安排专人接收放射性核素，经确认无误完成相关交接手续。</w:t>
            </w:r>
          </w:p>
          <w:p w14:paraId="7FE93F1E">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临床医生开具甲状腺显像检查申请后，核医学科评估适应症、确认患者已完成低碘饮食和停药准备，签署知情同意书并预约。给药前在</w:t>
            </w:r>
            <w:r>
              <w:rPr>
                <w:rFonts w:hint="eastAsia" w:cs="Times New Roman"/>
                <w:color w:val="auto"/>
                <w:sz w:val="24"/>
                <w:szCs w:val="24"/>
                <w:highlight w:val="none"/>
                <w:lang w:val="en-US" w:eastAsia="zh-CN"/>
              </w:rPr>
              <w:t>1层分碘室自动分碘仪内</w:t>
            </w:r>
            <w:r>
              <w:rPr>
                <w:rFonts w:hint="default" w:ascii="Times New Roman" w:hAnsi="Times New Roman" w:eastAsia="宋体" w:cs="Times New Roman"/>
                <w:color w:val="auto"/>
                <w:sz w:val="24"/>
                <w:szCs w:val="24"/>
                <w:highlight w:val="none"/>
                <w:lang w:val="en-US" w:eastAsia="zh-CN"/>
              </w:rPr>
              <w:t>分装、测活，核对患者信息与剂量。患者口服微量</w:t>
            </w:r>
            <w:r>
              <w:rPr>
                <w:rFonts w:hint="default" w:ascii="Times New Roman" w:hAnsi="Times New Roman" w:eastAsia="宋体" w:cs="Times New Roman"/>
                <w:color w:val="auto"/>
                <w:sz w:val="24"/>
                <w:szCs w:val="24"/>
                <w:highlight w:val="none"/>
                <w:vertAlign w:val="baseline"/>
                <w:lang w:val="en-US" w:eastAsia="zh-CN"/>
              </w:rPr>
              <w:t>I-131</w:t>
            </w:r>
            <w:r>
              <w:rPr>
                <w:rFonts w:hint="default" w:ascii="Times New Roman" w:hAnsi="Times New Roman" w:eastAsia="宋体" w:cs="Times New Roman"/>
                <w:color w:val="auto"/>
                <w:sz w:val="24"/>
                <w:szCs w:val="24"/>
                <w:highlight w:val="none"/>
                <w:lang w:val="en-US" w:eastAsia="zh-CN"/>
              </w:rPr>
              <w:t>后，按规定时间进行甲状腺SPECT诊断。</w:t>
            </w:r>
          </w:p>
          <w:p w14:paraId="60FE69FB">
            <w:pPr>
              <w:pStyle w:val="43"/>
              <w:keepNext w:val="0"/>
              <w:keepLines w:val="0"/>
              <w:suppressLineNumbers w:val="0"/>
              <w:spacing w:before="78" w:beforeAutospacing="0" w:after="0" w:afterAutospacing="0" w:line="220" w:lineRule="auto"/>
              <w:ind w:left="115" w:right="0" w:firstLine="474" w:firstLineChars="200"/>
              <w:jc w:val="center"/>
              <w:rPr>
                <w:rFonts w:hint="default" w:ascii="Times New Roman" w:hAnsi="Times New Roman" w:eastAsia="宋体" w:cs="Times New Roman"/>
                <w:b/>
                <w:bCs/>
                <w:color w:val="auto"/>
                <w:spacing w:val="-2"/>
                <w:highlight w:val="none"/>
                <w:lang w:val="en-US" w:eastAsia="zh-CN"/>
              </w:rPr>
            </w:pPr>
            <w:r>
              <w:rPr>
                <w:rFonts w:hint="default" w:ascii="Times New Roman" w:hAnsi="Times New Roman" w:eastAsia="宋体" w:cs="Times New Roman"/>
                <w:b/>
                <w:bCs/>
                <w:color w:val="auto"/>
                <w:spacing w:val="-2"/>
                <w:highlight w:val="none"/>
                <w:lang w:val="en-US" w:eastAsia="zh-CN"/>
              </w:rPr>
              <w:t>表9-</w:t>
            </w:r>
            <w:r>
              <w:rPr>
                <w:rFonts w:hint="eastAsia" w:ascii="Times New Roman" w:hAnsi="Times New Roman" w:cs="Times New Roman"/>
                <w:b/>
                <w:bCs/>
                <w:color w:val="auto"/>
                <w:spacing w:val="-2"/>
                <w:highlight w:val="none"/>
                <w:lang w:val="en-US" w:eastAsia="zh-CN"/>
              </w:rPr>
              <w:t>9</w:t>
            </w:r>
            <w:r>
              <w:rPr>
                <w:rFonts w:hint="default" w:ascii="Times New Roman" w:hAnsi="Times New Roman" w:eastAsia="宋体" w:cs="Times New Roman"/>
                <w:b/>
                <w:bCs/>
                <w:color w:val="auto"/>
                <w:spacing w:val="-2"/>
                <w:highlight w:val="none"/>
                <w:lang w:val="en-US" w:eastAsia="zh-CN"/>
              </w:rPr>
              <w:t xml:space="preserve">  </w:t>
            </w:r>
            <w:r>
              <w:rPr>
                <w:rFonts w:hint="default" w:ascii="Times New Roman" w:hAnsi="Times New Roman" w:cs="Times New Roman"/>
                <w:b/>
                <w:bCs/>
                <w:color w:val="auto"/>
                <w:spacing w:val="-2"/>
                <w:highlight w:val="none"/>
                <w:lang w:val="en-US" w:eastAsia="zh-CN"/>
              </w:rPr>
              <w:t>单光子</w:t>
            </w:r>
            <w:r>
              <w:rPr>
                <w:rFonts w:hint="default" w:ascii="Times New Roman" w:hAnsi="Times New Roman" w:eastAsia="宋体" w:cs="Times New Roman"/>
                <w:b/>
                <w:bCs/>
                <w:color w:val="auto"/>
                <w:spacing w:val="-2"/>
                <w:highlight w:val="none"/>
                <w:lang w:val="en-US" w:eastAsia="zh-CN"/>
              </w:rPr>
              <w:t>药物</w:t>
            </w:r>
            <w:r>
              <w:rPr>
                <w:rFonts w:hint="default" w:ascii="Times New Roman" w:hAnsi="Times New Roman" w:cs="Times New Roman"/>
                <w:b/>
                <w:bCs/>
                <w:color w:val="auto"/>
                <w:spacing w:val="-2"/>
                <w:highlight w:val="none"/>
                <w:lang w:val="en-US" w:eastAsia="zh-CN"/>
              </w:rPr>
              <w:t>制备核素使用</w:t>
            </w:r>
            <w:r>
              <w:rPr>
                <w:rFonts w:hint="default" w:ascii="Times New Roman" w:hAnsi="Times New Roman" w:eastAsia="宋体" w:cs="Times New Roman"/>
                <w:b/>
                <w:bCs/>
                <w:color w:val="auto"/>
                <w:spacing w:val="-2"/>
                <w:highlight w:val="none"/>
                <w:lang w:val="en-US" w:eastAsia="zh-CN"/>
              </w:rPr>
              <w:t>情况</w:t>
            </w:r>
            <w:r>
              <w:rPr>
                <w:rFonts w:hint="default" w:ascii="Times New Roman" w:hAnsi="Times New Roman" w:cs="Times New Roman"/>
                <w:b/>
                <w:bCs/>
                <w:color w:val="auto"/>
                <w:spacing w:val="-2"/>
                <w:highlight w:val="none"/>
                <w:lang w:val="en-US" w:eastAsia="zh-CN"/>
              </w:rPr>
              <w:t>（碘）</w:t>
            </w:r>
          </w:p>
          <w:tbl>
            <w:tblPr>
              <w:tblStyle w:val="22"/>
              <w:tblW w:w="4870" w:type="pct"/>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1417"/>
              <w:gridCol w:w="2465"/>
              <w:gridCol w:w="4935"/>
            </w:tblGrid>
            <w:tr w14:paraId="73B35E7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415" w:hRule="atLeast"/>
                <w:jc w:val="center"/>
              </w:trPr>
              <w:tc>
                <w:tcPr>
                  <w:tcW w:w="803" w:type="pct"/>
                  <w:tcBorders>
                    <w:tl2br w:val="nil"/>
                    <w:tr2bl w:val="nil"/>
                  </w:tcBorders>
                  <w:shd w:val="clear" w:color="auto" w:fill="auto"/>
                  <w:tcMar>
                    <w:top w:w="120" w:type="dxa"/>
                    <w:left w:w="120" w:type="dxa"/>
                    <w:bottom w:w="120" w:type="dxa"/>
                    <w:right w:w="120" w:type="dxa"/>
                  </w:tcMar>
                  <w:vAlign w:val="center"/>
                </w:tcPr>
                <w:p w14:paraId="7300DF0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序号</w:t>
                  </w:r>
                </w:p>
              </w:tc>
              <w:tc>
                <w:tcPr>
                  <w:tcW w:w="1397" w:type="pct"/>
                  <w:tcBorders>
                    <w:tl2br w:val="nil"/>
                    <w:tr2bl w:val="nil"/>
                  </w:tcBorders>
                  <w:shd w:val="clear" w:color="auto" w:fill="auto"/>
                  <w:tcMar>
                    <w:top w:w="120" w:type="dxa"/>
                    <w:left w:w="120" w:type="dxa"/>
                    <w:bottom w:w="120" w:type="dxa"/>
                    <w:right w:w="120" w:type="dxa"/>
                  </w:tcMar>
                  <w:vAlign w:val="center"/>
                </w:tcPr>
                <w:p w14:paraId="0EFF8AC4">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核素</w:t>
                  </w:r>
                </w:p>
              </w:tc>
              <w:tc>
                <w:tcPr>
                  <w:tcW w:w="2798" w:type="pct"/>
                  <w:tcBorders>
                    <w:tl2br w:val="nil"/>
                    <w:tr2bl w:val="nil"/>
                  </w:tcBorders>
                  <w:shd w:val="clear" w:color="auto" w:fill="auto"/>
                  <w:tcMar>
                    <w:top w:w="120" w:type="dxa"/>
                    <w:left w:w="120" w:type="dxa"/>
                    <w:bottom w:w="120" w:type="dxa"/>
                    <w:right w:w="120" w:type="dxa"/>
                  </w:tcMar>
                  <w:vAlign w:val="center"/>
                </w:tcPr>
                <w:p w14:paraId="53C20F3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使用情况</w:t>
                  </w:r>
                </w:p>
              </w:tc>
            </w:tr>
            <w:tr w14:paraId="10806D6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502" w:hRule="atLeast"/>
                <w:jc w:val="center"/>
              </w:trPr>
              <w:tc>
                <w:tcPr>
                  <w:tcW w:w="803" w:type="pct"/>
                  <w:tcBorders>
                    <w:tl2br w:val="nil"/>
                    <w:tr2bl w:val="nil"/>
                  </w:tcBorders>
                  <w:shd w:val="clear" w:color="auto" w:fill="auto"/>
                  <w:tcMar>
                    <w:top w:w="120" w:type="dxa"/>
                    <w:left w:w="120" w:type="dxa"/>
                    <w:bottom w:w="120" w:type="dxa"/>
                    <w:right w:w="120" w:type="dxa"/>
                  </w:tcMar>
                  <w:vAlign w:val="center"/>
                </w:tcPr>
                <w:p w14:paraId="372678C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w:t>
                  </w:r>
                </w:p>
              </w:tc>
              <w:tc>
                <w:tcPr>
                  <w:tcW w:w="1397" w:type="pct"/>
                  <w:tcBorders>
                    <w:tl2br w:val="nil"/>
                    <w:tr2bl w:val="nil"/>
                  </w:tcBorders>
                  <w:shd w:val="clear" w:color="auto" w:fill="auto"/>
                  <w:tcMar>
                    <w:top w:w="120" w:type="dxa"/>
                    <w:left w:w="120" w:type="dxa"/>
                    <w:bottom w:w="120" w:type="dxa"/>
                    <w:right w:w="120" w:type="dxa"/>
                  </w:tcMar>
                  <w:vAlign w:val="center"/>
                </w:tcPr>
                <w:p w14:paraId="79CF1C8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vertAlign w:val="baseline"/>
                      <w:lang w:val="en-US" w:eastAsia="zh-CN"/>
                    </w:rPr>
                    <w:t>I-131</w:t>
                  </w:r>
                </w:p>
              </w:tc>
              <w:tc>
                <w:tcPr>
                  <w:tcW w:w="2798" w:type="pct"/>
                  <w:tcBorders>
                    <w:tl2br w:val="nil"/>
                    <w:tr2bl w:val="nil"/>
                  </w:tcBorders>
                  <w:shd w:val="clear" w:color="auto" w:fill="auto"/>
                  <w:tcMar>
                    <w:top w:w="120" w:type="dxa"/>
                    <w:left w:w="120" w:type="dxa"/>
                    <w:bottom w:w="120" w:type="dxa"/>
                    <w:right w:w="120" w:type="dxa"/>
                  </w:tcMar>
                  <w:vAlign w:val="center"/>
                </w:tcPr>
                <w:p w14:paraId="232293CE">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1.11E+10 Bq（300</w:t>
                  </w:r>
                  <w:r>
                    <w:rPr>
                      <w:rFonts w:hint="default" w:ascii="Times New Roman" w:hAnsi="Times New Roman" w:eastAsia="宋体" w:cs="Times New Roman"/>
                      <w:color w:val="auto"/>
                      <w:kern w:val="0"/>
                      <w:sz w:val="20"/>
                      <w:szCs w:val="21"/>
                      <w:highlight w:val="none"/>
                      <w:lang w:val="en-US" w:eastAsia="zh-CN"/>
                    </w:rPr>
                    <w:t>mCi</w:t>
                  </w:r>
                  <w:r>
                    <w:rPr>
                      <w:rFonts w:hint="default" w:ascii="Times New Roman" w:hAnsi="Times New Roman" w:cs="Times New Roman"/>
                      <w:color w:val="auto"/>
                      <w:kern w:val="0"/>
                      <w:sz w:val="20"/>
                      <w:szCs w:val="21"/>
                      <w:highlight w:val="none"/>
                      <w:lang w:val="en-US" w:eastAsia="zh-CN"/>
                    </w:rPr>
                    <w:t>）</w:t>
                  </w:r>
                </w:p>
              </w:tc>
            </w:tr>
          </w:tbl>
          <w:p w14:paraId="4530062D">
            <w:pPr>
              <w:pStyle w:val="43"/>
              <w:keepNext w:val="0"/>
              <w:keepLines w:val="0"/>
              <w:suppressLineNumbers w:val="0"/>
              <w:spacing w:before="78" w:beforeAutospacing="0" w:after="0" w:afterAutospacing="0" w:line="220" w:lineRule="auto"/>
              <w:ind w:left="115" w:right="0" w:firstLine="472" w:firstLineChars="200"/>
              <w:jc w:val="center"/>
              <w:rPr>
                <w:rFonts w:hint="default" w:ascii="Times New Roman" w:hAnsi="Times New Roman" w:eastAsia="Times New Roman" w:cs="Times New Roman"/>
                <w:b/>
                <w:bCs/>
                <w:color w:val="auto"/>
                <w:spacing w:val="-2"/>
                <w:highlight w:val="none"/>
                <w:lang w:val="en-US"/>
              </w:rPr>
            </w:pPr>
            <w:r>
              <w:rPr>
                <w:rFonts w:hint="default" w:ascii="Times New Roman" w:hAnsi="Times New Roman" w:eastAsia="Times New Roman" w:cs="Times New Roman"/>
                <w:b/>
                <w:bCs/>
                <w:color w:val="auto"/>
                <w:spacing w:val="-2"/>
                <w:highlight w:val="none"/>
                <w:lang w:val="en-US" w:eastAsia="zh-CN"/>
              </w:rPr>
              <w:t>表9-</w:t>
            </w:r>
            <w:r>
              <w:rPr>
                <w:rFonts w:hint="eastAsia" w:ascii="Times New Roman" w:hAnsi="Times New Roman" w:eastAsia="Times New Roman" w:cs="Times New Roman"/>
                <w:b/>
                <w:bCs/>
                <w:color w:val="auto"/>
                <w:spacing w:val="-2"/>
                <w:highlight w:val="none"/>
                <w:lang w:val="en-US" w:eastAsia="zh-CN"/>
              </w:rPr>
              <w:t>10</w:t>
            </w:r>
            <w:r>
              <w:rPr>
                <w:rFonts w:hint="default" w:ascii="Times New Roman" w:hAnsi="Times New Roman" w:eastAsia="Times New Roman" w:cs="Times New Roman"/>
                <w:b/>
                <w:bCs/>
                <w:color w:val="auto"/>
                <w:spacing w:val="-2"/>
                <w:highlight w:val="none"/>
                <w:lang w:val="en-US" w:eastAsia="zh-CN"/>
              </w:rPr>
              <w:t xml:space="preserve">  单光子药物诊断使用情况（碘）</w:t>
            </w:r>
          </w:p>
          <w:tbl>
            <w:tblPr>
              <w:tblStyle w:val="30"/>
              <w:tblW w:w="9068" w:type="dxa"/>
              <w:tblInd w:w="5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75"/>
              <w:gridCol w:w="1314"/>
              <w:gridCol w:w="1969"/>
              <w:gridCol w:w="1300"/>
              <w:gridCol w:w="1078"/>
              <w:gridCol w:w="1263"/>
              <w:gridCol w:w="1169"/>
            </w:tblGrid>
            <w:tr w14:paraId="604479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tcBorders>
                    <w:tl2br w:val="nil"/>
                    <w:tr2bl w:val="nil"/>
                  </w:tcBorders>
                  <w:vAlign w:val="center"/>
                </w:tcPr>
                <w:p w14:paraId="0EA755C8">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工作场所</w:t>
                  </w:r>
                </w:p>
              </w:tc>
              <w:tc>
                <w:tcPr>
                  <w:tcW w:w="1314" w:type="dxa"/>
                  <w:tcBorders>
                    <w:tl2br w:val="nil"/>
                    <w:tr2bl w:val="nil"/>
                  </w:tcBorders>
                  <w:vAlign w:val="center"/>
                </w:tcPr>
                <w:p w14:paraId="3ABDD71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核素</w:t>
                  </w:r>
                </w:p>
              </w:tc>
              <w:tc>
                <w:tcPr>
                  <w:tcW w:w="1969" w:type="dxa"/>
                  <w:tcBorders>
                    <w:tl2br w:val="nil"/>
                    <w:tr2bl w:val="nil"/>
                  </w:tcBorders>
                  <w:vAlign w:val="center"/>
                </w:tcPr>
                <w:p w14:paraId="3473965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单人最大用药量</w:t>
                  </w:r>
                </w:p>
                <w:p w14:paraId="10452B3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（Bq/人·次）</w:t>
                  </w:r>
                </w:p>
              </w:tc>
              <w:tc>
                <w:tcPr>
                  <w:tcW w:w="1300" w:type="dxa"/>
                  <w:tcBorders>
                    <w:tl2br w:val="nil"/>
                    <w:tr2bl w:val="nil"/>
                  </w:tcBorders>
                  <w:vAlign w:val="center"/>
                </w:tcPr>
                <w:p w14:paraId="0C7D9FF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日最大门诊量（人次）</w:t>
                  </w:r>
                </w:p>
              </w:tc>
              <w:tc>
                <w:tcPr>
                  <w:tcW w:w="1078" w:type="dxa"/>
                  <w:tcBorders>
                    <w:tl2br w:val="nil"/>
                    <w:tr2bl w:val="nil"/>
                  </w:tcBorders>
                  <w:vAlign w:val="center"/>
                </w:tcPr>
                <w:p w14:paraId="36D8AF7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年工作时间（天）</w:t>
                  </w:r>
                </w:p>
              </w:tc>
              <w:tc>
                <w:tcPr>
                  <w:tcW w:w="1263" w:type="dxa"/>
                  <w:tcBorders>
                    <w:tl2br w:val="nil"/>
                    <w:tr2bl w:val="nil"/>
                  </w:tcBorders>
                  <w:vAlign w:val="center"/>
                </w:tcPr>
                <w:p w14:paraId="4ADC814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日最大操作量</w:t>
                  </w:r>
                </w:p>
                <w:p w14:paraId="365FCEE6">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（Bq）</w:t>
                  </w:r>
                </w:p>
              </w:tc>
              <w:tc>
                <w:tcPr>
                  <w:tcW w:w="1169" w:type="dxa"/>
                  <w:tcBorders>
                    <w:tl2br w:val="nil"/>
                    <w:tr2bl w:val="nil"/>
                  </w:tcBorders>
                  <w:vAlign w:val="center"/>
                </w:tcPr>
                <w:p w14:paraId="6EF535D1">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cs="Times New Roman"/>
                      <w:color w:val="auto"/>
                      <w:kern w:val="0"/>
                      <w:sz w:val="20"/>
                      <w:szCs w:val="21"/>
                      <w:highlight w:val="none"/>
                      <w:lang w:val="en-US" w:eastAsia="en-US"/>
                    </w:rPr>
                  </w:pPr>
                  <w:r>
                    <w:rPr>
                      <w:rFonts w:hint="default" w:ascii="Times New Roman" w:hAnsi="Times New Roman" w:cs="Times New Roman"/>
                      <w:color w:val="auto"/>
                      <w:kern w:val="0"/>
                      <w:sz w:val="20"/>
                      <w:szCs w:val="21"/>
                      <w:highlight w:val="none"/>
                      <w:lang w:val="en-US" w:eastAsia="en-US"/>
                    </w:rPr>
                    <w:t>年最大使用量（Bq）</w:t>
                  </w:r>
                </w:p>
              </w:tc>
            </w:tr>
            <w:tr w14:paraId="2F400E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tcBorders>
                    <w:tl2br w:val="nil"/>
                    <w:tr2bl w:val="nil"/>
                  </w:tcBorders>
                  <w:vAlign w:val="center"/>
                </w:tcPr>
                <w:p w14:paraId="707275C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zh-CN"/>
                    </w:rPr>
                  </w:pPr>
                  <w:r>
                    <w:rPr>
                      <w:rFonts w:hint="default" w:ascii="Times New Roman" w:hAnsi="Times New Roman" w:cs="Times New Roman"/>
                      <w:color w:val="auto"/>
                      <w:kern w:val="0"/>
                      <w:sz w:val="18"/>
                      <w:szCs w:val="20"/>
                      <w:highlight w:val="none"/>
                      <w:lang w:val="en-US" w:eastAsia="zh-CN"/>
                    </w:rPr>
                    <w:t>SPECT诊断区</w:t>
                  </w:r>
                </w:p>
              </w:tc>
              <w:tc>
                <w:tcPr>
                  <w:tcW w:w="1314" w:type="dxa"/>
                  <w:tcBorders>
                    <w:tl2br w:val="nil"/>
                    <w:tr2bl w:val="nil"/>
                  </w:tcBorders>
                  <w:shd w:val="clear" w:color="auto" w:fill="auto"/>
                  <w:vAlign w:val="center"/>
                </w:tcPr>
                <w:p w14:paraId="72FF35E6">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vertAlign w:val="baseline"/>
                      <w:lang w:val="en-US" w:eastAsia="en-US"/>
                    </w:rPr>
                    <w:t>I-131</w:t>
                  </w:r>
                </w:p>
              </w:tc>
              <w:tc>
                <w:tcPr>
                  <w:tcW w:w="1969" w:type="dxa"/>
                  <w:tcBorders>
                    <w:tl2br w:val="nil"/>
                    <w:tr2bl w:val="nil"/>
                  </w:tcBorders>
                  <w:vAlign w:val="center"/>
                </w:tcPr>
                <w:p w14:paraId="082181F0">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1.85E+08Bq（</w:t>
                  </w:r>
                  <w:r>
                    <w:rPr>
                      <w:rFonts w:hint="default" w:ascii="Times New Roman" w:hAnsi="Times New Roman" w:cs="Times New Roman"/>
                      <w:color w:val="auto"/>
                      <w:kern w:val="0"/>
                      <w:sz w:val="20"/>
                      <w:szCs w:val="21"/>
                      <w:highlight w:val="none"/>
                      <w:lang w:val="en-US" w:eastAsia="zh-CN"/>
                    </w:rPr>
                    <w:t>5</w:t>
                  </w:r>
                  <w:r>
                    <w:rPr>
                      <w:rFonts w:hint="default" w:ascii="Times New Roman" w:hAnsi="Times New Roman" w:eastAsia="宋体" w:cs="Times New Roman"/>
                      <w:color w:val="auto"/>
                      <w:kern w:val="0"/>
                      <w:sz w:val="20"/>
                      <w:szCs w:val="21"/>
                      <w:highlight w:val="none"/>
                      <w:lang w:val="en-US" w:eastAsia="zh-CN"/>
                    </w:rPr>
                    <w:t>mCi）</w:t>
                  </w:r>
                </w:p>
              </w:tc>
              <w:tc>
                <w:tcPr>
                  <w:tcW w:w="1300" w:type="dxa"/>
                  <w:tcBorders>
                    <w:tl2br w:val="nil"/>
                    <w:tr2bl w:val="nil"/>
                  </w:tcBorders>
                  <w:shd w:val="clear" w:color="auto" w:fill="auto"/>
                  <w:vAlign w:val="center"/>
                </w:tcPr>
                <w:p w14:paraId="30FAA190">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cs="Times New Roman"/>
                      <w:color w:val="auto"/>
                      <w:kern w:val="0"/>
                      <w:sz w:val="20"/>
                      <w:szCs w:val="21"/>
                      <w:highlight w:val="none"/>
                      <w:lang w:val="en-US" w:eastAsia="zh-CN"/>
                    </w:rPr>
                    <w:t>60</w:t>
                  </w:r>
                </w:p>
              </w:tc>
              <w:tc>
                <w:tcPr>
                  <w:tcW w:w="1078" w:type="dxa"/>
                  <w:tcBorders>
                    <w:tl2br w:val="nil"/>
                    <w:tr2bl w:val="nil"/>
                  </w:tcBorders>
                  <w:shd w:val="clear" w:color="auto" w:fill="auto"/>
                  <w:vAlign w:val="center"/>
                </w:tcPr>
                <w:p w14:paraId="2FED23AF">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250</w:t>
                  </w:r>
                </w:p>
              </w:tc>
              <w:tc>
                <w:tcPr>
                  <w:tcW w:w="1263" w:type="dxa"/>
                  <w:tcBorders>
                    <w:tl2br w:val="nil"/>
                    <w:tr2bl w:val="nil"/>
                  </w:tcBorders>
                  <w:shd w:val="clear" w:color="auto" w:fill="auto"/>
                  <w:vAlign w:val="center"/>
                </w:tcPr>
                <w:p w14:paraId="13AB6356">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1.11E+10</w:t>
                  </w:r>
                </w:p>
              </w:tc>
              <w:tc>
                <w:tcPr>
                  <w:tcW w:w="1169" w:type="dxa"/>
                  <w:tcBorders>
                    <w:tl2br w:val="nil"/>
                    <w:tr2bl w:val="nil"/>
                  </w:tcBorders>
                  <w:shd w:val="clear" w:color="auto" w:fill="auto"/>
                  <w:vAlign w:val="center"/>
                </w:tcPr>
                <w:p w14:paraId="2A394A4A">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cs="Times New Roman"/>
                      <w:color w:val="auto"/>
                      <w:kern w:val="0"/>
                      <w:sz w:val="20"/>
                      <w:szCs w:val="21"/>
                      <w:highlight w:val="none"/>
                      <w:lang w:val="en-US" w:eastAsia="en-US"/>
                    </w:rPr>
                  </w:pPr>
                  <w:r>
                    <w:rPr>
                      <w:rFonts w:hint="eastAsia" w:ascii="Times New Roman" w:hAnsi="Times New Roman" w:cs="Times New Roman"/>
                      <w:color w:val="auto"/>
                      <w:kern w:val="0"/>
                      <w:sz w:val="20"/>
                      <w:szCs w:val="21"/>
                      <w:highlight w:val="none"/>
                      <w:lang w:val="en-US" w:eastAsia="zh-CN"/>
                    </w:rPr>
                    <w:t>2.78E+12</w:t>
                  </w:r>
                </w:p>
              </w:tc>
            </w:tr>
          </w:tbl>
          <w:p w14:paraId="6117137E">
            <w:pPr>
              <w:keepNext w:val="0"/>
              <w:keepLines w:val="0"/>
              <w:widowControl w:val="0"/>
              <w:suppressLineNumbers w:val="0"/>
              <w:autoSpaceDE w:val="0"/>
              <w:autoSpaceDN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9.1.</w:t>
            </w:r>
            <w:r>
              <w:rPr>
                <w:rFonts w:hint="default" w:ascii="Times New Roman" w:hAnsi="Times New Roman"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cs="Times New Roman"/>
                <w:b/>
                <w:bCs/>
                <w:color w:val="auto"/>
                <w:sz w:val="24"/>
                <w:szCs w:val="24"/>
                <w:highlight w:val="none"/>
                <w:lang w:val="en-US" w:eastAsia="zh-CN"/>
              </w:rPr>
              <w:t>4</w:t>
            </w:r>
            <w:r>
              <w:rPr>
                <w:rFonts w:hint="eastAsia"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vertAlign w:val="baseline"/>
                <w:lang w:val="en-US" w:eastAsia="zh-CN"/>
              </w:rPr>
              <w:t>I-131</w:t>
            </w:r>
            <w:r>
              <w:rPr>
                <w:rFonts w:hint="default" w:ascii="Times New Roman" w:hAnsi="Times New Roman" w:eastAsia="宋体" w:cs="Times New Roman"/>
                <w:b/>
                <w:bCs/>
                <w:color w:val="auto"/>
                <w:sz w:val="24"/>
                <w:szCs w:val="24"/>
                <w:highlight w:val="none"/>
                <w:lang w:val="en-US" w:eastAsia="zh-CN"/>
              </w:rPr>
              <w:t>甲状腺显像</w:t>
            </w:r>
            <w:r>
              <w:rPr>
                <w:rFonts w:hint="default" w:ascii="Times New Roman" w:hAnsi="Times New Roman" w:cs="Times New Roman"/>
                <w:b/>
                <w:bCs/>
                <w:color w:val="auto"/>
                <w:sz w:val="24"/>
                <w:szCs w:val="24"/>
                <w:highlight w:val="none"/>
                <w:lang w:val="en-US" w:eastAsia="zh-CN"/>
              </w:rPr>
              <w:t>流程</w:t>
            </w:r>
          </w:p>
          <w:p w14:paraId="2A12889C">
            <w:pPr>
              <w:keepNext w:val="0"/>
              <w:keepLines w:val="0"/>
              <w:widowControl w:val="0"/>
              <w:suppressLineNumbers w:val="0"/>
              <w:autoSpaceDE w:val="0"/>
              <w:autoSpaceDN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default" w:ascii="Times New Roman" w:hAnsi="Times New Roman" w:eastAsia="宋体" w:cs="Times New Roman"/>
                <w:color w:val="auto"/>
                <w:sz w:val="24"/>
                <w:szCs w:val="24"/>
                <w:highlight w:val="none"/>
                <w:lang w:val="en-US" w:eastAsia="zh-CN"/>
              </w:rPr>
              <w:t>碘是甲状腺合成甲状腺激素的原料之一，放射性的</w:t>
            </w:r>
            <w:r>
              <w:rPr>
                <w:rFonts w:hint="default" w:ascii="Times New Roman" w:hAnsi="Times New Roman" w:eastAsia="宋体" w:cs="Times New Roman"/>
                <w:color w:val="auto"/>
                <w:sz w:val="24"/>
                <w:szCs w:val="24"/>
                <w:highlight w:val="none"/>
                <w:vertAlign w:val="baseline"/>
                <w:lang w:val="en-US" w:eastAsia="zh-CN"/>
              </w:rPr>
              <w:t>I-131</w:t>
            </w:r>
            <w:r>
              <w:rPr>
                <w:rFonts w:hint="default" w:ascii="Times New Roman" w:hAnsi="Times New Roman" w:eastAsia="宋体" w:cs="Times New Roman"/>
                <w:color w:val="auto"/>
                <w:sz w:val="24"/>
                <w:szCs w:val="24"/>
                <w:highlight w:val="none"/>
                <w:lang w:val="en-US" w:eastAsia="zh-CN"/>
              </w:rPr>
              <w:t>也能被摄取并参与甲状腺激素的合成，其被摄取的量和速度与甲状腺功能密切相关。将</w:t>
            </w:r>
            <w:r>
              <w:rPr>
                <w:rFonts w:hint="default" w:ascii="Times New Roman" w:hAnsi="Times New Roman" w:eastAsia="宋体" w:cs="Times New Roman"/>
                <w:color w:val="auto"/>
                <w:sz w:val="24"/>
                <w:szCs w:val="24"/>
                <w:highlight w:val="none"/>
                <w:vertAlign w:val="baseline"/>
                <w:lang w:val="en-US" w:eastAsia="zh-CN"/>
              </w:rPr>
              <w:t>I-131</w:t>
            </w:r>
            <w:r>
              <w:rPr>
                <w:rFonts w:hint="default" w:ascii="Times New Roman" w:hAnsi="Times New Roman" w:eastAsia="宋体" w:cs="Times New Roman"/>
                <w:color w:val="auto"/>
                <w:sz w:val="24"/>
                <w:szCs w:val="24"/>
                <w:highlight w:val="none"/>
                <w:lang w:val="en-US" w:eastAsia="zh-CN"/>
              </w:rPr>
              <w:t>引入受检者体内，利用体外探测仪器测定甲状腺部位放射性计数的变化，可以了解</w:t>
            </w:r>
            <w:r>
              <w:rPr>
                <w:rFonts w:hint="default" w:ascii="Times New Roman" w:hAnsi="Times New Roman" w:eastAsia="宋体" w:cs="Times New Roman"/>
                <w:color w:val="auto"/>
                <w:sz w:val="24"/>
                <w:szCs w:val="24"/>
                <w:highlight w:val="none"/>
                <w:vertAlign w:val="baseline"/>
                <w:lang w:val="en-US" w:eastAsia="zh-CN"/>
              </w:rPr>
              <w:t>I-131</w:t>
            </w:r>
            <w:r>
              <w:rPr>
                <w:rFonts w:hint="default" w:ascii="Times New Roman" w:hAnsi="Times New Roman" w:eastAsia="宋体" w:cs="Times New Roman"/>
                <w:color w:val="auto"/>
                <w:sz w:val="24"/>
                <w:szCs w:val="24"/>
                <w:highlight w:val="none"/>
                <w:lang w:val="en-US" w:eastAsia="zh-CN"/>
              </w:rPr>
              <w:t>被甲状腺摄取的情况，从而判断甲状腺的功能。</w:t>
            </w:r>
            <w:r>
              <w:rPr>
                <w:rFonts w:hint="default" w:ascii="Times New Roman" w:hAnsi="Times New Roman" w:eastAsia="宋体" w:cs="Times New Roman"/>
                <w:b w:val="0"/>
                <w:bCs w:val="0"/>
                <w:i w:val="0"/>
                <w:iCs w:val="0"/>
                <w:strike w:val="0"/>
                <w:color w:val="auto"/>
                <w:sz w:val="24"/>
                <w:szCs w:val="24"/>
                <w:highlight w:val="none"/>
              </w:rPr>
              <w:t>具体流程如下：</w:t>
            </w:r>
          </w:p>
          <w:p w14:paraId="59493142">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①患者停用含碘丰富的食物和药物以及其它影响甲状腺吸碘功能的物质（如海产品、碘制剂、甲状腺激素、抗甲状腺药物等）2～4周。</w:t>
            </w:r>
          </w:p>
          <w:p w14:paraId="034C1383">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②医院根据需要进行甲状腺功能测定的人数向供药方定药。</w:t>
            </w:r>
          </w:p>
          <w:p w14:paraId="05823EF8">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③甲状腺功能测定用的</w:t>
            </w:r>
            <w:r>
              <w:rPr>
                <w:rFonts w:hint="default" w:ascii="Times New Roman" w:hAnsi="Times New Roman" w:cs="Times New Roman"/>
                <w:b w:val="0"/>
                <w:bCs w:val="0"/>
                <w:i w:val="0"/>
                <w:iCs w:val="0"/>
                <w:strike w:val="0"/>
                <w:color w:val="auto"/>
                <w:sz w:val="24"/>
                <w:szCs w:val="24"/>
                <w:highlight w:val="none"/>
                <w:vertAlign w:val="baseline"/>
                <w:lang w:eastAsia="zh-CN"/>
              </w:rPr>
              <w:t>I-131</w:t>
            </w:r>
            <w:r>
              <w:rPr>
                <w:rFonts w:hint="default" w:ascii="Times New Roman" w:hAnsi="Times New Roman" w:eastAsia="宋体" w:cs="Times New Roman"/>
                <w:b w:val="0"/>
                <w:bCs w:val="0"/>
                <w:i w:val="0"/>
                <w:iCs w:val="0"/>
                <w:strike w:val="0"/>
                <w:color w:val="auto"/>
                <w:sz w:val="24"/>
                <w:szCs w:val="24"/>
                <w:highlight w:val="none"/>
              </w:rPr>
              <w:t>量较少，供货方将甲状腺功能测定用的所有</w:t>
            </w:r>
            <w:r>
              <w:rPr>
                <w:rFonts w:hint="default" w:ascii="Times New Roman" w:hAnsi="Times New Roman" w:cs="Times New Roman"/>
                <w:b w:val="0"/>
                <w:bCs w:val="0"/>
                <w:i w:val="0"/>
                <w:iCs w:val="0"/>
                <w:strike w:val="0"/>
                <w:color w:val="auto"/>
                <w:sz w:val="24"/>
                <w:szCs w:val="24"/>
                <w:highlight w:val="none"/>
                <w:vertAlign w:val="baseline"/>
                <w:lang w:eastAsia="zh-CN"/>
              </w:rPr>
              <w:t>I-131</w:t>
            </w:r>
            <w:r>
              <w:rPr>
                <w:rFonts w:hint="default" w:ascii="Times New Roman" w:hAnsi="Times New Roman" w:eastAsia="宋体" w:cs="Times New Roman"/>
                <w:b w:val="0"/>
                <w:bCs w:val="0"/>
                <w:i w:val="0"/>
                <w:iCs w:val="0"/>
                <w:strike w:val="0"/>
                <w:color w:val="auto"/>
                <w:sz w:val="24"/>
                <w:szCs w:val="24"/>
                <w:highlight w:val="none"/>
              </w:rPr>
              <w:t>放于铅屏蔽容器内送至</w:t>
            </w:r>
            <w:r>
              <w:rPr>
                <w:rFonts w:hint="default" w:ascii="Times New Roman" w:hAnsi="Times New Roman" w:eastAsia="宋体" w:cs="Times New Roman"/>
                <w:b w:val="0"/>
                <w:bCs w:val="0"/>
                <w:i w:val="0"/>
                <w:iCs w:val="0"/>
                <w:strike w:val="0"/>
                <w:color w:val="auto"/>
                <w:sz w:val="24"/>
                <w:szCs w:val="24"/>
                <w:highlight w:val="none"/>
                <w:lang w:val="en-US" w:eastAsia="zh-CN"/>
              </w:rPr>
              <w:t>核医学楼一层储源室</w:t>
            </w:r>
            <w:r>
              <w:rPr>
                <w:rFonts w:hint="eastAsia" w:cs="Times New Roman"/>
                <w:b w:val="0"/>
                <w:bCs w:val="0"/>
                <w:i w:val="0"/>
                <w:iCs w:val="0"/>
                <w:strike w:val="0"/>
                <w:color w:val="auto"/>
                <w:sz w:val="24"/>
                <w:szCs w:val="24"/>
                <w:highlight w:val="none"/>
                <w:lang w:val="en-US" w:eastAsia="zh-CN"/>
              </w:rPr>
              <w:t>内</w:t>
            </w:r>
            <w:r>
              <w:rPr>
                <w:rFonts w:hint="default" w:ascii="Times New Roman" w:hAnsi="Times New Roman" w:eastAsia="宋体" w:cs="Times New Roman"/>
                <w:b w:val="0"/>
                <w:bCs w:val="0"/>
                <w:i w:val="0"/>
                <w:iCs w:val="0"/>
                <w:strike w:val="0"/>
                <w:color w:val="auto"/>
                <w:sz w:val="24"/>
                <w:szCs w:val="24"/>
                <w:highlight w:val="none"/>
              </w:rPr>
              <w:t>。核医学科工作人员核对药物信息后，确认无误后方可接收药物。</w:t>
            </w:r>
          </w:p>
          <w:p w14:paraId="6A1B1645">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val="0"/>
                <w:bCs w:val="0"/>
                <w:i w:val="0"/>
                <w:iCs w:val="0"/>
                <w:strike w:val="0"/>
                <w:color w:val="auto"/>
                <w:sz w:val="24"/>
                <w:szCs w:val="24"/>
                <w:highlight w:val="none"/>
              </w:rPr>
            </w:pPr>
            <w:r>
              <w:rPr>
                <w:rFonts w:hint="default" w:ascii="Times New Roman" w:hAnsi="Times New Roman" w:eastAsia="宋体" w:cs="Times New Roman"/>
                <w:b w:val="0"/>
                <w:bCs w:val="0"/>
                <w:i w:val="0"/>
                <w:iCs w:val="0"/>
                <w:strike w:val="0"/>
                <w:color w:val="auto"/>
                <w:sz w:val="24"/>
                <w:szCs w:val="24"/>
                <w:highlight w:val="none"/>
              </w:rPr>
              <w:t>④</w:t>
            </w:r>
            <w:r>
              <w:rPr>
                <w:rFonts w:hint="default" w:ascii="Times New Roman" w:hAnsi="Times New Roman" w:eastAsia="宋体" w:cs="Times New Roman"/>
                <w:b w:val="0"/>
                <w:bCs w:val="0"/>
                <w:i w:val="0"/>
                <w:iCs w:val="0"/>
                <w:strike w:val="0"/>
                <w:color w:val="auto"/>
                <w:sz w:val="24"/>
                <w:szCs w:val="24"/>
                <w:highlight w:val="none"/>
                <w:lang w:val="en-US" w:eastAsia="zh-CN"/>
              </w:rPr>
              <w:t>开展甲状腺显像时，工作人员在上班前将药罐放在分碘室的自动分碘仪内。接受诊断的患者在服碘室内等待，医护人员在分碘室内通过电脑控制系统操作碘自动分装仪自动分装药物，指导患者在服碘室服药</w:t>
            </w:r>
          </w:p>
          <w:p w14:paraId="0A0298C0">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val="0"/>
                <w:bCs w:val="0"/>
                <w:i w:val="0"/>
                <w:iCs w:val="0"/>
                <w:strike w:val="0"/>
                <w:color w:val="auto"/>
                <w:sz w:val="24"/>
                <w:szCs w:val="24"/>
                <w:highlight w:val="none"/>
                <w:lang w:val="en-US" w:eastAsia="zh-CN"/>
              </w:rPr>
            </w:pPr>
            <w:r>
              <w:rPr>
                <w:rFonts w:hint="default" w:ascii="Times New Roman" w:hAnsi="Times New Roman" w:eastAsia="宋体" w:cs="Times New Roman"/>
                <w:b w:val="0"/>
                <w:bCs w:val="0"/>
                <w:i w:val="0"/>
                <w:iCs w:val="0"/>
                <w:strike w:val="0"/>
                <w:color w:val="auto"/>
                <w:sz w:val="24"/>
                <w:szCs w:val="24"/>
                <w:highlight w:val="none"/>
                <w:lang w:val="en-US" w:eastAsia="zh-CN"/>
              </w:rPr>
              <w:t>⑤</w:t>
            </w:r>
            <w:r>
              <w:rPr>
                <w:rFonts w:hint="default" w:ascii="Times New Roman" w:hAnsi="Times New Roman" w:eastAsia="宋体" w:cs="Times New Roman"/>
                <w:b w:val="0"/>
                <w:bCs w:val="0"/>
                <w:i w:val="0"/>
                <w:iCs w:val="0"/>
                <w:strike w:val="0"/>
                <w:color w:val="auto"/>
                <w:sz w:val="24"/>
                <w:szCs w:val="24"/>
                <w:highlight w:val="none"/>
              </w:rPr>
              <w:t>患者需服用</w:t>
            </w:r>
            <w:r>
              <w:rPr>
                <w:rFonts w:hint="default" w:ascii="Times New Roman" w:hAnsi="Times New Roman" w:cs="Times New Roman"/>
                <w:b w:val="0"/>
                <w:bCs w:val="0"/>
                <w:i w:val="0"/>
                <w:iCs w:val="0"/>
                <w:strike w:val="0"/>
                <w:color w:val="auto"/>
                <w:sz w:val="24"/>
                <w:szCs w:val="24"/>
                <w:highlight w:val="none"/>
                <w:vertAlign w:val="baseline"/>
                <w:lang w:eastAsia="zh-CN"/>
              </w:rPr>
              <w:t>I-131</w:t>
            </w:r>
            <w:r>
              <w:rPr>
                <w:rFonts w:hint="default" w:ascii="Times New Roman" w:hAnsi="Times New Roman" w:eastAsia="宋体" w:cs="Times New Roman"/>
                <w:b w:val="0"/>
                <w:bCs w:val="0"/>
                <w:i w:val="0"/>
                <w:iCs w:val="0"/>
                <w:strike w:val="0"/>
                <w:color w:val="auto"/>
                <w:sz w:val="24"/>
                <w:szCs w:val="24"/>
                <w:highlight w:val="none"/>
              </w:rPr>
              <w:t>药量非常小，</w:t>
            </w:r>
            <w:r>
              <w:rPr>
                <w:rFonts w:hint="default" w:ascii="Times New Roman" w:hAnsi="Times New Roman" w:eastAsia="宋体" w:cs="Times New Roman"/>
                <w:b w:val="0"/>
                <w:bCs w:val="0"/>
                <w:i w:val="0"/>
                <w:iCs w:val="0"/>
                <w:strike w:val="0"/>
                <w:color w:val="auto"/>
                <w:sz w:val="24"/>
                <w:szCs w:val="24"/>
                <w:highlight w:val="none"/>
                <w:lang w:val="en-US" w:eastAsia="zh-CN"/>
              </w:rPr>
              <w:t>扫描完成后由患者走廊进入留观室留观，无异常后可以从病患专用出口离开核医学楼。</w:t>
            </w:r>
          </w:p>
          <w:p w14:paraId="3AD70A1B">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bCs/>
                <w:i w:val="0"/>
                <w:iCs w:val="0"/>
                <w:strike w:val="0"/>
                <w:color w:val="auto"/>
                <w:sz w:val="24"/>
                <w:szCs w:val="24"/>
                <w:highlight w:val="none"/>
                <w:lang w:val="en-US" w:eastAsia="zh-CN"/>
              </w:rPr>
            </w:pPr>
            <w:r>
              <w:rPr>
                <w:rFonts w:hint="default" w:ascii="Times New Roman" w:hAnsi="Times New Roman" w:eastAsia="宋体" w:cs="Times New Roman"/>
                <w:b/>
                <w:bCs/>
                <w:i w:val="0"/>
                <w:iCs w:val="0"/>
                <w:strike w:val="0"/>
                <w:color w:val="auto"/>
                <w:sz w:val="24"/>
                <w:szCs w:val="24"/>
                <w:highlight w:val="none"/>
                <w:lang w:val="en-US" w:eastAsia="zh-CN"/>
              </w:rPr>
              <w:t>9.1.</w:t>
            </w:r>
            <w:r>
              <w:rPr>
                <w:rFonts w:hint="default" w:ascii="Times New Roman" w:hAnsi="Times New Roman" w:cs="Times New Roman"/>
                <w:b/>
                <w:bCs/>
                <w:i w:val="0"/>
                <w:iCs w:val="0"/>
                <w:strike w:val="0"/>
                <w:color w:val="auto"/>
                <w:sz w:val="24"/>
                <w:szCs w:val="24"/>
                <w:highlight w:val="none"/>
                <w:lang w:val="en-US" w:eastAsia="zh-CN"/>
              </w:rPr>
              <w:t>2</w:t>
            </w:r>
            <w:r>
              <w:rPr>
                <w:rFonts w:hint="default" w:ascii="Times New Roman" w:hAnsi="Times New Roman" w:eastAsia="宋体" w:cs="Times New Roman"/>
                <w:b/>
                <w:bCs/>
                <w:i w:val="0"/>
                <w:iCs w:val="0"/>
                <w:strike w:val="0"/>
                <w:color w:val="auto"/>
                <w:sz w:val="24"/>
                <w:szCs w:val="24"/>
                <w:highlight w:val="none"/>
                <w:lang w:val="en-US" w:eastAsia="zh-CN"/>
              </w:rPr>
              <w:t>.5 Tc-99m、</w:t>
            </w:r>
            <w:r>
              <w:rPr>
                <w:rFonts w:hint="default" w:ascii="Times New Roman" w:hAnsi="Times New Roman" w:eastAsia="宋体" w:cs="Times New Roman"/>
                <w:b/>
                <w:bCs/>
                <w:i w:val="0"/>
                <w:iCs w:val="0"/>
                <w:strike w:val="0"/>
                <w:color w:val="auto"/>
                <w:sz w:val="24"/>
                <w:szCs w:val="24"/>
                <w:highlight w:val="none"/>
                <w:vertAlign w:val="baseline"/>
                <w:lang w:val="en-US" w:eastAsia="zh-CN"/>
              </w:rPr>
              <w:t>I-131</w:t>
            </w:r>
            <w:r>
              <w:rPr>
                <w:rFonts w:hint="default" w:ascii="Times New Roman" w:hAnsi="Times New Roman" w:eastAsia="宋体" w:cs="Times New Roman"/>
                <w:b/>
                <w:bCs/>
                <w:i w:val="0"/>
                <w:iCs w:val="0"/>
                <w:strike w:val="0"/>
                <w:color w:val="auto"/>
                <w:sz w:val="24"/>
                <w:szCs w:val="24"/>
                <w:highlight w:val="none"/>
                <w:lang w:val="en-US" w:eastAsia="zh-CN"/>
              </w:rPr>
              <w:t>药物、人员流线</w:t>
            </w:r>
          </w:p>
          <w:p w14:paraId="04B11020">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bCs/>
                <w:i w:val="0"/>
                <w:iCs w:val="0"/>
                <w:strike w:val="0"/>
                <w:color w:val="auto"/>
                <w:sz w:val="24"/>
                <w:szCs w:val="24"/>
                <w:highlight w:val="none"/>
              </w:rPr>
            </w:pPr>
            <w:r>
              <w:rPr>
                <w:rFonts w:hint="default" w:ascii="Times New Roman" w:hAnsi="Times New Roman" w:eastAsia="宋体" w:cs="Times New Roman"/>
                <w:b/>
                <w:bCs/>
                <w:i w:val="0"/>
                <w:iCs w:val="0"/>
                <w:strike w:val="0"/>
                <w:color w:val="auto"/>
                <w:sz w:val="24"/>
                <w:szCs w:val="24"/>
                <w:highlight w:val="none"/>
              </w:rPr>
              <w:t>①药物路线</w:t>
            </w:r>
          </w:p>
          <w:p w14:paraId="02D9678F">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vertAlign w:val="superscript"/>
              </w:rPr>
              <w:t>99m</w:t>
            </w:r>
            <w:r>
              <w:rPr>
                <w:rFonts w:hint="default" w:ascii="Times New Roman" w:hAnsi="Times New Roman" w:eastAsia="宋体" w:cs="Times New Roman"/>
                <w:b w:val="0"/>
                <w:bCs w:val="0"/>
                <w:i w:val="0"/>
                <w:iCs w:val="0"/>
                <w:strike w:val="0"/>
                <w:color w:val="auto"/>
                <w:sz w:val="24"/>
                <w:szCs w:val="24"/>
                <w:highlight w:val="none"/>
              </w:rPr>
              <w:t>Tc药物利用钼锝发生器淋洗制备，暂存于负一层</w:t>
            </w:r>
            <w:r>
              <w:rPr>
                <w:rFonts w:hint="eastAsia" w:cs="Times New Roman"/>
                <w:b w:val="0"/>
                <w:bCs w:val="0"/>
                <w:i w:val="0"/>
                <w:iCs w:val="0"/>
                <w:strike w:val="0"/>
                <w:color w:val="auto"/>
                <w:sz w:val="24"/>
                <w:szCs w:val="24"/>
                <w:highlight w:val="none"/>
                <w:lang w:val="en-US" w:eastAsia="zh-CN"/>
              </w:rPr>
              <w:t>放射性原料库内，使用前转移至</w:t>
            </w:r>
            <w:r>
              <w:rPr>
                <w:rFonts w:hint="default" w:ascii="Times New Roman" w:hAnsi="Times New Roman" w:eastAsia="宋体" w:cs="Times New Roman"/>
                <w:b w:val="0"/>
                <w:bCs w:val="0"/>
                <w:i w:val="0"/>
                <w:iCs w:val="0"/>
                <w:strike w:val="0"/>
                <w:color w:val="auto"/>
                <w:sz w:val="24"/>
                <w:szCs w:val="24"/>
                <w:highlight w:val="none"/>
              </w:rPr>
              <w:t>单光子药物生产车间标记/分装室，</w:t>
            </w:r>
            <w:r>
              <w:rPr>
                <w:rFonts w:hint="eastAsia" w:cs="Times New Roman"/>
                <w:b w:val="0"/>
                <w:bCs w:val="0"/>
                <w:i w:val="0"/>
                <w:iCs w:val="0"/>
                <w:strike w:val="0"/>
                <w:color w:val="auto"/>
                <w:sz w:val="24"/>
                <w:szCs w:val="24"/>
                <w:highlight w:val="none"/>
                <w:lang w:val="en-US" w:eastAsia="zh-CN"/>
              </w:rPr>
              <w:t>完成生产后</w:t>
            </w:r>
            <w:r>
              <w:rPr>
                <w:rFonts w:hint="default" w:ascii="Times New Roman" w:hAnsi="Times New Roman" w:eastAsia="宋体" w:cs="Times New Roman"/>
                <w:b w:val="0"/>
                <w:bCs w:val="0"/>
                <w:i w:val="0"/>
                <w:iCs w:val="0"/>
                <w:strike w:val="0"/>
                <w:color w:val="auto"/>
                <w:sz w:val="24"/>
                <w:szCs w:val="24"/>
                <w:highlight w:val="none"/>
              </w:rPr>
              <w:t>药物</w:t>
            </w:r>
            <w:r>
              <w:rPr>
                <w:rFonts w:hint="eastAsia" w:cs="Times New Roman"/>
                <w:b w:val="0"/>
                <w:bCs w:val="0"/>
                <w:i w:val="0"/>
                <w:iCs w:val="0"/>
                <w:strike w:val="0"/>
                <w:color w:val="auto"/>
                <w:sz w:val="24"/>
                <w:szCs w:val="24"/>
                <w:highlight w:val="none"/>
                <w:lang w:val="en-US" w:eastAsia="zh-CN"/>
              </w:rPr>
              <w:t>通过</w:t>
            </w:r>
            <w:r>
              <w:rPr>
                <w:rFonts w:hint="default" w:ascii="Times New Roman" w:hAnsi="Times New Roman" w:eastAsia="宋体" w:cs="Times New Roman"/>
                <w:b w:val="0"/>
                <w:bCs w:val="0"/>
                <w:i w:val="0"/>
                <w:iCs w:val="0"/>
                <w:strike w:val="0"/>
                <w:color w:val="auto"/>
                <w:sz w:val="24"/>
                <w:szCs w:val="24"/>
                <w:highlight w:val="none"/>
              </w:rPr>
              <w:t>专用传药梯传送至一层SPECT-CT区域注射准备室内。</w:t>
            </w:r>
          </w:p>
          <w:p w14:paraId="087A6F81">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eastAsia" w:cs="Times New Roman"/>
                <w:b w:val="0"/>
                <w:bCs w:val="0"/>
                <w:i w:val="0"/>
                <w:iCs w:val="0"/>
                <w:strike w:val="0"/>
                <w:color w:val="auto"/>
                <w:sz w:val="24"/>
                <w:szCs w:val="24"/>
                <w:highlight w:val="none"/>
                <w:vertAlign w:val="baseline"/>
                <w:lang w:eastAsia="zh-CN"/>
              </w:rPr>
              <w:t>I-131</w:t>
            </w:r>
            <w:r>
              <w:rPr>
                <w:rFonts w:hint="default" w:ascii="Times New Roman" w:hAnsi="Times New Roman" w:eastAsia="宋体" w:cs="Times New Roman"/>
                <w:b w:val="0"/>
                <w:bCs w:val="0"/>
                <w:i w:val="0"/>
                <w:iCs w:val="0"/>
                <w:strike w:val="0"/>
                <w:color w:val="auto"/>
                <w:sz w:val="24"/>
                <w:szCs w:val="24"/>
                <w:highlight w:val="none"/>
              </w:rPr>
              <w:t>药物拟通过专用通道</w:t>
            </w:r>
            <w:r>
              <w:rPr>
                <w:rFonts w:hint="default" w:ascii="Times New Roman" w:hAnsi="Times New Roman" w:eastAsia="宋体" w:cs="Times New Roman"/>
                <w:b w:val="0"/>
                <w:bCs w:val="0"/>
                <w:i w:val="0"/>
                <w:iCs w:val="0"/>
                <w:strike w:val="0"/>
                <w:color w:val="auto"/>
                <w:sz w:val="24"/>
                <w:szCs w:val="24"/>
                <w:highlight w:val="none"/>
                <w:lang w:val="en-US" w:eastAsia="zh-CN"/>
              </w:rPr>
              <w:t>将预约用量的药物送至核医学楼</w:t>
            </w:r>
            <w:r>
              <w:rPr>
                <w:rFonts w:hint="eastAsia" w:cs="Times New Roman"/>
                <w:b w:val="0"/>
                <w:bCs w:val="0"/>
                <w:i w:val="0"/>
                <w:iCs w:val="0"/>
                <w:strike w:val="0"/>
                <w:color w:val="auto"/>
                <w:sz w:val="24"/>
                <w:szCs w:val="24"/>
                <w:highlight w:val="none"/>
                <w:lang w:val="en-US" w:eastAsia="zh-CN"/>
              </w:rPr>
              <w:t>一</w:t>
            </w:r>
            <w:r>
              <w:rPr>
                <w:rFonts w:hint="default" w:ascii="Times New Roman" w:hAnsi="Times New Roman" w:eastAsia="宋体" w:cs="Times New Roman"/>
                <w:b w:val="0"/>
                <w:bCs w:val="0"/>
                <w:i w:val="0"/>
                <w:iCs w:val="0"/>
                <w:strike w:val="0"/>
                <w:color w:val="auto"/>
                <w:sz w:val="24"/>
                <w:szCs w:val="24"/>
                <w:highlight w:val="none"/>
                <w:lang w:val="en-US" w:eastAsia="zh-CN"/>
              </w:rPr>
              <w:t>层</w:t>
            </w:r>
            <w:r>
              <w:rPr>
                <w:rFonts w:hint="eastAsia" w:cs="Times New Roman"/>
                <w:b w:val="0"/>
                <w:bCs w:val="0"/>
                <w:i w:val="0"/>
                <w:iCs w:val="0"/>
                <w:strike w:val="0"/>
                <w:color w:val="auto"/>
                <w:sz w:val="24"/>
                <w:szCs w:val="24"/>
                <w:highlight w:val="none"/>
                <w:lang w:val="en-US" w:eastAsia="zh-CN"/>
              </w:rPr>
              <w:t>分碘室</w:t>
            </w:r>
            <w:r>
              <w:rPr>
                <w:rFonts w:hint="default" w:ascii="Times New Roman" w:hAnsi="Times New Roman" w:eastAsia="宋体" w:cs="Times New Roman"/>
                <w:b w:val="0"/>
                <w:bCs w:val="0"/>
                <w:i w:val="0"/>
                <w:iCs w:val="0"/>
                <w:strike w:val="0"/>
                <w:color w:val="auto"/>
                <w:sz w:val="24"/>
                <w:szCs w:val="24"/>
                <w:highlight w:val="none"/>
                <w:lang w:val="en-US" w:eastAsia="zh-CN"/>
              </w:rPr>
              <w:t>储源室内，安排专人接收放射性核素，经确认无误完成相关交接手续</w:t>
            </w:r>
            <w:r>
              <w:rPr>
                <w:rFonts w:hint="default" w:ascii="Times New Roman" w:hAnsi="Times New Roman" w:eastAsia="宋体" w:cs="Times New Roman"/>
                <w:b w:val="0"/>
                <w:bCs w:val="0"/>
                <w:i w:val="0"/>
                <w:iCs w:val="0"/>
                <w:strike w:val="0"/>
                <w:color w:val="auto"/>
                <w:sz w:val="24"/>
                <w:szCs w:val="24"/>
                <w:highlight w:val="none"/>
              </w:rPr>
              <w:t>，</w:t>
            </w:r>
            <w:r>
              <w:rPr>
                <w:rFonts w:hint="eastAsia" w:cs="Times New Roman"/>
                <w:b w:val="0"/>
                <w:bCs w:val="0"/>
                <w:i w:val="0"/>
                <w:iCs w:val="0"/>
                <w:strike w:val="0"/>
                <w:color w:val="auto"/>
                <w:sz w:val="24"/>
                <w:szCs w:val="24"/>
                <w:highlight w:val="none"/>
                <w:lang w:val="en-US" w:eastAsia="zh-CN"/>
              </w:rPr>
              <w:t>药物</w:t>
            </w:r>
            <w:r>
              <w:rPr>
                <w:rFonts w:hint="default" w:ascii="Times New Roman" w:hAnsi="Times New Roman" w:eastAsia="宋体" w:cs="Times New Roman"/>
                <w:b w:val="0"/>
                <w:bCs w:val="0"/>
                <w:i w:val="0"/>
                <w:iCs w:val="0"/>
                <w:strike w:val="0"/>
                <w:color w:val="auto"/>
                <w:sz w:val="24"/>
                <w:szCs w:val="24"/>
                <w:highlight w:val="none"/>
              </w:rPr>
              <w:t>根据约定时间，在上班之前，由专人接收。</w:t>
            </w:r>
          </w:p>
          <w:p w14:paraId="131E004B">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bCs/>
                <w:i w:val="0"/>
                <w:iCs w:val="0"/>
                <w:strike w:val="0"/>
                <w:color w:val="auto"/>
                <w:sz w:val="24"/>
                <w:szCs w:val="24"/>
                <w:highlight w:val="none"/>
              </w:rPr>
            </w:pPr>
            <w:r>
              <w:rPr>
                <w:rFonts w:hint="default" w:ascii="Times New Roman" w:hAnsi="Times New Roman" w:eastAsia="宋体" w:cs="Times New Roman"/>
                <w:b/>
                <w:bCs/>
                <w:i w:val="0"/>
                <w:iCs w:val="0"/>
                <w:strike w:val="0"/>
                <w:color w:val="auto"/>
                <w:sz w:val="24"/>
                <w:szCs w:val="24"/>
                <w:highlight w:val="none"/>
              </w:rPr>
              <w:t>②患者路线</w:t>
            </w:r>
          </w:p>
          <w:p w14:paraId="46F9543A">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SPECT诊断患者由</w:t>
            </w:r>
            <w:r>
              <w:rPr>
                <w:rFonts w:hint="default" w:ascii="Times New Roman" w:hAnsi="Times New Roman" w:cs="Times New Roman"/>
                <w:b w:val="0"/>
                <w:bCs w:val="0"/>
                <w:i w:val="0"/>
                <w:iCs w:val="0"/>
                <w:strike w:val="0"/>
                <w:color w:val="auto"/>
                <w:sz w:val="24"/>
                <w:szCs w:val="24"/>
                <w:highlight w:val="none"/>
                <w:lang w:eastAsia="zh-CN"/>
              </w:rPr>
              <w:t>核医学楼</w:t>
            </w:r>
            <w:r>
              <w:rPr>
                <w:rFonts w:hint="eastAsia" w:cs="Times New Roman"/>
                <w:b w:val="0"/>
                <w:bCs w:val="0"/>
                <w:i w:val="0"/>
                <w:iCs w:val="0"/>
                <w:strike w:val="0"/>
                <w:color w:val="auto"/>
                <w:sz w:val="24"/>
                <w:szCs w:val="24"/>
                <w:highlight w:val="none"/>
                <w:lang w:val="en-US" w:eastAsia="zh-CN"/>
              </w:rPr>
              <w:t>西侧</w:t>
            </w:r>
            <w:r>
              <w:rPr>
                <w:rFonts w:hint="default" w:ascii="Times New Roman" w:hAnsi="Times New Roman" w:eastAsia="宋体" w:cs="Times New Roman"/>
                <w:b w:val="0"/>
                <w:bCs w:val="0"/>
                <w:i w:val="0"/>
                <w:iCs w:val="0"/>
                <w:strike w:val="0"/>
                <w:color w:val="auto"/>
                <w:sz w:val="24"/>
                <w:szCs w:val="24"/>
                <w:highlight w:val="none"/>
              </w:rPr>
              <w:t>一层病患入口进入</w:t>
            </w:r>
            <w:r>
              <w:rPr>
                <w:rFonts w:hint="default" w:ascii="Times New Roman" w:hAnsi="Times New Roman" w:cs="Times New Roman"/>
                <w:b w:val="0"/>
                <w:bCs w:val="0"/>
                <w:i w:val="0"/>
                <w:iCs w:val="0"/>
                <w:strike w:val="0"/>
                <w:color w:val="auto"/>
                <w:sz w:val="24"/>
                <w:szCs w:val="24"/>
                <w:highlight w:val="none"/>
                <w:lang w:eastAsia="zh-CN"/>
              </w:rPr>
              <w:t>核医学楼</w:t>
            </w:r>
            <w:r>
              <w:rPr>
                <w:rFonts w:hint="default" w:ascii="Times New Roman" w:hAnsi="Times New Roman" w:eastAsia="宋体" w:cs="Times New Roman"/>
                <w:b w:val="0"/>
                <w:bCs w:val="0"/>
                <w:i w:val="0"/>
                <w:iCs w:val="0"/>
                <w:strike w:val="0"/>
                <w:color w:val="auto"/>
                <w:sz w:val="24"/>
                <w:szCs w:val="24"/>
                <w:highlight w:val="none"/>
              </w:rPr>
              <w:t>登记预约，在候诊厅候诊，患者通过病患入口进入注射室和服碘室完成给药后，核素显像检查的患者前往SPECT-CT区注射后休息室休息、候诊，然后进入SPECT-CT机房扫描检查。扫描完成后由患者走廊进入留观室留观，无异常后可以从</w:t>
            </w:r>
            <w:r>
              <w:rPr>
                <w:rFonts w:hint="default" w:ascii="Times New Roman" w:hAnsi="Times New Roman" w:eastAsia="宋体" w:cs="Times New Roman"/>
                <w:b w:val="0"/>
                <w:bCs w:val="0"/>
                <w:i w:val="0"/>
                <w:iCs w:val="0"/>
                <w:strike w:val="0"/>
                <w:color w:val="auto"/>
                <w:sz w:val="24"/>
                <w:szCs w:val="24"/>
                <w:highlight w:val="none"/>
                <w:lang w:eastAsia="zh-CN"/>
              </w:rPr>
              <w:t>核医学楼</w:t>
            </w:r>
            <w:r>
              <w:rPr>
                <w:rFonts w:hint="eastAsia" w:cs="Times New Roman"/>
                <w:b w:val="0"/>
                <w:bCs w:val="0"/>
                <w:i w:val="0"/>
                <w:iCs w:val="0"/>
                <w:strike w:val="0"/>
                <w:color w:val="auto"/>
                <w:sz w:val="24"/>
                <w:szCs w:val="24"/>
                <w:highlight w:val="none"/>
                <w:lang w:val="en-US" w:eastAsia="zh-CN"/>
              </w:rPr>
              <w:t>东</w:t>
            </w:r>
            <w:r>
              <w:rPr>
                <w:rFonts w:hint="default" w:ascii="Times New Roman" w:hAnsi="Times New Roman" w:eastAsia="宋体" w:cs="Times New Roman"/>
                <w:b w:val="0"/>
                <w:bCs w:val="0"/>
                <w:i w:val="0"/>
                <w:iCs w:val="0"/>
                <w:strike w:val="0"/>
                <w:color w:val="auto"/>
                <w:sz w:val="24"/>
                <w:szCs w:val="24"/>
                <w:highlight w:val="none"/>
                <w:lang w:val="en-US" w:eastAsia="zh-CN"/>
              </w:rPr>
              <w:t>侧</w:t>
            </w:r>
            <w:r>
              <w:rPr>
                <w:rFonts w:hint="default" w:ascii="Times New Roman" w:hAnsi="Times New Roman" w:eastAsia="宋体" w:cs="Times New Roman"/>
                <w:b w:val="0"/>
                <w:bCs w:val="0"/>
                <w:i w:val="0"/>
                <w:iCs w:val="0"/>
                <w:strike w:val="0"/>
                <w:color w:val="auto"/>
                <w:sz w:val="24"/>
                <w:szCs w:val="24"/>
                <w:highlight w:val="none"/>
              </w:rPr>
              <w:t>病患专用出口离开</w:t>
            </w:r>
            <w:r>
              <w:rPr>
                <w:rFonts w:hint="default" w:ascii="Times New Roman" w:hAnsi="Times New Roman" w:cs="Times New Roman"/>
                <w:b w:val="0"/>
                <w:bCs w:val="0"/>
                <w:i w:val="0"/>
                <w:iCs w:val="0"/>
                <w:strike w:val="0"/>
                <w:color w:val="auto"/>
                <w:sz w:val="24"/>
                <w:szCs w:val="24"/>
                <w:highlight w:val="none"/>
                <w:lang w:eastAsia="zh-CN"/>
              </w:rPr>
              <w:t>核医学楼</w:t>
            </w:r>
            <w:r>
              <w:rPr>
                <w:rFonts w:hint="default" w:ascii="Times New Roman" w:hAnsi="Times New Roman" w:eastAsia="宋体" w:cs="Times New Roman"/>
                <w:b w:val="0"/>
                <w:bCs w:val="0"/>
                <w:i w:val="0"/>
                <w:iCs w:val="0"/>
                <w:strike w:val="0"/>
                <w:color w:val="auto"/>
                <w:sz w:val="24"/>
                <w:szCs w:val="24"/>
                <w:highlight w:val="none"/>
              </w:rPr>
              <w:t>。</w:t>
            </w:r>
          </w:p>
          <w:p w14:paraId="7C0A2F2A">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bCs/>
                <w:i w:val="0"/>
                <w:iCs w:val="0"/>
                <w:strike w:val="0"/>
                <w:color w:val="auto"/>
                <w:sz w:val="24"/>
                <w:szCs w:val="24"/>
                <w:highlight w:val="none"/>
              </w:rPr>
            </w:pPr>
            <w:r>
              <w:rPr>
                <w:rFonts w:hint="default" w:ascii="Times New Roman" w:hAnsi="Times New Roman" w:eastAsia="宋体" w:cs="Times New Roman"/>
                <w:b/>
                <w:bCs/>
                <w:i w:val="0"/>
                <w:iCs w:val="0"/>
                <w:strike w:val="0"/>
                <w:color w:val="auto"/>
                <w:sz w:val="24"/>
                <w:szCs w:val="24"/>
                <w:highlight w:val="none"/>
              </w:rPr>
              <w:t>③医务人员路线</w:t>
            </w:r>
          </w:p>
          <w:p w14:paraId="48E1FBF0">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vertAlign w:val="superscript"/>
              </w:rPr>
              <w:t>99m</w:t>
            </w:r>
            <w:r>
              <w:rPr>
                <w:rFonts w:hint="default" w:ascii="Times New Roman" w:hAnsi="Times New Roman" w:eastAsia="宋体" w:cs="Times New Roman"/>
                <w:b w:val="0"/>
                <w:bCs w:val="0"/>
                <w:i w:val="0"/>
                <w:iCs w:val="0"/>
                <w:strike w:val="0"/>
                <w:color w:val="auto"/>
                <w:sz w:val="24"/>
                <w:szCs w:val="24"/>
                <w:highlight w:val="none"/>
              </w:rPr>
              <w:t>Tc药物操作工作人员</w:t>
            </w:r>
            <w:r>
              <w:rPr>
                <w:rFonts w:hint="eastAsia" w:cs="Times New Roman"/>
                <w:b w:val="0"/>
                <w:bCs w:val="0"/>
                <w:i w:val="0"/>
                <w:iCs w:val="0"/>
                <w:strike w:val="0"/>
                <w:color w:val="auto"/>
                <w:sz w:val="24"/>
                <w:szCs w:val="24"/>
                <w:highlight w:val="none"/>
                <w:lang w:eastAsia="zh-CN"/>
              </w:rPr>
              <w:t>坐</w:t>
            </w:r>
            <w:r>
              <w:rPr>
                <w:rFonts w:hint="eastAsia" w:cs="Times New Roman"/>
                <w:b w:val="0"/>
                <w:bCs w:val="0"/>
                <w:i w:val="0"/>
                <w:iCs w:val="0"/>
                <w:strike w:val="0"/>
                <w:color w:val="auto"/>
                <w:sz w:val="24"/>
                <w:szCs w:val="24"/>
                <w:highlight w:val="none"/>
                <w:lang w:val="en-US" w:eastAsia="zh-CN"/>
              </w:rPr>
              <w:t>医梯至负一层，经</w:t>
            </w:r>
            <w:r>
              <w:rPr>
                <w:rFonts w:hint="default" w:ascii="Times New Roman" w:hAnsi="Times New Roman" w:eastAsia="宋体" w:cs="Times New Roman"/>
                <w:b w:val="0"/>
                <w:bCs w:val="0"/>
                <w:i w:val="0"/>
                <w:iCs w:val="0"/>
                <w:strike w:val="0"/>
                <w:color w:val="auto"/>
                <w:sz w:val="24"/>
                <w:szCs w:val="24"/>
                <w:highlight w:val="none"/>
              </w:rPr>
              <w:t>一更、二更、缓冲区进入单光子药物生产车间标记/分装</w:t>
            </w:r>
            <w:r>
              <w:rPr>
                <w:rFonts w:hint="eastAsia" w:cs="Times New Roman"/>
                <w:b w:val="0"/>
                <w:bCs w:val="0"/>
                <w:i w:val="0"/>
                <w:iCs w:val="0"/>
                <w:strike w:val="0"/>
                <w:color w:val="auto"/>
                <w:sz w:val="24"/>
                <w:szCs w:val="24"/>
                <w:highlight w:val="none"/>
                <w:lang w:eastAsia="zh-CN"/>
              </w:rPr>
              <w:t>室</w:t>
            </w:r>
            <w:r>
              <w:rPr>
                <w:rFonts w:hint="default" w:ascii="Times New Roman" w:hAnsi="Times New Roman" w:eastAsia="宋体" w:cs="Times New Roman"/>
                <w:b w:val="0"/>
                <w:bCs w:val="0"/>
                <w:i w:val="0"/>
                <w:iCs w:val="0"/>
                <w:strike w:val="0"/>
                <w:color w:val="auto"/>
                <w:sz w:val="24"/>
                <w:szCs w:val="24"/>
                <w:highlight w:val="none"/>
              </w:rPr>
              <w:t>，药物分装完毕后通过药物专用传药梯传递到</w:t>
            </w:r>
            <w:r>
              <w:rPr>
                <w:rFonts w:hint="default" w:ascii="Times New Roman" w:hAnsi="Times New Roman" w:cs="Times New Roman"/>
                <w:b w:val="0"/>
                <w:bCs w:val="0"/>
                <w:i w:val="0"/>
                <w:iCs w:val="0"/>
                <w:strike w:val="0"/>
                <w:color w:val="auto"/>
                <w:sz w:val="24"/>
                <w:szCs w:val="24"/>
                <w:highlight w:val="none"/>
                <w:lang w:eastAsia="zh-CN"/>
              </w:rPr>
              <w:t>核医学楼</w:t>
            </w:r>
            <w:r>
              <w:rPr>
                <w:rFonts w:hint="default" w:ascii="Times New Roman" w:hAnsi="Times New Roman" w:eastAsia="宋体" w:cs="Times New Roman"/>
                <w:b w:val="0"/>
                <w:bCs w:val="0"/>
                <w:i w:val="0"/>
                <w:iCs w:val="0"/>
                <w:strike w:val="0"/>
                <w:color w:val="auto"/>
                <w:sz w:val="24"/>
                <w:szCs w:val="24"/>
                <w:highlight w:val="none"/>
              </w:rPr>
              <w:t>一层SPECT/CT区注射准备室，由注射人员在注射窗口给患者注射，完成后通过去污、表污检测达标后原路返回离开</w:t>
            </w:r>
            <w:r>
              <w:rPr>
                <w:rFonts w:hint="default" w:ascii="Times New Roman" w:hAnsi="Times New Roman" w:cs="Times New Roman"/>
                <w:b w:val="0"/>
                <w:bCs w:val="0"/>
                <w:i w:val="0"/>
                <w:iCs w:val="0"/>
                <w:strike w:val="0"/>
                <w:color w:val="auto"/>
                <w:sz w:val="24"/>
                <w:szCs w:val="24"/>
                <w:highlight w:val="none"/>
                <w:lang w:eastAsia="zh-CN"/>
              </w:rPr>
              <w:t>核医学楼</w:t>
            </w:r>
            <w:r>
              <w:rPr>
                <w:rFonts w:hint="default" w:ascii="Times New Roman" w:hAnsi="Times New Roman" w:eastAsia="宋体" w:cs="Times New Roman"/>
                <w:b w:val="0"/>
                <w:bCs w:val="0"/>
                <w:i w:val="0"/>
                <w:iCs w:val="0"/>
                <w:strike w:val="0"/>
                <w:color w:val="auto"/>
                <w:sz w:val="24"/>
                <w:szCs w:val="24"/>
                <w:highlight w:val="none"/>
              </w:rPr>
              <w:t>。</w:t>
            </w:r>
          </w:p>
          <w:p w14:paraId="15A1F603">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eastAsia" w:cs="Times New Roman"/>
                <w:b w:val="0"/>
                <w:bCs w:val="0"/>
                <w:i w:val="0"/>
                <w:iCs w:val="0"/>
                <w:strike w:val="0"/>
                <w:color w:val="auto"/>
                <w:sz w:val="24"/>
                <w:szCs w:val="24"/>
                <w:highlight w:val="none"/>
                <w:vertAlign w:val="baseline"/>
                <w:lang w:eastAsia="zh-CN"/>
              </w:rPr>
              <w:t>I-131</w:t>
            </w:r>
            <w:r>
              <w:rPr>
                <w:rFonts w:hint="default" w:ascii="Times New Roman" w:hAnsi="Times New Roman" w:eastAsia="宋体" w:cs="Times New Roman"/>
                <w:b w:val="0"/>
                <w:bCs w:val="0"/>
                <w:i w:val="0"/>
                <w:iCs w:val="0"/>
                <w:strike w:val="0"/>
                <w:color w:val="auto"/>
                <w:sz w:val="24"/>
                <w:szCs w:val="24"/>
                <w:highlight w:val="none"/>
              </w:rPr>
              <w:t>药物操作工作人员</w:t>
            </w:r>
            <w:r>
              <w:rPr>
                <w:rFonts w:hint="default" w:ascii="Times New Roman" w:hAnsi="Times New Roman" w:eastAsia="宋体" w:cs="Times New Roman"/>
                <w:b w:val="0"/>
                <w:bCs w:val="0"/>
                <w:i w:val="0"/>
                <w:iCs w:val="0"/>
                <w:strike w:val="0"/>
                <w:color w:val="auto"/>
                <w:sz w:val="24"/>
                <w:szCs w:val="24"/>
                <w:highlight w:val="none"/>
                <w:lang w:val="en-US" w:eastAsia="zh-CN"/>
              </w:rPr>
              <w:t>经过</w:t>
            </w:r>
            <w:r>
              <w:rPr>
                <w:rFonts w:hint="eastAsia" w:cs="Times New Roman"/>
                <w:b w:val="0"/>
                <w:bCs w:val="0"/>
                <w:i w:val="0"/>
                <w:iCs w:val="0"/>
                <w:strike w:val="0"/>
                <w:color w:val="auto"/>
                <w:sz w:val="24"/>
                <w:szCs w:val="24"/>
                <w:highlight w:val="none"/>
                <w:lang w:val="en-US" w:eastAsia="zh-CN"/>
              </w:rPr>
              <w:t>一层医护通道进入卫生通过间，完成更衣后，到达分碘室，完成分药、发药</w:t>
            </w:r>
            <w:r>
              <w:rPr>
                <w:rFonts w:hint="default" w:ascii="Times New Roman" w:hAnsi="Times New Roman" w:eastAsia="宋体" w:cs="Times New Roman"/>
                <w:b w:val="0"/>
                <w:bCs w:val="0"/>
                <w:i w:val="0"/>
                <w:iCs w:val="0"/>
                <w:strike w:val="0"/>
                <w:color w:val="auto"/>
                <w:sz w:val="24"/>
                <w:szCs w:val="24"/>
                <w:highlight w:val="none"/>
              </w:rPr>
              <w:t>后通过去污、表污检测达标后原路返回离开</w:t>
            </w:r>
            <w:r>
              <w:rPr>
                <w:rFonts w:hint="default" w:ascii="Times New Roman" w:hAnsi="Times New Roman" w:cs="Times New Roman"/>
                <w:b w:val="0"/>
                <w:bCs w:val="0"/>
                <w:i w:val="0"/>
                <w:iCs w:val="0"/>
                <w:strike w:val="0"/>
                <w:color w:val="auto"/>
                <w:sz w:val="24"/>
                <w:szCs w:val="24"/>
                <w:highlight w:val="none"/>
                <w:lang w:eastAsia="zh-CN"/>
              </w:rPr>
              <w:t>核医学楼</w:t>
            </w:r>
            <w:r>
              <w:rPr>
                <w:rFonts w:hint="default" w:ascii="Times New Roman" w:hAnsi="Times New Roman" w:eastAsia="宋体" w:cs="Times New Roman"/>
                <w:b w:val="0"/>
                <w:bCs w:val="0"/>
                <w:i w:val="0"/>
                <w:iCs w:val="0"/>
                <w:strike w:val="0"/>
                <w:color w:val="auto"/>
                <w:sz w:val="24"/>
                <w:szCs w:val="24"/>
                <w:highlight w:val="none"/>
              </w:rPr>
              <w:t>。</w:t>
            </w:r>
          </w:p>
          <w:p w14:paraId="68FF25C3">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default" w:ascii="Times New Roman" w:hAnsi="Times New Roman" w:eastAsia="宋体" w:cs="Times New Roman"/>
                <w:b w:val="0"/>
                <w:bCs w:val="0"/>
                <w:i w:val="0"/>
                <w:iCs w:val="0"/>
                <w:strike w:val="0"/>
                <w:color w:val="auto"/>
                <w:sz w:val="24"/>
                <w:szCs w:val="24"/>
                <w:highlight w:val="none"/>
              </w:rPr>
              <w:t>SPECT/CT工作人员由</w:t>
            </w:r>
            <w:r>
              <w:rPr>
                <w:rFonts w:hint="default" w:ascii="Times New Roman" w:hAnsi="Times New Roman" w:cs="Times New Roman"/>
                <w:b w:val="0"/>
                <w:bCs w:val="0"/>
                <w:i w:val="0"/>
                <w:iCs w:val="0"/>
                <w:strike w:val="0"/>
                <w:color w:val="auto"/>
                <w:sz w:val="24"/>
                <w:szCs w:val="24"/>
                <w:highlight w:val="none"/>
                <w:lang w:eastAsia="zh-CN"/>
              </w:rPr>
              <w:t>核医学楼</w:t>
            </w:r>
            <w:r>
              <w:rPr>
                <w:rFonts w:hint="default" w:ascii="Times New Roman" w:hAnsi="Times New Roman" w:eastAsia="宋体" w:cs="Times New Roman"/>
                <w:b w:val="0"/>
                <w:bCs w:val="0"/>
                <w:i w:val="0"/>
                <w:iCs w:val="0"/>
                <w:strike w:val="0"/>
                <w:color w:val="auto"/>
                <w:sz w:val="24"/>
                <w:szCs w:val="24"/>
                <w:highlight w:val="none"/>
              </w:rPr>
              <w:t>医护通道进入控制室，工作完成后原路返回离开。</w:t>
            </w:r>
          </w:p>
          <w:p w14:paraId="349AA5AC">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bCs/>
                <w:i w:val="0"/>
                <w:iCs w:val="0"/>
                <w:strike w:val="0"/>
                <w:color w:val="auto"/>
                <w:sz w:val="24"/>
                <w:szCs w:val="24"/>
                <w:highlight w:val="none"/>
              </w:rPr>
            </w:pPr>
            <w:r>
              <w:rPr>
                <w:rFonts w:hint="default" w:ascii="Times New Roman" w:hAnsi="Times New Roman" w:eastAsia="宋体" w:cs="Times New Roman"/>
                <w:b/>
                <w:bCs/>
                <w:i w:val="0"/>
                <w:iCs w:val="0"/>
                <w:strike w:val="0"/>
                <w:color w:val="auto"/>
                <w:sz w:val="24"/>
                <w:szCs w:val="24"/>
                <w:highlight w:val="none"/>
              </w:rPr>
              <w:t>④放射性固体废物路线</w:t>
            </w:r>
          </w:p>
          <w:p w14:paraId="428A26BE">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val="0"/>
                <w:bCs w:val="0"/>
                <w:i w:val="0"/>
                <w:iCs w:val="0"/>
                <w:strike w:val="0"/>
                <w:color w:val="auto"/>
                <w:sz w:val="24"/>
                <w:szCs w:val="24"/>
                <w:highlight w:val="none"/>
              </w:rPr>
            </w:pPr>
            <w:r>
              <w:rPr>
                <w:rFonts w:hint="default" w:ascii="Times New Roman" w:hAnsi="Times New Roman" w:eastAsia="宋体" w:cs="Times New Roman"/>
                <w:b w:val="0"/>
                <w:bCs w:val="0"/>
                <w:i w:val="0"/>
                <w:iCs w:val="0"/>
                <w:strike w:val="0"/>
                <w:color w:val="auto"/>
                <w:sz w:val="24"/>
                <w:szCs w:val="24"/>
                <w:highlight w:val="none"/>
              </w:rPr>
              <w:t>医院拟将放射性固体废物收集暂存</w:t>
            </w:r>
            <w:r>
              <w:rPr>
                <w:rFonts w:hint="eastAsia" w:cs="Times New Roman"/>
                <w:b w:val="0"/>
                <w:bCs w:val="0"/>
                <w:i w:val="0"/>
                <w:iCs w:val="0"/>
                <w:strike w:val="0"/>
                <w:color w:val="auto"/>
                <w:sz w:val="24"/>
                <w:szCs w:val="24"/>
                <w:highlight w:val="none"/>
                <w:lang w:val="en-US" w:eastAsia="zh-CN"/>
              </w:rPr>
              <w:t>核医学楼一层</w:t>
            </w:r>
            <w:r>
              <w:rPr>
                <w:rFonts w:hint="default" w:ascii="Times New Roman" w:hAnsi="Times New Roman" w:eastAsia="宋体" w:cs="Times New Roman"/>
                <w:b w:val="0"/>
                <w:bCs w:val="0"/>
                <w:i w:val="0"/>
                <w:iCs w:val="0"/>
                <w:strike w:val="0"/>
                <w:color w:val="auto"/>
                <w:sz w:val="24"/>
                <w:szCs w:val="24"/>
                <w:highlight w:val="none"/>
              </w:rPr>
              <w:t>注射室内</w:t>
            </w:r>
            <w:r>
              <w:rPr>
                <w:rFonts w:hint="eastAsia" w:cs="Times New Roman"/>
                <w:b w:val="0"/>
                <w:bCs w:val="0"/>
                <w:i w:val="0"/>
                <w:iCs w:val="0"/>
                <w:strike w:val="0"/>
                <w:color w:val="auto"/>
                <w:sz w:val="24"/>
                <w:szCs w:val="24"/>
                <w:highlight w:val="none"/>
                <w:lang w:val="en-US" w:eastAsia="zh-CN"/>
              </w:rPr>
              <w:t>放射性</w:t>
            </w:r>
            <w:r>
              <w:rPr>
                <w:rFonts w:hint="default" w:ascii="Times New Roman" w:hAnsi="Times New Roman" w:eastAsia="宋体" w:cs="Times New Roman"/>
                <w:b w:val="0"/>
                <w:bCs w:val="0"/>
                <w:i w:val="0"/>
                <w:iCs w:val="0"/>
                <w:strike w:val="0"/>
                <w:color w:val="auto"/>
                <w:sz w:val="24"/>
                <w:szCs w:val="24"/>
                <w:highlight w:val="none"/>
              </w:rPr>
              <w:t>废物桶中，每天下班前将当天产生的放射性废物及时转移至</w:t>
            </w:r>
            <w:r>
              <w:rPr>
                <w:rFonts w:hint="default" w:ascii="Times New Roman" w:hAnsi="Times New Roman" w:eastAsia="宋体" w:cs="Times New Roman"/>
                <w:b w:val="0"/>
                <w:bCs w:val="0"/>
                <w:i w:val="0"/>
                <w:iCs w:val="0"/>
                <w:strike w:val="0"/>
                <w:color w:val="auto"/>
                <w:sz w:val="24"/>
                <w:szCs w:val="24"/>
                <w:highlight w:val="none"/>
                <w:lang w:val="en-US" w:eastAsia="zh-CN"/>
              </w:rPr>
              <w:t>核医学楼一层</w:t>
            </w:r>
            <w:r>
              <w:rPr>
                <w:rFonts w:hint="default" w:ascii="Times New Roman" w:hAnsi="Times New Roman" w:eastAsia="宋体" w:cs="Times New Roman"/>
                <w:b w:val="0"/>
                <w:bCs w:val="0"/>
                <w:i w:val="0"/>
                <w:iCs w:val="0"/>
                <w:strike w:val="0"/>
                <w:color w:val="auto"/>
                <w:sz w:val="24"/>
                <w:szCs w:val="24"/>
                <w:highlight w:val="none"/>
              </w:rPr>
              <w:t>放射性废物库内，暂存于废物衰变箱内衰变。待10个以上半衰期后衰变至符合清洁解控水平后，转移至院区的医疗污物暂存间，按照医疗废物交由有资质单位进行处置。</w:t>
            </w:r>
          </w:p>
          <w:p w14:paraId="6283ACFB">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bCs w:val="0"/>
                <w:color w:val="auto"/>
                <w:kern w:val="0"/>
                <w:sz w:val="24"/>
                <w:szCs w:val="24"/>
                <w:highlight w:val="none"/>
                <w:lang w:val="en-US" w:eastAsia="zh-CN" w:bidi="ar"/>
              </w:rPr>
            </w:pPr>
            <w:r>
              <w:rPr>
                <w:rFonts w:hint="default" w:ascii="Times New Roman" w:hAnsi="Times New Roman" w:eastAsia="宋体" w:cs="Times New Roman"/>
                <w:b/>
                <w:bCs/>
                <w:i w:val="0"/>
                <w:iCs w:val="0"/>
                <w:strike w:val="0"/>
                <w:color w:val="auto"/>
                <w:sz w:val="24"/>
                <w:szCs w:val="24"/>
                <w:highlight w:val="none"/>
                <w:lang w:val="en-US" w:eastAsia="zh-CN"/>
              </w:rPr>
              <w:t>9.1.</w:t>
            </w:r>
            <w:r>
              <w:rPr>
                <w:rFonts w:hint="default" w:ascii="Times New Roman" w:hAnsi="Times New Roman" w:cs="Times New Roman"/>
                <w:b/>
                <w:bCs/>
                <w:i w:val="0"/>
                <w:iCs w:val="0"/>
                <w:strike w:val="0"/>
                <w:color w:val="auto"/>
                <w:sz w:val="24"/>
                <w:szCs w:val="24"/>
                <w:highlight w:val="none"/>
                <w:lang w:val="en-US" w:eastAsia="zh-CN"/>
              </w:rPr>
              <w:t xml:space="preserve">3 </w:t>
            </w:r>
            <w:r>
              <w:rPr>
                <w:rFonts w:hint="default" w:ascii="Times New Roman" w:hAnsi="Times New Roman" w:cs="Times New Roman"/>
                <w:b/>
                <w:bCs w:val="0"/>
                <w:color w:val="auto"/>
                <w:kern w:val="0"/>
                <w:sz w:val="24"/>
                <w:szCs w:val="24"/>
                <w:highlight w:val="none"/>
                <w:lang w:val="en-US" w:eastAsia="zh-CN" w:bidi="ar"/>
              </w:rPr>
              <w:t>核素治疗工艺分析</w:t>
            </w:r>
          </w:p>
          <w:p w14:paraId="7FA187E6">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val="0"/>
                <w:bCs w:val="0"/>
                <w:i w:val="0"/>
                <w:iCs w:val="0"/>
                <w:strike w:val="0"/>
                <w:color w:val="auto"/>
                <w:sz w:val="24"/>
                <w:szCs w:val="24"/>
                <w:highlight w:val="none"/>
                <w:lang w:val="en-US" w:eastAsia="zh-CN"/>
              </w:rPr>
            </w:pPr>
            <w:r>
              <w:rPr>
                <w:rFonts w:hint="default" w:ascii="Times New Roman" w:hAnsi="Times New Roman" w:eastAsia="宋体" w:cs="Times New Roman"/>
                <w:b w:val="0"/>
                <w:bCs w:val="0"/>
                <w:i w:val="0"/>
                <w:iCs w:val="0"/>
                <w:strike w:val="0"/>
                <w:color w:val="auto"/>
                <w:sz w:val="24"/>
                <w:szCs w:val="24"/>
                <w:highlight w:val="none"/>
                <w:lang w:val="en-US" w:eastAsia="zh-CN"/>
              </w:rPr>
              <w:t>医院前期已取得</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I-131</w:t>
            </w:r>
            <w:r>
              <w:rPr>
                <w:rFonts w:hint="default" w:ascii="Times New Roman" w:hAnsi="Times New Roman" w:eastAsia="宋体" w:cs="Times New Roman"/>
                <w:b w:val="0"/>
                <w:bCs w:val="0"/>
                <w:i w:val="0"/>
                <w:iCs w:val="0"/>
                <w:strike w:val="0"/>
                <w:color w:val="auto"/>
                <w:sz w:val="24"/>
                <w:szCs w:val="24"/>
                <w:highlight w:val="none"/>
                <w:lang w:val="en-US" w:eastAsia="zh-CN"/>
              </w:rPr>
              <w:t>、Sr-89、</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Lu-177</w:t>
            </w:r>
            <w:r>
              <w:rPr>
                <w:rFonts w:hint="default" w:ascii="Times New Roman" w:hAnsi="Times New Roman" w:eastAsia="宋体" w:cs="Times New Roman"/>
                <w:b w:val="0"/>
                <w:bCs w:val="0"/>
                <w:i w:val="0"/>
                <w:iCs w:val="0"/>
                <w:strike w:val="0"/>
                <w:color w:val="auto"/>
                <w:sz w:val="24"/>
                <w:szCs w:val="24"/>
                <w:highlight w:val="none"/>
                <w:lang w:val="en-US" w:eastAsia="zh-CN"/>
              </w:rPr>
              <w:t>、</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Ra-223</w:t>
            </w:r>
            <w:r>
              <w:rPr>
                <w:rFonts w:hint="default" w:ascii="Times New Roman" w:hAnsi="Times New Roman" w:eastAsia="宋体" w:cs="Times New Roman"/>
                <w:b w:val="0"/>
                <w:bCs w:val="0"/>
                <w:i w:val="0"/>
                <w:iCs w:val="0"/>
                <w:strike w:val="0"/>
                <w:color w:val="auto"/>
                <w:sz w:val="24"/>
                <w:szCs w:val="24"/>
                <w:highlight w:val="none"/>
                <w:lang w:val="en-US" w:eastAsia="zh-CN"/>
              </w:rPr>
              <w:t>许可，本次</w:t>
            </w:r>
            <w:r>
              <w:rPr>
                <w:rFonts w:hint="default" w:ascii="Times New Roman" w:hAnsi="Times New Roman" w:cs="Times New Roman"/>
                <w:b w:val="0"/>
                <w:bCs w:val="0"/>
                <w:i w:val="0"/>
                <w:iCs w:val="0"/>
                <w:strike w:val="0"/>
                <w:color w:val="auto"/>
                <w:sz w:val="24"/>
                <w:szCs w:val="24"/>
                <w:highlight w:val="none"/>
                <w:lang w:val="en-US" w:eastAsia="zh-CN"/>
              </w:rPr>
              <w:t>增加</w:t>
            </w:r>
            <w:r>
              <w:rPr>
                <w:rFonts w:hint="default" w:ascii="Times New Roman" w:hAnsi="Times New Roman" w:cs="Times New Roman"/>
                <w:b w:val="0"/>
                <w:bCs w:val="0"/>
                <w:i w:val="0"/>
                <w:iCs w:val="0"/>
                <w:strike w:val="0"/>
                <w:color w:val="auto"/>
                <w:sz w:val="24"/>
                <w:szCs w:val="24"/>
                <w:highlight w:val="none"/>
                <w:vertAlign w:val="baseline"/>
                <w:lang w:val="en-US" w:eastAsia="zh-CN"/>
              </w:rPr>
              <w:t>I-131</w:t>
            </w:r>
            <w:r>
              <w:rPr>
                <w:rFonts w:hint="default" w:ascii="Times New Roman" w:hAnsi="Times New Roman" w:cs="Times New Roman"/>
                <w:b w:val="0"/>
                <w:bCs w:val="0"/>
                <w:i w:val="0"/>
                <w:iCs w:val="0"/>
                <w:strike w:val="0"/>
                <w:color w:val="auto"/>
                <w:sz w:val="24"/>
                <w:szCs w:val="24"/>
                <w:highlight w:val="none"/>
                <w:lang w:val="en-US" w:eastAsia="zh-CN"/>
              </w:rPr>
              <w:t>、Sr-89、</w:t>
            </w:r>
            <w:r>
              <w:rPr>
                <w:rFonts w:hint="default" w:ascii="Times New Roman" w:hAnsi="Times New Roman" w:cs="Times New Roman"/>
                <w:b w:val="0"/>
                <w:bCs w:val="0"/>
                <w:i w:val="0"/>
                <w:iCs w:val="0"/>
                <w:strike w:val="0"/>
                <w:color w:val="auto"/>
                <w:sz w:val="24"/>
                <w:szCs w:val="24"/>
                <w:highlight w:val="none"/>
                <w:vertAlign w:val="baseline"/>
                <w:lang w:val="en-US" w:eastAsia="zh-CN"/>
              </w:rPr>
              <w:t>Ra-223</w:t>
            </w:r>
            <w:r>
              <w:rPr>
                <w:rFonts w:hint="default" w:ascii="Times New Roman" w:hAnsi="Times New Roman" w:cs="Times New Roman"/>
                <w:b w:val="0"/>
                <w:bCs w:val="0"/>
                <w:i w:val="0"/>
                <w:iCs w:val="0"/>
                <w:strike w:val="0"/>
                <w:color w:val="auto"/>
                <w:sz w:val="24"/>
                <w:szCs w:val="24"/>
                <w:highlight w:val="none"/>
                <w:lang w:val="en-US" w:eastAsia="zh-CN"/>
              </w:rPr>
              <w:t>、</w:t>
            </w:r>
            <w:r>
              <w:rPr>
                <w:rFonts w:hint="default" w:ascii="Times New Roman" w:hAnsi="Times New Roman" w:cs="Times New Roman"/>
                <w:b w:val="0"/>
                <w:bCs w:val="0"/>
                <w:i w:val="0"/>
                <w:iCs w:val="0"/>
                <w:strike w:val="0"/>
                <w:color w:val="auto"/>
                <w:sz w:val="24"/>
                <w:szCs w:val="24"/>
                <w:highlight w:val="none"/>
                <w:vertAlign w:val="baseline"/>
                <w:lang w:val="en-US" w:eastAsia="zh-CN"/>
              </w:rPr>
              <w:t>Lu-177</w:t>
            </w:r>
            <w:r>
              <w:rPr>
                <w:rFonts w:hint="default" w:ascii="Times New Roman" w:hAnsi="Times New Roman" w:cs="Times New Roman"/>
                <w:b w:val="0"/>
                <w:bCs w:val="0"/>
                <w:i w:val="0"/>
                <w:iCs w:val="0"/>
                <w:strike w:val="0"/>
                <w:color w:val="auto"/>
                <w:sz w:val="24"/>
                <w:szCs w:val="24"/>
                <w:highlight w:val="none"/>
                <w:lang w:val="en-US" w:eastAsia="zh-CN"/>
              </w:rPr>
              <w:t>的日最大操作量，并新增加</w:t>
            </w:r>
            <w:r>
              <w:rPr>
                <w:rFonts w:hint="default" w:ascii="Times New Roman" w:hAnsi="Times New Roman" w:cs="Times New Roman"/>
                <w:b w:val="0"/>
                <w:bCs w:val="0"/>
                <w:i w:val="0"/>
                <w:iCs w:val="0"/>
                <w:strike w:val="0"/>
                <w:color w:val="auto"/>
                <w:sz w:val="24"/>
                <w:szCs w:val="24"/>
                <w:highlight w:val="none"/>
                <w:vertAlign w:val="baseline"/>
                <w:lang w:val="en-US" w:eastAsia="zh-CN"/>
              </w:rPr>
              <w:t>Ac-225</w:t>
            </w:r>
            <w:r>
              <w:rPr>
                <w:rFonts w:hint="default" w:ascii="Times New Roman" w:hAnsi="Times New Roman" w:cs="Times New Roman"/>
                <w:b w:val="0"/>
                <w:bCs w:val="0"/>
                <w:i w:val="0"/>
                <w:iCs w:val="0"/>
                <w:strike w:val="0"/>
                <w:color w:val="auto"/>
                <w:sz w:val="24"/>
                <w:szCs w:val="24"/>
                <w:highlight w:val="none"/>
                <w:lang w:val="en-US" w:eastAsia="zh-CN"/>
              </w:rPr>
              <w:t>的使用。</w:t>
            </w:r>
          </w:p>
          <w:p w14:paraId="330D4ADC">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val="0"/>
                <w:bCs w:val="0"/>
                <w:i w:val="0"/>
                <w:iCs w:val="0"/>
                <w:strike w:val="0"/>
                <w:color w:val="auto"/>
                <w:sz w:val="24"/>
                <w:szCs w:val="24"/>
                <w:highlight w:val="none"/>
                <w:lang w:val="en-US" w:eastAsia="zh-CN"/>
              </w:rPr>
            </w:pPr>
            <w:r>
              <w:rPr>
                <w:rFonts w:hint="default" w:ascii="Times New Roman" w:hAnsi="Times New Roman" w:eastAsia="宋体" w:cs="Times New Roman"/>
                <w:b w:val="0"/>
                <w:bCs w:val="0"/>
                <w:i w:val="0"/>
                <w:iCs w:val="0"/>
                <w:strike w:val="0"/>
                <w:color w:val="auto"/>
                <w:sz w:val="24"/>
                <w:szCs w:val="24"/>
                <w:highlight w:val="none"/>
                <w:lang w:val="en-US" w:eastAsia="zh-CN"/>
              </w:rPr>
              <w:t>核素治疗工艺分析</w:t>
            </w:r>
            <w:r>
              <w:rPr>
                <w:rFonts w:hint="default" w:ascii="Times New Roman" w:hAnsi="Times New Roman" w:cs="Times New Roman"/>
                <w:b w:val="0"/>
                <w:bCs w:val="0"/>
                <w:i w:val="0"/>
                <w:iCs w:val="0"/>
                <w:strike w:val="0"/>
                <w:color w:val="auto"/>
                <w:sz w:val="24"/>
                <w:szCs w:val="24"/>
                <w:highlight w:val="none"/>
                <w:lang w:val="en-US" w:eastAsia="zh-CN"/>
              </w:rPr>
              <w:t>分述如下：</w:t>
            </w:r>
          </w:p>
          <w:p w14:paraId="08490644">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b/>
                <w:bCs/>
                <w:i w:val="0"/>
                <w:iCs w:val="0"/>
                <w:strike w:val="0"/>
                <w:color w:val="auto"/>
                <w:sz w:val="24"/>
                <w:szCs w:val="24"/>
                <w:highlight w:val="none"/>
                <w:lang w:val="en-US" w:eastAsia="zh-CN"/>
              </w:rPr>
            </w:pPr>
            <w:r>
              <w:rPr>
                <w:rFonts w:hint="default" w:ascii="Times New Roman" w:hAnsi="Times New Roman" w:cs="Times New Roman"/>
                <w:b/>
                <w:bCs/>
                <w:i w:val="0"/>
                <w:iCs w:val="0"/>
                <w:strike w:val="0"/>
                <w:color w:val="auto"/>
                <w:sz w:val="24"/>
                <w:szCs w:val="24"/>
                <w:highlight w:val="none"/>
                <w:lang w:val="en-US" w:eastAsia="zh-CN"/>
              </w:rPr>
              <w:t xml:space="preserve">9.1.3.1 </w:t>
            </w:r>
            <w:r>
              <w:rPr>
                <w:rFonts w:hint="default" w:ascii="Times New Roman" w:hAnsi="Times New Roman" w:cs="Times New Roman"/>
                <w:b/>
                <w:bCs/>
                <w:i w:val="0"/>
                <w:iCs w:val="0"/>
                <w:strike w:val="0"/>
                <w:color w:val="auto"/>
                <w:sz w:val="24"/>
                <w:szCs w:val="24"/>
                <w:highlight w:val="none"/>
                <w:vertAlign w:val="baseline"/>
                <w:lang w:val="en-US" w:eastAsia="zh-CN"/>
              </w:rPr>
              <w:t>I-131</w:t>
            </w:r>
            <w:r>
              <w:rPr>
                <w:rFonts w:hint="default" w:ascii="Times New Roman" w:hAnsi="Times New Roman" w:cs="Times New Roman"/>
                <w:b/>
                <w:bCs/>
                <w:i w:val="0"/>
                <w:iCs w:val="0"/>
                <w:strike w:val="0"/>
                <w:color w:val="auto"/>
                <w:sz w:val="24"/>
                <w:szCs w:val="24"/>
                <w:highlight w:val="none"/>
                <w:lang w:val="en-US" w:eastAsia="zh-CN"/>
              </w:rPr>
              <w:t>甲癌治疗</w:t>
            </w:r>
          </w:p>
          <w:p w14:paraId="286745D0">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2021年12月，生态环境部核与辐射安全中心发布的《</w:t>
            </w:r>
            <w:r>
              <w:rPr>
                <w:rFonts w:hint="default" w:ascii="Times New Roman" w:hAnsi="Times New Roman" w:cs="Times New Roman"/>
                <w:color w:val="auto"/>
                <w:highlight w:val="none"/>
                <w:vertAlign w:val="baseline"/>
                <w:lang w:val="en-US" w:eastAsia="zh-CN"/>
              </w:rPr>
              <w:t>碘-131</w:t>
            </w:r>
            <w:r>
              <w:rPr>
                <w:rFonts w:hint="default" w:ascii="Times New Roman" w:hAnsi="Times New Roman" w:cs="Times New Roman"/>
                <w:color w:val="auto"/>
                <w:highlight w:val="none"/>
                <w:lang w:val="en-US" w:eastAsia="zh-CN"/>
              </w:rPr>
              <w:t>胶囊使用过程辐射安全研究报告》，报告明确，治疗用碘[</w:t>
            </w:r>
            <w:r>
              <w:rPr>
                <w:rFonts w:hint="eastAsia"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]化钠胶囊属于“表面污染水平较低的固体”，归类为医疗场景“简单操作”范畴，核素毒性因子为0.1，状态与操作方式修正因子为10（原使用</w:t>
            </w:r>
            <w:r>
              <w:rPr>
                <w:rFonts w:hint="default" w:ascii="Times New Roman" w:hAnsi="Times New Roman"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液体修正因子为1）。制剂由传统液态升级为固态胶囊后，不仅大幅缩短了医护人员的操作时长，显著降低内外照射辐射影响，还从根源上减少了</w:t>
            </w:r>
            <w:r>
              <w:rPr>
                <w:rFonts w:hint="default" w:ascii="Times New Roman" w:hAnsi="Times New Roman" w:cs="Times New Roman"/>
                <w:color w:val="auto"/>
                <w:highlight w:val="none"/>
                <w:vertAlign w:val="baseline"/>
                <w:lang w:val="en-US" w:eastAsia="zh-CN"/>
              </w:rPr>
              <w:t>碘-131</w:t>
            </w:r>
            <w:r>
              <w:rPr>
                <w:rFonts w:hint="default" w:ascii="Times New Roman" w:hAnsi="Times New Roman" w:cs="Times New Roman"/>
                <w:color w:val="auto"/>
                <w:highlight w:val="none"/>
                <w:lang w:val="en-US" w:eastAsia="zh-CN"/>
              </w:rPr>
              <w:t>放射性药物洒落隐患，有效规避放射性污染事故发生，兼顾临床疗效、患者体验与医护操作安全。</w:t>
            </w:r>
          </w:p>
          <w:p w14:paraId="134D0A8C">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2023年12月13日，国家医保局、人力资源社会保障部联合印发《国家基本医疗保险、工伤保险和生育保险药品目录(2023年)》，新版目录自2024年1月1日起在全国正式落地执行。原子高科核心产品——治疗用碘[</w:t>
            </w:r>
            <w:r>
              <w:rPr>
                <w:rFonts w:hint="eastAsia"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]化钠胶囊，历经资料申报、形式审查、专家评审、医保谈判等全流程严苛筛选，成功纳入新版国家医保药品目录。相较于传统口服溶液剂型，该胶囊剂型优势显著：药物可直接作用于胃部，有效规避</w:t>
            </w:r>
            <w:r>
              <w:rPr>
                <w:rFonts w:hint="default" w:ascii="Times New Roman" w:hAnsi="Times New Roman" w:cs="Times New Roman"/>
                <w:color w:val="auto"/>
                <w:highlight w:val="none"/>
                <w:vertAlign w:val="baseline"/>
                <w:lang w:val="en-US" w:eastAsia="zh-CN"/>
              </w:rPr>
              <w:t>放射性碘</w:t>
            </w:r>
            <w:r>
              <w:rPr>
                <w:rFonts w:hint="default" w:ascii="Times New Roman" w:hAnsi="Times New Roman" w:cs="Times New Roman"/>
                <w:color w:val="auto"/>
                <w:highlight w:val="none"/>
                <w:lang w:val="en-US" w:eastAsia="zh-CN"/>
              </w:rPr>
              <w:t>[</w:t>
            </w:r>
            <w:r>
              <w:rPr>
                <w:rFonts w:hint="eastAsia"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]粘附于口腔、鼻腔、食道等部位引发的不良反应，大幅提升患者用药安全性；同时无需复杂的药液分装流程，操作便捷高效，既能减少挥发性放射性污染，也能降低医护人员的辐射暴露风险。</w:t>
            </w:r>
          </w:p>
          <w:p w14:paraId="30B17FD7">
            <w:pPr>
              <w:keepNext w:val="0"/>
              <w:keepLines w:val="0"/>
              <w:suppressLineNumbers w:val="0"/>
              <w:bidi w:val="0"/>
              <w:spacing w:before="0" w:beforeAutospacing="0" w:after="0" w:afterAutospacing="0" w:line="360" w:lineRule="auto"/>
              <w:ind w:left="0" w:right="0" w:firstLine="480" w:firstLineChars="200"/>
              <w:jc w:val="center"/>
              <w:rPr>
                <w:rFonts w:hint="default" w:ascii="Times New Roman" w:hAnsi="Times New Roman" w:cs="Times New Roman"/>
                <w:color w:val="auto"/>
                <w:highlight w:val="none"/>
              </w:rPr>
            </w:pPr>
          </w:p>
          <w:p w14:paraId="473B6429">
            <w:pPr>
              <w:keepNext w:val="0"/>
              <w:keepLines w:val="0"/>
              <w:suppressLineNumbers w:val="0"/>
              <w:bidi w:val="0"/>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图9-</w:t>
            </w:r>
            <w:r>
              <w:rPr>
                <w:rFonts w:hint="eastAsia" w:cs="Times New Roman"/>
                <w:b/>
                <w:bCs/>
                <w:color w:val="auto"/>
                <w:highlight w:val="none"/>
                <w:lang w:val="en-US" w:eastAsia="zh-CN"/>
              </w:rPr>
              <w:t>8</w:t>
            </w:r>
            <w:r>
              <w:rPr>
                <w:rFonts w:hint="default" w:ascii="Times New Roman" w:hAnsi="Times New Roman" w:cs="Times New Roman"/>
                <w:b/>
                <w:bCs/>
                <w:color w:val="auto"/>
                <w:highlight w:val="none"/>
                <w:lang w:val="en-US" w:eastAsia="zh-CN"/>
              </w:rPr>
              <w:t xml:space="preserve"> </w:t>
            </w:r>
            <w:r>
              <w:rPr>
                <w:rFonts w:hint="eastAsia" w:cs="Times New Roman"/>
                <w:b/>
                <w:bCs/>
                <w:color w:val="auto"/>
                <w:highlight w:val="none"/>
                <w:lang w:val="en-US" w:eastAsia="zh-CN"/>
              </w:rPr>
              <w:t xml:space="preserve"> </w:t>
            </w:r>
            <w:r>
              <w:rPr>
                <w:rFonts w:hint="default" w:ascii="Times New Roman" w:hAnsi="Times New Roman" w:cs="Times New Roman"/>
                <w:b/>
                <w:bCs/>
                <w:color w:val="auto"/>
                <w:highlight w:val="none"/>
                <w:lang w:val="en-US" w:eastAsia="zh-CN"/>
              </w:rPr>
              <w:t>治疗用碘[</w:t>
            </w:r>
            <w:r>
              <w:rPr>
                <w:rFonts w:hint="eastAsia" w:cs="Times New Roman"/>
                <w:b/>
                <w:bCs/>
                <w:color w:val="auto"/>
                <w:highlight w:val="none"/>
                <w:vertAlign w:val="baseline"/>
                <w:lang w:val="en-US" w:eastAsia="zh-CN"/>
              </w:rPr>
              <w:t>I-131</w:t>
            </w:r>
            <w:r>
              <w:rPr>
                <w:rFonts w:hint="default" w:ascii="Times New Roman" w:hAnsi="Times New Roman" w:cs="Times New Roman"/>
                <w:b/>
                <w:bCs/>
                <w:color w:val="auto"/>
                <w:highlight w:val="none"/>
                <w:lang w:val="en-US" w:eastAsia="zh-CN"/>
              </w:rPr>
              <w:t>]化钠胶囊实物图</w:t>
            </w:r>
          </w:p>
          <w:p w14:paraId="2EB81A39">
            <w:pPr>
              <w:keepNext w:val="0"/>
              <w:keepLines w:val="0"/>
              <w:suppressLineNumbers w:val="0"/>
              <w:bidi w:val="0"/>
              <w:spacing w:before="0" w:beforeAutospacing="0" w:after="0" w:afterAutospacing="0" w:line="360" w:lineRule="auto"/>
              <w:ind w:left="0" w:right="0" w:firstLine="482" w:firstLineChars="200"/>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（1）治疗原理</w:t>
            </w:r>
          </w:p>
          <w:p w14:paraId="32971B21">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放射性核素</w:t>
            </w:r>
            <w:r>
              <w:rPr>
                <w:rFonts w:hint="eastAsia" w:cs="Times New Roman"/>
                <w:color w:val="auto"/>
                <w:highlight w:val="none"/>
                <w:vertAlign w:val="baseline"/>
                <w:lang w:eastAsia="zh-CN"/>
              </w:rPr>
              <w:t>I-131</w:t>
            </w:r>
            <w:r>
              <w:rPr>
                <w:rFonts w:hint="default" w:ascii="Times New Roman" w:hAnsi="Times New Roman" w:cs="Times New Roman"/>
                <w:color w:val="auto"/>
                <w:highlight w:val="none"/>
              </w:rPr>
              <w:t>可以高度选择性聚集在分化型甲状腺癌及转移灶，</w:t>
            </w:r>
            <w:r>
              <w:rPr>
                <w:rFonts w:hint="eastAsia" w:cs="Times New Roman"/>
                <w:color w:val="auto"/>
                <w:highlight w:val="none"/>
                <w:vertAlign w:val="baseline"/>
                <w:lang w:eastAsia="zh-CN"/>
              </w:rPr>
              <w:t>I-131</w:t>
            </w:r>
            <w:r>
              <w:rPr>
                <w:rFonts w:hint="default" w:ascii="Times New Roman" w:hAnsi="Times New Roman" w:cs="Times New Roman"/>
                <w:color w:val="auto"/>
                <w:highlight w:val="none"/>
              </w:rPr>
              <w:t>衰变时发射出射程很短的β射线和能量跃迁时发出的γ射线，从而对病变组织进行内照射治疗，在局部产生足够的电离辐射生物学效应，达到抑制或破坏病变组织的目的，而邻近的正常组织吸收剂量很低，从而达到治疗目的。</w:t>
            </w:r>
          </w:p>
          <w:p w14:paraId="6D0DA9AA">
            <w:pPr>
              <w:pStyle w:val="43"/>
              <w:keepNext w:val="0"/>
              <w:keepLines w:val="0"/>
              <w:suppressLineNumbers w:val="0"/>
              <w:spacing w:before="78" w:beforeAutospacing="0" w:after="0" w:afterAutospacing="0" w:line="220" w:lineRule="auto"/>
              <w:ind w:left="115" w:right="0" w:firstLine="472" w:firstLineChars="200"/>
              <w:jc w:val="center"/>
              <w:rPr>
                <w:rFonts w:hint="default" w:ascii="Times New Roman" w:hAnsi="Times New Roman" w:eastAsia="Times New Roman" w:cs="Times New Roman"/>
                <w:b/>
                <w:bCs/>
                <w:color w:val="auto"/>
                <w:spacing w:val="-2"/>
                <w:highlight w:val="none"/>
                <w:lang w:val="en-US"/>
              </w:rPr>
            </w:pPr>
            <w:r>
              <w:rPr>
                <w:rFonts w:hint="default" w:ascii="Times New Roman" w:hAnsi="Times New Roman" w:eastAsia="Times New Roman" w:cs="Times New Roman"/>
                <w:b/>
                <w:bCs/>
                <w:color w:val="auto"/>
                <w:spacing w:val="-2"/>
                <w:highlight w:val="none"/>
                <w:lang w:val="en-US" w:eastAsia="zh-CN"/>
              </w:rPr>
              <w:t>表9-</w:t>
            </w:r>
            <w:r>
              <w:rPr>
                <w:rFonts w:hint="eastAsia" w:ascii="Times New Roman" w:hAnsi="Times New Roman" w:eastAsia="Times New Roman" w:cs="Times New Roman"/>
                <w:b/>
                <w:bCs/>
                <w:color w:val="auto"/>
                <w:spacing w:val="-2"/>
                <w:highlight w:val="none"/>
                <w:lang w:val="en-US" w:eastAsia="zh-CN"/>
              </w:rPr>
              <w:t>11</w:t>
            </w:r>
            <w:r>
              <w:rPr>
                <w:rFonts w:hint="default" w:ascii="Times New Roman" w:hAnsi="Times New Roman" w:eastAsia="Times New Roman" w:cs="Times New Roman"/>
                <w:b/>
                <w:bCs/>
                <w:color w:val="auto"/>
                <w:spacing w:val="-2"/>
                <w:highlight w:val="none"/>
                <w:lang w:val="en-US" w:eastAsia="zh-CN"/>
              </w:rPr>
              <w:t xml:space="preserve">   核素治疗</w:t>
            </w:r>
            <w:r>
              <w:rPr>
                <w:rFonts w:hint="default" w:ascii="Times New Roman" w:hAnsi="Times New Roman" w:eastAsia="Times New Roman" w:cs="Times New Roman"/>
                <w:b/>
                <w:bCs/>
                <w:color w:val="auto"/>
                <w:spacing w:val="-2"/>
                <w:highlight w:val="none"/>
                <w:vertAlign w:val="baseline"/>
                <w:lang w:val="en-US" w:eastAsia="zh-CN"/>
              </w:rPr>
              <w:t>I-131</w:t>
            </w:r>
            <w:r>
              <w:rPr>
                <w:rFonts w:hint="default" w:ascii="Times New Roman" w:hAnsi="Times New Roman" w:eastAsia="Times New Roman" w:cs="Times New Roman"/>
                <w:b/>
                <w:bCs/>
                <w:color w:val="auto"/>
                <w:spacing w:val="-2"/>
                <w:highlight w:val="none"/>
                <w:lang w:val="en-US" w:eastAsia="zh-CN"/>
              </w:rPr>
              <w:t>使用情况</w:t>
            </w:r>
          </w:p>
          <w:tbl>
            <w:tblPr>
              <w:tblStyle w:val="30"/>
              <w:tblW w:w="9068" w:type="dxa"/>
              <w:tblInd w:w="5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75"/>
              <w:gridCol w:w="1096"/>
              <w:gridCol w:w="1945"/>
              <w:gridCol w:w="1409"/>
              <w:gridCol w:w="1046"/>
              <w:gridCol w:w="1428"/>
              <w:gridCol w:w="1169"/>
            </w:tblGrid>
            <w:tr w14:paraId="10B985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tcBorders>
                    <w:tl2br w:val="nil"/>
                    <w:tr2bl w:val="nil"/>
                  </w:tcBorders>
                  <w:vAlign w:val="center"/>
                </w:tcPr>
                <w:p w14:paraId="6FA6119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工作场所</w:t>
                  </w:r>
                </w:p>
              </w:tc>
              <w:tc>
                <w:tcPr>
                  <w:tcW w:w="1096" w:type="dxa"/>
                  <w:tcBorders>
                    <w:tl2br w:val="nil"/>
                    <w:tr2bl w:val="nil"/>
                  </w:tcBorders>
                  <w:vAlign w:val="center"/>
                </w:tcPr>
                <w:p w14:paraId="5EEBCFFF">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核素</w:t>
                  </w:r>
                </w:p>
              </w:tc>
              <w:tc>
                <w:tcPr>
                  <w:tcW w:w="1945" w:type="dxa"/>
                  <w:tcBorders>
                    <w:tl2br w:val="nil"/>
                    <w:tr2bl w:val="nil"/>
                  </w:tcBorders>
                  <w:vAlign w:val="center"/>
                </w:tcPr>
                <w:p w14:paraId="7614BB3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单人最大用药量</w:t>
                  </w:r>
                </w:p>
                <w:p w14:paraId="5D5A55BD">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（Bq/人·次）</w:t>
                  </w:r>
                </w:p>
              </w:tc>
              <w:tc>
                <w:tcPr>
                  <w:tcW w:w="1409" w:type="dxa"/>
                  <w:tcBorders>
                    <w:tl2br w:val="nil"/>
                    <w:tr2bl w:val="nil"/>
                  </w:tcBorders>
                  <w:vAlign w:val="center"/>
                </w:tcPr>
                <w:p w14:paraId="22F99A5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日最大</w:t>
                  </w:r>
                  <w:r>
                    <w:rPr>
                      <w:rFonts w:hint="default" w:ascii="Times New Roman" w:hAnsi="Times New Roman" w:cs="Times New Roman"/>
                      <w:color w:val="auto"/>
                      <w:kern w:val="0"/>
                      <w:sz w:val="21"/>
                      <w:szCs w:val="21"/>
                      <w:highlight w:val="none"/>
                      <w:lang w:val="en-US" w:eastAsia="zh-CN"/>
                    </w:rPr>
                    <w:t>治疗</w:t>
                  </w:r>
                  <w:r>
                    <w:rPr>
                      <w:rFonts w:hint="default" w:ascii="Times New Roman" w:hAnsi="Times New Roman" w:eastAsia="宋体" w:cs="Times New Roman"/>
                      <w:color w:val="auto"/>
                      <w:kern w:val="0"/>
                      <w:sz w:val="21"/>
                      <w:szCs w:val="21"/>
                      <w:highlight w:val="none"/>
                      <w:lang w:val="en-US" w:eastAsia="en-US"/>
                    </w:rPr>
                    <w:t>量（人次）</w:t>
                  </w:r>
                </w:p>
              </w:tc>
              <w:tc>
                <w:tcPr>
                  <w:tcW w:w="1046" w:type="dxa"/>
                  <w:tcBorders>
                    <w:tl2br w:val="nil"/>
                    <w:tr2bl w:val="nil"/>
                  </w:tcBorders>
                  <w:vAlign w:val="center"/>
                </w:tcPr>
                <w:p w14:paraId="5CAD41B8">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年工作时间（天）</w:t>
                  </w:r>
                </w:p>
              </w:tc>
              <w:tc>
                <w:tcPr>
                  <w:tcW w:w="1428" w:type="dxa"/>
                  <w:tcBorders>
                    <w:tl2br w:val="nil"/>
                    <w:tr2bl w:val="nil"/>
                  </w:tcBorders>
                  <w:vAlign w:val="center"/>
                </w:tcPr>
                <w:p w14:paraId="7F7A3AB2">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日最大操作量</w:t>
                  </w:r>
                </w:p>
                <w:p w14:paraId="730911BE">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（Bq）</w:t>
                  </w:r>
                </w:p>
              </w:tc>
              <w:tc>
                <w:tcPr>
                  <w:tcW w:w="1169" w:type="dxa"/>
                  <w:tcBorders>
                    <w:tl2br w:val="nil"/>
                    <w:tr2bl w:val="nil"/>
                  </w:tcBorders>
                  <w:vAlign w:val="center"/>
                </w:tcPr>
                <w:p w14:paraId="55FDFA5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年最大使用量（Bq）</w:t>
                  </w:r>
                </w:p>
              </w:tc>
            </w:tr>
            <w:tr w14:paraId="4BD7A5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tcBorders>
                    <w:tl2br w:val="nil"/>
                    <w:tr2bl w:val="nil"/>
                  </w:tcBorders>
                  <w:vAlign w:val="center"/>
                </w:tcPr>
                <w:p w14:paraId="552C14D1">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核素治疗区</w:t>
                  </w:r>
                </w:p>
              </w:tc>
              <w:tc>
                <w:tcPr>
                  <w:tcW w:w="1096" w:type="dxa"/>
                  <w:tcBorders>
                    <w:tl2br w:val="nil"/>
                    <w:tr2bl w:val="nil"/>
                  </w:tcBorders>
                  <w:shd w:val="clear" w:color="auto" w:fill="auto"/>
                  <w:vAlign w:val="center"/>
                </w:tcPr>
                <w:p w14:paraId="02B38BE1">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vertAlign w:val="baseline"/>
                      <w:lang w:val="en-US" w:eastAsia="en-US"/>
                    </w:rPr>
                    <w:t>I-131</w:t>
                  </w:r>
                </w:p>
              </w:tc>
              <w:tc>
                <w:tcPr>
                  <w:tcW w:w="1945" w:type="dxa"/>
                  <w:tcBorders>
                    <w:tl2br w:val="nil"/>
                    <w:tr2bl w:val="nil"/>
                  </w:tcBorders>
                  <w:vAlign w:val="center"/>
                </w:tcPr>
                <w:p w14:paraId="46A32D85">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5.55E+09Bq（150mCi）</w:t>
                  </w:r>
                </w:p>
              </w:tc>
              <w:tc>
                <w:tcPr>
                  <w:tcW w:w="1409" w:type="dxa"/>
                  <w:tcBorders>
                    <w:tl2br w:val="nil"/>
                    <w:tr2bl w:val="nil"/>
                  </w:tcBorders>
                  <w:shd w:val="clear" w:color="auto" w:fill="auto"/>
                  <w:vAlign w:val="center"/>
                </w:tcPr>
                <w:p w14:paraId="0CB1122C">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zh-CN"/>
                    </w:rPr>
                    <w:t>17</w:t>
                  </w:r>
                </w:p>
              </w:tc>
              <w:tc>
                <w:tcPr>
                  <w:tcW w:w="1046" w:type="dxa"/>
                  <w:tcBorders>
                    <w:tl2br w:val="nil"/>
                    <w:tr2bl w:val="nil"/>
                  </w:tcBorders>
                  <w:shd w:val="clear" w:color="auto" w:fill="auto"/>
                  <w:vAlign w:val="center"/>
                </w:tcPr>
                <w:p w14:paraId="78112F03">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zh-CN"/>
                    </w:rPr>
                    <w:t>250</w:t>
                  </w:r>
                </w:p>
              </w:tc>
              <w:tc>
                <w:tcPr>
                  <w:tcW w:w="1428" w:type="dxa"/>
                  <w:tcBorders>
                    <w:tl2br w:val="nil"/>
                    <w:tr2bl w:val="nil"/>
                  </w:tcBorders>
                  <w:shd w:val="clear" w:color="auto" w:fill="auto"/>
                  <w:vAlign w:val="center"/>
                </w:tcPr>
                <w:p w14:paraId="123598D9">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zh-CN"/>
                    </w:rPr>
                    <w:t>9.44E+10</w:t>
                  </w:r>
                </w:p>
              </w:tc>
              <w:tc>
                <w:tcPr>
                  <w:tcW w:w="1169" w:type="dxa"/>
                  <w:tcBorders>
                    <w:tl2br w:val="nil"/>
                    <w:tr2bl w:val="nil"/>
                  </w:tcBorders>
                  <w:shd w:val="clear" w:color="auto" w:fill="auto"/>
                  <w:vAlign w:val="center"/>
                </w:tcPr>
                <w:p w14:paraId="26E4A014">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zh-CN"/>
                    </w:rPr>
                    <w:t>2.36E+13</w:t>
                  </w:r>
                </w:p>
              </w:tc>
            </w:tr>
          </w:tbl>
          <w:p w14:paraId="3B5E4748">
            <w:pPr>
              <w:keepNext w:val="0"/>
              <w:keepLines w:val="0"/>
              <w:suppressLineNumbers w:val="0"/>
              <w:bidi w:val="0"/>
              <w:spacing w:before="0" w:beforeAutospacing="0" w:after="0" w:afterAutospacing="0" w:line="360" w:lineRule="auto"/>
              <w:ind w:left="0" w:right="0" w:firstLine="241" w:firstLineChars="100"/>
              <w:jc w:val="both"/>
              <w:rPr>
                <w:rFonts w:hint="default" w:ascii="Times New Roman" w:hAnsi="Times New Roman" w:eastAsia="宋体" w:cs="Times New Roman"/>
                <w:b/>
                <w:bCs/>
                <w:color w:val="auto"/>
                <w:highlight w:val="none"/>
                <w:lang w:val="en-US" w:eastAsia="zh-CN"/>
              </w:rPr>
            </w:pPr>
          </w:p>
          <w:p w14:paraId="65C9BDA0">
            <w:pPr>
              <w:keepNext w:val="0"/>
              <w:keepLines w:val="0"/>
              <w:suppressLineNumbers w:val="0"/>
              <w:bidi w:val="0"/>
              <w:spacing w:before="0" w:beforeAutospacing="0" w:after="0" w:afterAutospacing="0" w:line="480" w:lineRule="auto"/>
              <w:ind w:left="0" w:right="0" w:firstLine="241" w:firstLineChars="100"/>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（2）工作流程及产污环节</w:t>
            </w:r>
          </w:p>
          <w:p w14:paraId="1793277F">
            <w:pPr>
              <w:keepNext w:val="0"/>
              <w:keepLines w:val="0"/>
              <w:suppressLineNumbers w:val="0"/>
              <w:bidi w:val="0"/>
              <w:spacing w:before="0" w:beforeAutospacing="0" w:after="0" w:afterAutospacing="0" w:line="48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①外购药物本项目计划使用放射性核素</w:t>
            </w:r>
            <w:r>
              <w:rPr>
                <w:rFonts w:hint="eastAsia" w:cs="Times New Roman"/>
                <w:color w:val="auto"/>
                <w:highlight w:val="none"/>
                <w:vertAlign w:val="baseline"/>
                <w:lang w:eastAsia="zh-CN"/>
              </w:rPr>
              <w:t>I-131</w:t>
            </w:r>
            <w:r>
              <w:rPr>
                <w:rFonts w:hint="default" w:ascii="Times New Roman" w:hAnsi="Times New Roman" w:cs="Times New Roman"/>
                <w:color w:val="auto"/>
                <w:highlight w:val="none"/>
                <w:lang w:val="en-US" w:eastAsia="zh-CN"/>
              </w:rPr>
              <w:t>胶囊</w:t>
            </w:r>
            <w:r>
              <w:rPr>
                <w:rFonts w:hint="default" w:ascii="Times New Roman" w:hAnsi="Times New Roman" w:cs="Times New Roman"/>
                <w:color w:val="auto"/>
                <w:highlight w:val="none"/>
              </w:rPr>
              <w:t>进行甲癌治疗</w:t>
            </w:r>
            <w:r>
              <w:rPr>
                <w:rFonts w:hint="default" w:ascii="Times New Roman" w:hAnsi="Times New Roman" w:cs="Times New Roman"/>
                <w:color w:val="auto"/>
                <w:highlight w:val="none"/>
                <w:lang w:val="en-US" w:eastAsia="zh-CN"/>
              </w:rPr>
              <w:t>。根据原子高科股份有限公司官网公示资料，治疗用碘[</w:t>
            </w:r>
            <w:r>
              <w:rPr>
                <w:rFonts w:hint="eastAsia"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]化钠胶囊，规格：37-3700MBq/粒。</w:t>
            </w:r>
            <w:r>
              <w:rPr>
                <w:rFonts w:hint="default" w:ascii="Times New Roman" w:hAnsi="Times New Roman" w:cs="Times New Roman"/>
                <w:color w:val="auto"/>
                <w:highlight w:val="none"/>
              </w:rPr>
              <w:t>工作人员根据临床诊断所需药物的使用量、预约检查的人数，提前一天向供药单位订购</w:t>
            </w:r>
            <w:r>
              <w:rPr>
                <w:rFonts w:hint="eastAsia" w:cs="Times New Roman"/>
                <w:color w:val="auto"/>
                <w:highlight w:val="none"/>
                <w:vertAlign w:val="baseline"/>
                <w:lang w:eastAsia="zh-CN"/>
              </w:rPr>
              <w:t>I-131</w:t>
            </w:r>
            <w:r>
              <w:rPr>
                <w:rFonts w:hint="default" w:ascii="Times New Roman" w:hAnsi="Times New Roman" w:cs="Times New Roman"/>
                <w:color w:val="auto"/>
                <w:highlight w:val="none"/>
                <w:lang w:val="en-US" w:eastAsia="zh-CN"/>
              </w:rPr>
              <w:t>胶囊</w:t>
            </w:r>
            <w:r>
              <w:rPr>
                <w:rFonts w:hint="default" w:ascii="Times New Roman" w:hAnsi="Times New Roman" w:cs="Times New Roman"/>
                <w:color w:val="auto"/>
                <w:highlight w:val="none"/>
              </w:rPr>
              <w:t>，供药单位在约定的时间，将预约用量的药物以货包形式送达核医学</w:t>
            </w:r>
            <w:r>
              <w:rPr>
                <w:rFonts w:hint="default" w:ascii="Times New Roman" w:hAnsi="Times New Roman" w:cs="Times New Roman"/>
                <w:color w:val="auto"/>
                <w:highlight w:val="none"/>
                <w:lang w:val="en-US" w:eastAsia="zh-CN"/>
              </w:rPr>
              <w:t>楼</w:t>
            </w:r>
            <w:r>
              <w:rPr>
                <w:rFonts w:hint="default" w:ascii="Times New Roman" w:hAnsi="Times New Roman" w:cs="Times New Roman"/>
                <w:color w:val="auto"/>
                <w:highlight w:val="none"/>
              </w:rPr>
              <w:t>，安排专人接收放射性核素，经确认无误完成相关交接手续后暂存在</w:t>
            </w:r>
            <w:r>
              <w:rPr>
                <w:rFonts w:hint="default" w:ascii="Times New Roman" w:hAnsi="Times New Roman" w:cs="Times New Roman"/>
                <w:color w:val="auto"/>
                <w:highlight w:val="none"/>
                <w:lang w:val="en-US" w:eastAsia="zh-CN"/>
              </w:rPr>
              <w:t>核医学楼三层储源室内</w:t>
            </w:r>
            <w:r>
              <w:rPr>
                <w:rFonts w:hint="default" w:ascii="Times New Roman" w:hAnsi="Times New Roman" w:cs="Times New Roman"/>
                <w:color w:val="auto"/>
                <w:highlight w:val="none"/>
              </w:rPr>
              <w:t>。</w:t>
            </w:r>
          </w:p>
          <w:p w14:paraId="731E297F">
            <w:pPr>
              <w:keepNext w:val="0"/>
              <w:keepLines w:val="0"/>
              <w:suppressLineNumbers w:val="0"/>
              <w:bidi w:val="0"/>
              <w:spacing w:before="0" w:beforeAutospacing="0" w:after="0" w:afterAutospacing="0" w:line="48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②指导服药开展甲癌治疗时，工作人员</w:t>
            </w:r>
            <w:r>
              <w:rPr>
                <w:rFonts w:hint="default" w:ascii="Times New Roman" w:hAnsi="Times New Roman" w:cs="Times New Roman"/>
                <w:color w:val="auto"/>
                <w:highlight w:val="none"/>
                <w:lang w:val="en-US" w:eastAsia="zh-CN"/>
              </w:rPr>
              <w:t>将提前订购好的</w:t>
            </w:r>
            <w:r>
              <w:rPr>
                <w:rFonts w:hint="eastAsia"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胶囊从核医学楼三层储源室</w:t>
            </w:r>
            <w:r>
              <w:rPr>
                <w:rFonts w:hint="eastAsia" w:cs="Times New Roman"/>
                <w:color w:val="auto"/>
                <w:highlight w:val="none"/>
                <w:lang w:val="en-US" w:eastAsia="zh-CN"/>
              </w:rPr>
              <w:t>转移至</w:t>
            </w:r>
            <w:r>
              <w:rPr>
                <w:rFonts w:hint="default" w:ascii="Times New Roman" w:hAnsi="Times New Roman" w:cs="Times New Roman"/>
                <w:color w:val="auto"/>
                <w:highlight w:val="none"/>
                <w:lang w:val="en-US" w:eastAsia="zh-CN"/>
              </w:rPr>
              <w:t>分碘室，</w:t>
            </w:r>
            <w:r>
              <w:rPr>
                <w:rFonts w:hint="eastAsia"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胶囊无需分装、测活，工作人员仅在分碘室</w:t>
            </w:r>
            <w:r>
              <w:rPr>
                <w:rFonts w:hint="eastAsia" w:cs="Times New Roman"/>
                <w:color w:val="auto"/>
                <w:highlight w:val="none"/>
                <w:lang w:val="en-US" w:eastAsia="zh-CN"/>
              </w:rPr>
              <w:t>使用长柄镊子给</w:t>
            </w:r>
            <w:r>
              <w:rPr>
                <w:rFonts w:hint="default" w:ascii="Times New Roman" w:hAnsi="Times New Roman" w:cs="Times New Roman"/>
                <w:color w:val="auto"/>
                <w:highlight w:val="none"/>
                <w:lang w:val="en-US" w:eastAsia="zh-CN"/>
              </w:rPr>
              <w:t>患者发药。甲癌治疗单人日最大用量150mCi，2个胶囊可满足一人的治疗需求</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正常情况下，服药过程不产生放射性废物。</w:t>
            </w:r>
          </w:p>
          <w:p w14:paraId="560BF9DE">
            <w:pPr>
              <w:keepNext w:val="0"/>
              <w:keepLines w:val="0"/>
              <w:suppressLineNumbers w:val="0"/>
              <w:bidi w:val="0"/>
              <w:spacing w:before="0" w:beforeAutospacing="0" w:after="0" w:afterAutospacing="0" w:line="48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③甲癌患者在</w:t>
            </w:r>
            <w:r>
              <w:rPr>
                <w:rFonts w:hint="default" w:ascii="Times New Roman" w:hAnsi="Times New Roman" w:cs="Times New Roman"/>
                <w:color w:val="auto"/>
                <w:highlight w:val="none"/>
                <w:lang w:val="en-US" w:eastAsia="zh-CN"/>
              </w:rPr>
              <w:t>服碘室</w:t>
            </w:r>
            <w:r>
              <w:rPr>
                <w:rFonts w:hint="default" w:ascii="Times New Roman" w:hAnsi="Times New Roman" w:cs="Times New Roman"/>
                <w:color w:val="auto"/>
                <w:highlight w:val="none"/>
              </w:rPr>
              <w:t>内服药后，医护人员的指导下进入单人核素治疗病房住院治疗，甲癌患者一般住院5天，甲癌患者按提示沿患者走廊进入相应核素治疗病房内住院观察。</w:t>
            </w:r>
          </w:p>
          <w:p w14:paraId="2BC4221D">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④出院根据《临床核医学患者防护要求》WS533表G.2中要求：甲癌患者经检测患者体内放射性活度降低至400MBq后可离开核素治疗病房出院，甲癌患者从核医学</w:t>
            </w:r>
            <w:r>
              <w:rPr>
                <w:rFonts w:hint="default" w:ascii="Times New Roman" w:hAnsi="Times New Roman" w:cs="Times New Roman"/>
                <w:color w:val="auto"/>
                <w:highlight w:val="none"/>
                <w:lang w:val="en-US" w:eastAsia="zh-CN"/>
              </w:rPr>
              <w:t>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专用病患出口离开核医学</w:t>
            </w:r>
            <w:r>
              <w:rPr>
                <w:rFonts w:hint="default" w:ascii="Times New Roman" w:hAnsi="Times New Roman" w:cs="Times New Roman"/>
                <w:color w:val="auto"/>
                <w:highlight w:val="none"/>
                <w:lang w:val="en-US" w:eastAsia="zh-CN"/>
              </w:rPr>
              <w:t>楼</w:t>
            </w:r>
            <w:r>
              <w:rPr>
                <w:rFonts w:hint="default" w:ascii="Times New Roman" w:hAnsi="Times New Roman" w:cs="Times New Roman"/>
                <w:color w:val="auto"/>
                <w:highlight w:val="none"/>
              </w:rPr>
              <w:t>。</w:t>
            </w:r>
          </w:p>
          <w:p w14:paraId="2BAAED82">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b w:val="0"/>
                <w:bCs w:val="0"/>
                <w:i w:val="0"/>
                <w:iCs w:val="0"/>
                <w:strike w:val="0"/>
                <w:color w:val="auto"/>
                <w:sz w:val="24"/>
                <w:szCs w:val="24"/>
                <w:highlight w:val="none"/>
                <w:lang w:val="en-US" w:eastAsia="zh-CN"/>
              </w:rPr>
            </w:pPr>
            <w:r>
              <w:rPr>
                <w:rFonts w:hint="default" w:ascii="Times New Roman" w:hAnsi="Times New Roman" w:cs="Times New Roman"/>
                <w:b w:val="0"/>
                <w:bCs w:val="0"/>
                <w:i w:val="0"/>
                <w:iCs w:val="0"/>
                <w:strike w:val="0"/>
                <w:color w:val="auto"/>
                <w:sz w:val="24"/>
                <w:szCs w:val="24"/>
                <w:highlight w:val="none"/>
                <w:lang w:val="en-US" w:eastAsia="zh-CN"/>
              </w:rPr>
              <w:t>患者住院时产生的尿液、粪便、呕吐物均冲入专用卫生间，纳入衰变池组内衰变。甲癌治疗工作流程详与产污分析见</w:t>
            </w:r>
            <w:r>
              <w:rPr>
                <w:rFonts w:hint="eastAsia" w:cs="Times New Roman"/>
                <w:b w:val="0"/>
                <w:bCs w:val="0"/>
                <w:i w:val="0"/>
                <w:iCs w:val="0"/>
                <w:strike w:val="0"/>
                <w:color w:val="auto"/>
                <w:sz w:val="24"/>
                <w:szCs w:val="24"/>
                <w:highlight w:val="none"/>
                <w:lang w:val="en-US" w:eastAsia="zh-CN"/>
              </w:rPr>
              <w:t>下图。</w:t>
            </w:r>
          </w:p>
          <w:p w14:paraId="216659FB">
            <w:pPr>
              <w:keepNext w:val="0"/>
              <w:keepLines w:val="0"/>
              <w:suppressLineNumbers w:val="0"/>
              <w:spacing w:before="0" w:beforeAutospacing="0" w:after="120" w:afterAutospacing="0" w:line="360" w:lineRule="auto"/>
              <w:ind w:left="0" w:right="0" w:firstLine="480"/>
              <w:jc w:val="center"/>
              <w:rPr>
                <w:rFonts w:hint="default" w:ascii="Times New Roman" w:hAnsi="Times New Roman" w:cs="Times New Roman"/>
                <w:b w:val="0"/>
                <w:bCs w:val="0"/>
                <w:i w:val="0"/>
                <w:iCs w:val="0"/>
                <w:strike w:val="0"/>
                <w:color w:val="auto"/>
                <w:sz w:val="24"/>
                <w:szCs w:val="24"/>
                <w:highlight w:val="none"/>
                <w:lang w:val="en-US" w:eastAsia="zh-CN"/>
              </w:rPr>
            </w:pPr>
          </w:p>
          <w:p w14:paraId="1FBE7689">
            <w:pPr>
              <w:keepNext w:val="0"/>
              <w:keepLines w:val="0"/>
              <w:suppressLineNumbers w:val="0"/>
              <w:spacing w:before="0" w:beforeAutospacing="0" w:after="120" w:afterAutospacing="0" w:line="360" w:lineRule="auto"/>
              <w:ind w:left="0" w:right="0" w:firstLine="480"/>
              <w:jc w:val="center"/>
              <w:rPr>
                <w:rFonts w:hint="default" w:ascii="Times New Roman" w:hAnsi="Times New Roman" w:cs="Times New Roman"/>
                <w:b/>
                <w:bCs/>
                <w:i w:val="0"/>
                <w:iCs w:val="0"/>
                <w:strike w:val="0"/>
                <w:color w:val="auto"/>
                <w:sz w:val="24"/>
                <w:szCs w:val="24"/>
                <w:highlight w:val="none"/>
                <w:lang w:val="en-US" w:eastAsia="zh-CN"/>
              </w:rPr>
            </w:pPr>
            <w:r>
              <w:rPr>
                <w:rFonts w:hint="default" w:ascii="Times New Roman" w:hAnsi="Times New Roman" w:cs="Times New Roman"/>
                <w:b/>
                <w:bCs/>
                <w:i w:val="0"/>
                <w:iCs w:val="0"/>
                <w:strike w:val="0"/>
                <w:color w:val="auto"/>
                <w:sz w:val="24"/>
                <w:szCs w:val="24"/>
                <w:highlight w:val="none"/>
                <w:lang w:val="en-US" w:eastAsia="zh-CN"/>
              </w:rPr>
              <w:t>图9</w:t>
            </w:r>
            <w:r>
              <w:rPr>
                <w:rFonts w:hint="eastAsia" w:cs="Times New Roman"/>
                <w:b/>
                <w:bCs/>
                <w:i w:val="0"/>
                <w:iCs w:val="0"/>
                <w:strike w:val="0"/>
                <w:color w:val="auto"/>
                <w:sz w:val="24"/>
                <w:szCs w:val="24"/>
                <w:highlight w:val="none"/>
                <w:lang w:val="en-US" w:eastAsia="zh-CN"/>
              </w:rPr>
              <w:t>-9</w:t>
            </w:r>
            <w:r>
              <w:rPr>
                <w:rFonts w:hint="default" w:ascii="Times New Roman" w:hAnsi="Times New Roman" w:cs="Times New Roman"/>
                <w:b/>
                <w:bCs/>
                <w:i w:val="0"/>
                <w:iCs w:val="0"/>
                <w:strike w:val="0"/>
                <w:color w:val="auto"/>
                <w:sz w:val="24"/>
                <w:szCs w:val="24"/>
                <w:highlight w:val="none"/>
                <w:lang w:val="en-US" w:eastAsia="zh-CN"/>
              </w:rPr>
              <w:t xml:space="preserve">  甲癌治疗项目工作流程及产污环节分析示意图</w:t>
            </w:r>
          </w:p>
          <w:p w14:paraId="360808E2">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b/>
                <w:bCs/>
                <w:i w:val="0"/>
                <w:iCs w:val="0"/>
                <w:strike w:val="0"/>
                <w:color w:val="auto"/>
                <w:sz w:val="24"/>
                <w:szCs w:val="24"/>
                <w:highlight w:val="none"/>
                <w:lang w:val="en-US" w:eastAsia="zh-CN"/>
              </w:rPr>
            </w:pPr>
            <w:r>
              <w:rPr>
                <w:rFonts w:hint="default" w:ascii="Times New Roman" w:hAnsi="Times New Roman" w:cs="Times New Roman"/>
                <w:b/>
                <w:bCs/>
                <w:i w:val="0"/>
                <w:iCs w:val="0"/>
                <w:strike w:val="0"/>
                <w:color w:val="auto"/>
                <w:sz w:val="24"/>
                <w:szCs w:val="24"/>
                <w:highlight w:val="none"/>
                <w:lang w:val="en-US" w:eastAsia="zh-CN"/>
              </w:rPr>
              <w:t xml:space="preserve">（3）人流和物流路径规划 </w:t>
            </w:r>
          </w:p>
          <w:p w14:paraId="22B9648D">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color w:val="auto"/>
                <w:highlight w:val="none"/>
              </w:rPr>
            </w:pPr>
            <w:r>
              <w:rPr>
                <w:rFonts w:hint="default" w:ascii="Times New Roman" w:hAnsi="Times New Roman" w:cs="Times New Roman"/>
                <w:b/>
                <w:bCs/>
                <w:color w:val="auto"/>
                <w:highlight w:val="none"/>
              </w:rPr>
              <w:t>①送药路线放射性药物</w:t>
            </w:r>
            <w:r>
              <w:rPr>
                <w:rFonts w:hint="default" w:ascii="Times New Roman" w:hAnsi="Times New Roman" w:cs="Times New Roman"/>
                <w:color w:val="auto"/>
                <w:highlight w:val="none"/>
              </w:rPr>
              <w:t xml:space="preserve"> </w:t>
            </w:r>
          </w:p>
          <w:p w14:paraId="0D908539">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eastAsia" w:cs="Times New Roman"/>
                <w:color w:val="auto"/>
                <w:highlight w:val="none"/>
                <w:vertAlign w:val="baseline"/>
                <w:lang w:eastAsia="zh-CN"/>
              </w:rPr>
              <w:t>I-131</w:t>
            </w:r>
            <w:r>
              <w:rPr>
                <w:rFonts w:hint="eastAsia" w:cs="Times New Roman"/>
                <w:color w:val="auto"/>
                <w:highlight w:val="none"/>
                <w:lang w:val="en-US" w:eastAsia="zh-CN"/>
              </w:rPr>
              <w:t>胶囊</w:t>
            </w:r>
            <w:r>
              <w:rPr>
                <w:rFonts w:hint="default" w:ascii="Times New Roman" w:hAnsi="Times New Roman" w:cs="Times New Roman"/>
                <w:color w:val="auto"/>
                <w:highlight w:val="none"/>
              </w:rPr>
              <w:t>由</w:t>
            </w:r>
            <w:r>
              <w:rPr>
                <w:rFonts w:hint="default" w:ascii="Times New Roman" w:hAnsi="Times New Roman" w:cs="Times New Roman"/>
                <w:color w:val="auto"/>
                <w:highlight w:val="none"/>
                <w:lang w:eastAsia="zh-CN"/>
              </w:rPr>
              <w:t>核医学楼</w:t>
            </w:r>
            <w:r>
              <w:rPr>
                <w:rFonts w:hint="eastAsia" w:cs="Times New Roman"/>
                <w:color w:val="auto"/>
                <w:highlight w:val="none"/>
                <w:lang w:val="en-US" w:eastAsia="zh-CN"/>
              </w:rPr>
              <w:t>东侧楼梯</w:t>
            </w:r>
            <w:r>
              <w:rPr>
                <w:rFonts w:hint="default" w:ascii="Times New Roman" w:hAnsi="Times New Roman" w:cs="Times New Roman"/>
                <w:color w:val="auto"/>
                <w:highlight w:val="none"/>
              </w:rPr>
              <w:t>进入</w:t>
            </w:r>
            <w:r>
              <w:rPr>
                <w:rFonts w:hint="default" w:ascii="Times New Roman" w:hAnsi="Times New Roman" w:cs="Times New Roman"/>
                <w:color w:val="auto"/>
                <w:highlight w:val="none"/>
                <w:lang w:eastAsia="zh-CN"/>
              </w:rPr>
              <w:t>核医学楼</w:t>
            </w:r>
            <w:r>
              <w:rPr>
                <w:rFonts w:hint="default" w:ascii="Times New Roman" w:hAnsi="Times New Roman" w:cs="Times New Roman"/>
                <w:color w:val="auto"/>
                <w:highlight w:val="none"/>
              </w:rPr>
              <w:t>，药物暂存在</w:t>
            </w:r>
            <w:r>
              <w:rPr>
                <w:rFonts w:hint="default" w:ascii="Times New Roman" w:hAnsi="Times New Roman" w:cs="Times New Roman"/>
                <w:color w:val="auto"/>
                <w:highlight w:val="none"/>
                <w:lang w:val="en-US" w:eastAsia="zh-CN"/>
              </w:rPr>
              <w:t>核医学楼三层储源室内</w:t>
            </w:r>
            <w:r>
              <w:rPr>
                <w:rFonts w:hint="default" w:ascii="Times New Roman" w:hAnsi="Times New Roman" w:cs="Times New Roman"/>
                <w:color w:val="auto"/>
                <w:highlight w:val="none"/>
              </w:rPr>
              <w:t>。医院与供药商提前预约，根据约定时间，在上班之前，由专用传药梯送至</w:t>
            </w:r>
            <w:r>
              <w:rPr>
                <w:rFonts w:hint="default" w:ascii="Times New Roman" w:hAnsi="Times New Roman" w:cs="Times New Roman"/>
                <w:color w:val="auto"/>
                <w:highlight w:val="none"/>
                <w:lang w:eastAsia="zh-CN"/>
              </w:rPr>
              <w:t>核医学楼</w:t>
            </w:r>
            <w:r>
              <w:rPr>
                <w:rFonts w:hint="default" w:ascii="Times New Roman" w:hAnsi="Times New Roman" w:cs="Times New Roman"/>
                <w:color w:val="auto"/>
                <w:highlight w:val="none"/>
              </w:rPr>
              <w:t>三层</w:t>
            </w:r>
            <w:r>
              <w:rPr>
                <w:rFonts w:hint="default" w:ascii="Times New Roman" w:hAnsi="Times New Roman" w:cs="Times New Roman"/>
                <w:color w:val="auto"/>
                <w:highlight w:val="none"/>
                <w:lang w:val="en-US" w:eastAsia="zh-CN"/>
              </w:rPr>
              <w:t>储源室</w:t>
            </w:r>
            <w:r>
              <w:rPr>
                <w:rFonts w:hint="default" w:ascii="Times New Roman" w:hAnsi="Times New Roman" w:cs="Times New Roman"/>
                <w:color w:val="auto"/>
                <w:highlight w:val="none"/>
              </w:rPr>
              <w:t>，经专人接收</w:t>
            </w:r>
            <w:r>
              <w:rPr>
                <w:rFonts w:hint="eastAsia" w:cs="Times New Roman"/>
                <w:color w:val="auto"/>
                <w:highlight w:val="none"/>
                <w:lang w:eastAsia="zh-CN"/>
              </w:rPr>
              <w:t>，</w:t>
            </w:r>
            <w:r>
              <w:rPr>
                <w:rFonts w:hint="eastAsia" w:cs="Times New Roman"/>
                <w:color w:val="auto"/>
                <w:highlight w:val="none"/>
                <w:lang w:val="en-US" w:eastAsia="zh-CN"/>
              </w:rPr>
              <w:t>核对药物信息、妥善存储</w:t>
            </w:r>
            <w:r>
              <w:rPr>
                <w:rFonts w:hint="default" w:ascii="Times New Roman" w:hAnsi="Times New Roman" w:cs="Times New Roman"/>
                <w:color w:val="auto"/>
                <w:highlight w:val="none"/>
              </w:rPr>
              <w:t>。</w:t>
            </w:r>
          </w:p>
          <w:p w14:paraId="119BD4A3">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②患者路线</w:t>
            </w:r>
          </w:p>
          <w:p w14:paraId="25A57DDF">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甲癌治疗患者通过</w:t>
            </w:r>
            <w:r>
              <w:rPr>
                <w:rFonts w:hint="eastAsia" w:cs="Times New Roman"/>
                <w:color w:val="auto"/>
                <w:highlight w:val="none"/>
                <w:lang w:val="en-US" w:eastAsia="zh-CN"/>
              </w:rPr>
              <w:t>西侧楼梯到达三层，通过患者通道</w:t>
            </w:r>
            <w:r>
              <w:rPr>
                <w:rFonts w:hint="default" w:ascii="Times New Roman" w:hAnsi="Times New Roman" w:cs="Times New Roman"/>
                <w:color w:val="auto"/>
                <w:highlight w:val="none"/>
              </w:rPr>
              <w:t xml:space="preserve">进入 </w:t>
            </w:r>
            <w:r>
              <w:rPr>
                <w:rFonts w:hint="eastAsia" w:cs="Times New Roman"/>
                <w:color w:val="auto"/>
                <w:highlight w:val="none"/>
                <w:vertAlign w:val="baseline"/>
                <w:lang w:eastAsia="zh-CN"/>
              </w:rPr>
              <w:t>I-131</w:t>
            </w:r>
            <w:r>
              <w:rPr>
                <w:rFonts w:hint="eastAsia" w:cs="Times New Roman"/>
                <w:color w:val="auto"/>
                <w:highlight w:val="none"/>
                <w:lang w:val="en-US" w:eastAsia="zh-CN"/>
              </w:rPr>
              <w:t>治疗</w:t>
            </w:r>
            <w:r>
              <w:rPr>
                <w:rFonts w:hint="default" w:ascii="Times New Roman" w:hAnsi="Times New Roman" w:cs="Times New Roman"/>
                <w:color w:val="auto"/>
                <w:highlight w:val="none"/>
              </w:rPr>
              <w:t>候诊厅候诊，在服碘室口服药物后，甲癌治疗病人通过病患专用走廊进入甲癌核素治疗病房住院休息，待体内放射性活度降至 400MBq（辐射剂量率监测仪设置于患者通道）以下后通过</w:t>
            </w:r>
            <w:r>
              <w:rPr>
                <w:rFonts w:hint="default" w:ascii="Times New Roman" w:hAnsi="Times New Roman" w:cs="Times New Roman"/>
                <w:color w:val="auto"/>
                <w:highlight w:val="none"/>
                <w:lang w:eastAsia="zh-CN"/>
              </w:rPr>
              <w:t>核医学楼</w:t>
            </w:r>
            <w:r>
              <w:rPr>
                <w:rFonts w:hint="eastAsia" w:cs="Times New Roman"/>
                <w:color w:val="auto"/>
                <w:highlight w:val="none"/>
                <w:lang w:val="en-US" w:eastAsia="zh-CN"/>
              </w:rPr>
              <w:t>东侧</w:t>
            </w:r>
            <w:r>
              <w:rPr>
                <w:rFonts w:hint="default" w:ascii="Times New Roman" w:hAnsi="Times New Roman" w:cs="Times New Roman"/>
                <w:color w:val="auto"/>
                <w:highlight w:val="none"/>
              </w:rPr>
              <w:t>病患专用出口离开</w:t>
            </w:r>
            <w:r>
              <w:rPr>
                <w:rFonts w:hint="default" w:ascii="Times New Roman" w:hAnsi="Times New Roman" w:cs="Times New Roman"/>
                <w:color w:val="auto"/>
                <w:highlight w:val="none"/>
                <w:lang w:eastAsia="zh-CN"/>
              </w:rPr>
              <w:t>核医学楼</w:t>
            </w:r>
            <w:r>
              <w:rPr>
                <w:rFonts w:hint="default" w:ascii="Times New Roman" w:hAnsi="Times New Roman" w:cs="Times New Roman"/>
                <w:color w:val="auto"/>
                <w:highlight w:val="none"/>
              </w:rPr>
              <w:t>。</w:t>
            </w:r>
          </w:p>
          <w:p w14:paraId="4EA0BA65">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color w:val="auto"/>
                <w:highlight w:val="none"/>
              </w:rPr>
            </w:pPr>
            <w:r>
              <w:rPr>
                <w:rFonts w:hint="default" w:ascii="Times New Roman" w:hAnsi="Times New Roman" w:cs="Times New Roman"/>
                <w:b/>
                <w:bCs/>
                <w:color w:val="auto"/>
                <w:highlight w:val="none"/>
              </w:rPr>
              <w:t>③医务人员路线</w:t>
            </w:r>
            <w:r>
              <w:rPr>
                <w:rFonts w:hint="default" w:ascii="Times New Roman" w:hAnsi="Times New Roman" w:cs="Times New Roman"/>
                <w:color w:val="auto"/>
                <w:highlight w:val="none"/>
              </w:rPr>
              <w:t xml:space="preserve"> </w:t>
            </w:r>
          </w:p>
          <w:p w14:paraId="63C18A9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vertAlign w:val="superscript"/>
              </w:rPr>
              <w:t>131</w:t>
            </w:r>
            <w:r>
              <w:rPr>
                <w:rFonts w:hint="default" w:ascii="Times New Roman" w:hAnsi="Times New Roman" w:cs="Times New Roman"/>
                <w:color w:val="auto"/>
                <w:highlight w:val="none"/>
              </w:rPr>
              <w:t xml:space="preserve"> I 核素工作人员</w:t>
            </w:r>
            <w:r>
              <w:rPr>
                <w:rFonts w:hint="eastAsia" w:cs="Times New Roman"/>
                <w:color w:val="auto"/>
                <w:highlight w:val="none"/>
                <w:lang w:val="en-US" w:eastAsia="zh-CN"/>
              </w:rPr>
              <w:t>由西侧专医梯至三层</w:t>
            </w:r>
            <w:r>
              <w:rPr>
                <w:rFonts w:hint="default" w:ascii="Times New Roman" w:hAnsi="Times New Roman" w:cs="Times New Roman"/>
                <w:color w:val="auto"/>
                <w:highlight w:val="none"/>
              </w:rPr>
              <w:t>通过医护入口进入分碘室</w:t>
            </w:r>
            <w:r>
              <w:rPr>
                <w:rFonts w:hint="default" w:ascii="Times New Roman" w:hAnsi="Times New Roman" w:cs="Times New Roman"/>
                <w:color w:val="auto"/>
                <w:highlight w:val="none"/>
                <w:lang w:eastAsia="zh-CN"/>
              </w:rPr>
              <w:t>，穿戴好防护用品，</w:t>
            </w:r>
            <w:r>
              <w:rPr>
                <w:rFonts w:hint="default" w:ascii="Times New Roman" w:hAnsi="Times New Roman" w:cs="Times New Roman"/>
                <w:color w:val="auto"/>
                <w:highlight w:val="none"/>
                <w:lang w:val="en-US" w:eastAsia="zh-CN"/>
              </w:rPr>
              <w:t>将装有胶囊的西林瓶发给患者，患者服用胶囊，接受治疗。</w:t>
            </w:r>
          </w:p>
          <w:p w14:paraId="68987A9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2" w:firstLineChars="200"/>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④放射性固体废物路线</w:t>
            </w:r>
          </w:p>
          <w:p w14:paraId="4049703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医院拟将放射性固体废物收集存于</w:t>
            </w:r>
            <w:r>
              <w:rPr>
                <w:rFonts w:hint="default" w:ascii="Times New Roman" w:hAnsi="Times New Roman" w:cs="Times New Roman"/>
                <w:color w:val="auto"/>
                <w:highlight w:val="none"/>
                <w:lang w:val="en-US" w:eastAsia="zh-CN"/>
              </w:rPr>
              <w:t>核医学楼</w:t>
            </w:r>
            <w:r>
              <w:rPr>
                <w:rFonts w:hint="eastAsia" w:cs="Times New Roman"/>
                <w:color w:val="auto"/>
                <w:highlight w:val="none"/>
                <w:lang w:val="en-US" w:eastAsia="zh-CN"/>
              </w:rPr>
              <w:t>三</w:t>
            </w:r>
            <w:r>
              <w:rPr>
                <w:rFonts w:hint="default" w:ascii="Times New Roman" w:hAnsi="Times New Roman" w:cs="Times New Roman"/>
                <w:color w:val="auto"/>
                <w:highlight w:val="none"/>
                <w:lang w:val="en-US" w:eastAsia="zh-CN"/>
              </w:rPr>
              <w:t>层</w:t>
            </w:r>
            <w:r>
              <w:rPr>
                <w:rFonts w:hint="default" w:ascii="Times New Roman" w:hAnsi="Times New Roman" w:cs="Times New Roman"/>
                <w:color w:val="auto"/>
                <w:highlight w:val="none"/>
              </w:rPr>
              <w:t>服碘室内</w:t>
            </w:r>
            <w:r>
              <w:rPr>
                <w:rFonts w:hint="eastAsia" w:cs="Times New Roman"/>
                <w:color w:val="auto"/>
                <w:highlight w:val="none"/>
                <w:lang w:val="en-US" w:eastAsia="zh-CN"/>
              </w:rPr>
              <w:t>放射性</w:t>
            </w:r>
            <w:r>
              <w:rPr>
                <w:rFonts w:hint="default" w:ascii="Times New Roman" w:hAnsi="Times New Roman" w:cs="Times New Roman"/>
                <w:color w:val="auto"/>
                <w:highlight w:val="none"/>
              </w:rPr>
              <w:t>废物桶中，每天下班前将当天产生的放射性废物及时转移至</w:t>
            </w:r>
            <w:r>
              <w:rPr>
                <w:rFonts w:hint="default" w:ascii="Times New Roman" w:hAnsi="Times New Roman" w:cs="Times New Roman"/>
                <w:color w:val="auto"/>
                <w:highlight w:val="none"/>
                <w:lang w:val="en-US" w:eastAsia="zh-CN"/>
              </w:rPr>
              <w:t>核医学楼三层</w:t>
            </w:r>
            <w:r>
              <w:rPr>
                <w:rFonts w:hint="eastAsia" w:cs="Times New Roman"/>
                <w:color w:val="auto"/>
                <w:highlight w:val="none"/>
                <w:lang w:val="en-US" w:eastAsia="zh-CN"/>
              </w:rPr>
              <w:t>放射性</w:t>
            </w:r>
            <w:r>
              <w:rPr>
                <w:rFonts w:hint="default" w:ascii="Times New Roman" w:hAnsi="Times New Roman" w:cs="Times New Roman"/>
                <w:color w:val="auto"/>
                <w:highlight w:val="none"/>
              </w:rPr>
              <w:t>废物库内，暂存于废物衰变箱内衰变。待 10 个以上半衰期后衰变至符合清洁解控水平后，转移至院区的医疗污物暂存间，按照医疗废物交由有资质单位进行处置。</w:t>
            </w:r>
          </w:p>
          <w:p w14:paraId="6EC530D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2"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（4）诊断规划</w:t>
            </w:r>
          </w:p>
          <w:p w14:paraId="1FBC627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w:t>
            </w:r>
            <w:r>
              <w:rPr>
                <w:rFonts w:hint="default" w:ascii="Times New Roman" w:hAnsi="Times New Roman"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许可情况，医院现有甲癌治疗病房8间，目前日最大操作量为2.96E+10Bq，合计800mCi。医院3楼核素治疗区共规划预留18张治疗床位，包含甲状腺癌治疗病房8间、Lu</w:t>
            </w:r>
            <w:r>
              <w:rPr>
                <w:rFonts w:hint="default" w:ascii="Times New Roman" w:hAnsi="Times New Roman" w:cs="Times New Roman"/>
                <w:color w:val="auto"/>
                <w:highlight w:val="none"/>
                <w:lang w:val="en-US" w:eastAsia="zh-CN"/>
              </w:rPr>
              <w:noBreakHyphen/>
            </w:r>
            <w:r>
              <w:rPr>
                <w:rFonts w:hint="default" w:ascii="Times New Roman" w:hAnsi="Times New Roman" w:cs="Times New Roman"/>
                <w:color w:val="auto"/>
                <w:highlight w:val="none"/>
                <w:lang w:val="en-US" w:eastAsia="zh-CN"/>
              </w:rPr>
              <w:t>177前列腺癌治疗病房1间。现阶段8间甲状腺癌治疗病房已投入使用，并完成竣工环境保护验收；Lu</w:t>
            </w:r>
            <w:r>
              <w:rPr>
                <w:rFonts w:hint="default" w:ascii="Times New Roman" w:hAnsi="Times New Roman" w:cs="Times New Roman"/>
                <w:color w:val="auto"/>
                <w:highlight w:val="none"/>
                <w:lang w:val="en-US" w:eastAsia="zh-CN"/>
              </w:rPr>
              <w:noBreakHyphen/>
            </w:r>
            <w:r>
              <w:rPr>
                <w:rFonts w:hint="default" w:ascii="Times New Roman" w:hAnsi="Times New Roman" w:cs="Times New Roman"/>
                <w:color w:val="auto"/>
                <w:highlight w:val="none"/>
                <w:lang w:val="en-US" w:eastAsia="zh-CN"/>
              </w:rPr>
              <w:t>177前列腺癌治疗病房暂未启用。甲状腺癌核素治疗用药由原液体I</w:t>
            </w:r>
            <w:r>
              <w:rPr>
                <w:rFonts w:hint="default" w:ascii="Times New Roman" w:hAnsi="Times New Roman" w:cs="Times New Roman"/>
                <w:color w:val="auto"/>
                <w:highlight w:val="none"/>
                <w:lang w:val="en-US" w:eastAsia="zh-CN"/>
              </w:rPr>
              <w:noBreakHyphen/>
            </w:r>
            <w:r>
              <w:rPr>
                <w:rFonts w:hint="default" w:ascii="Times New Roman" w:hAnsi="Times New Roman" w:cs="Times New Roman"/>
                <w:color w:val="auto"/>
                <w:highlight w:val="none"/>
                <w:lang w:val="en-US" w:eastAsia="zh-CN"/>
              </w:rPr>
              <w:t>131更换为固体I</w:t>
            </w:r>
            <w:r>
              <w:rPr>
                <w:rFonts w:hint="default" w:ascii="Times New Roman" w:hAnsi="Times New Roman" w:cs="Times New Roman"/>
                <w:color w:val="auto"/>
                <w:highlight w:val="none"/>
                <w:lang w:val="en-US" w:eastAsia="zh-CN"/>
              </w:rPr>
              <w:noBreakHyphen/>
            </w:r>
            <w:r>
              <w:rPr>
                <w:rFonts w:hint="default" w:ascii="Times New Roman" w:hAnsi="Times New Roman" w:cs="Times New Roman"/>
                <w:color w:val="auto"/>
                <w:highlight w:val="none"/>
                <w:lang w:val="en-US" w:eastAsia="zh-CN"/>
              </w:rPr>
              <w:t>131，该项变更使得状态与操作方式修正因子由1调整为10，甲癌治疗项目</w:t>
            </w:r>
            <w:r>
              <w:rPr>
                <w:rFonts w:hint="eastAsia" w:cs="Times New Roman"/>
                <w:color w:val="auto"/>
                <w:highlight w:val="none"/>
                <w:lang w:val="en-US" w:eastAsia="zh-CN"/>
              </w:rPr>
              <w:t>日等效最大操作量</w:t>
            </w:r>
            <w:r>
              <w:rPr>
                <w:rFonts w:hint="default" w:ascii="Times New Roman" w:hAnsi="Times New Roman" w:cs="Times New Roman"/>
                <w:color w:val="auto"/>
                <w:highlight w:val="none"/>
                <w:lang w:val="en-US" w:eastAsia="zh-CN"/>
              </w:rPr>
              <w:t>显著下降。基于上述条件，可在不提升原有非密封放射性物质工作场所等级的前提下，启用区域内剩余空置的9张床位，进一步提升核素治疗救治能力。</w:t>
            </w:r>
          </w:p>
          <w:p w14:paraId="27AE838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甲癌治疗项目开展后，规划使用放射性核素 </w:t>
            </w:r>
            <w:r>
              <w:rPr>
                <w:rFonts w:hint="eastAsia"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胶囊进行治疗。医院每周安排一个批次甲癌患者就诊住院，单日最大就诊住院人数为17人，甲癌患者需住院 5 天后出院。本项目甲癌治疗用核素相关放射性属性见下表。</w:t>
            </w:r>
          </w:p>
          <w:p w14:paraId="6A62BB25">
            <w:pPr>
              <w:keepNext w:val="0"/>
              <w:keepLines w:val="0"/>
              <w:suppressLineNumbers w:val="0"/>
              <w:spacing w:before="5" w:beforeAutospacing="0" w:after="0" w:afterAutospacing="0" w:line="219" w:lineRule="auto"/>
              <w:ind w:left="2763" w:right="0"/>
              <w:jc w:val="both"/>
              <w:rPr>
                <w:rFonts w:hint="default" w:ascii="Times New Roman" w:hAnsi="Times New Roman" w:eastAsia="宋体" w:cs="Times New Roman"/>
                <w:color w:val="auto"/>
                <w:sz w:val="24"/>
                <w:szCs w:val="24"/>
                <w:highlight w:val="none"/>
              </w:rPr>
            </w:pPr>
            <w:r>
              <w:rPr>
                <w:rFonts w:hint="default" w:ascii="Times New Roman" w:hAnsi="Times New Roman" w:cs="Times New Roman"/>
                <w:b/>
                <w:bCs/>
                <w:color w:val="auto"/>
                <w:spacing w:val="-5"/>
                <w:sz w:val="24"/>
                <w:szCs w:val="24"/>
                <w:highlight w:val="none"/>
                <w:lang w:eastAsia="zh-CN"/>
              </w:rPr>
              <w:t>表</w:t>
            </w:r>
            <w:r>
              <w:rPr>
                <w:rFonts w:hint="default" w:ascii="Times New Roman" w:hAnsi="Times New Roman" w:eastAsia="Times New Roman" w:cs="Times New Roman"/>
                <w:b/>
                <w:bCs/>
                <w:color w:val="auto"/>
                <w:spacing w:val="-5"/>
                <w:sz w:val="24"/>
                <w:szCs w:val="24"/>
                <w:highlight w:val="none"/>
              </w:rPr>
              <w:t>9-</w:t>
            </w:r>
            <w:r>
              <w:rPr>
                <w:rFonts w:hint="eastAsia" w:eastAsia="宋体" w:cs="Times New Roman"/>
                <w:b/>
                <w:bCs/>
                <w:color w:val="auto"/>
                <w:spacing w:val="-5"/>
                <w:sz w:val="24"/>
                <w:szCs w:val="24"/>
                <w:highlight w:val="none"/>
                <w:lang w:val="en-US" w:eastAsia="zh-CN"/>
              </w:rPr>
              <w:t>1</w:t>
            </w:r>
            <w:r>
              <w:rPr>
                <w:rFonts w:hint="eastAsia" w:cs="Times New Roman"/>
                <w:b/>
                <w:bCs/>
                <w:color w:val="auto"/>
                <w:spacing w:val="-5"/>
                <w:sz w:val="24"/>
                <w:szCs w:val="24"/>
                <w:highlight w:val="none"/>
                <w:lang w:val="en-US" w:eastAsia="zh-CN"/>
              </w:rPr>
              <w:t>2</w:t>
            </w:r>
            <w:r>
              <w:rPr>
                <w:rFonts w:hint="default" w:ascii="Times New Roman" w:hAnsi="Times New Roman" w:eastAsia="Times New Roman" w:cs="Times New Roman"/>
                <w:b/>
                <w:bCs/>
                <w:color w:val="auto"/>
                <w:spacing w:val="20"/>
                <w:sz w:val="24"/>
                <w:szCs w:val="24"/>
                <w:highlight w:val="none"/>
              </w:rPr>
              <w:t xml:space="preserve">  </w:t>
            </w:r>
            <w:r>
              <w:rPr>
                <w:rFonts w:hint="default" w:ascii="Times New Roman" w:hAnsi="Times New Roman" w:eastAsia="宋体" w:cs="Times New Roman"/>
                <w:b/>
                <w:bCs/>
                <w:color w:val="auto"/>
                <w:spacing w:val="-5"/>
                <w:sz w:val="24"/>
                <w:szCs w:val="24"/>
                <w:highlight w:val="none"/>
              </w:rPr>
              <w:t>甲癌治疗用核素相关放射性属性</w:t>
            </w:r>
          </w:p>
          <w:p w14:paraId="21E3C0DF">
            <w:pPr>
              <w:keepNext w:val="0"/>
              <w:keepLines w:val="0"/>
              <w:suppressLineNumbers w:val="0"/>
              <w:spacing w:before="0" w:beforeAutospacing="0" w:after="0" w:afterAutospacing="0" w:line="145" w:lineRule="exact"/>
              <w:ind w:left="0" w:right="0"/>
              <w:jc w:val="both"/>
              <w:rPr>
                <w:rFonts w:hint="default" w:ascii="Times New Roman" w:hAnsi="Times New Roman" w:cs="Times New Roman"/>
                <w:color w:val="auto"/>
                <w:highlight w:val="none"/>
              </w:rPr>
            </w:pPr>
          </w:p>
          <w:tbl>
            <w:tblPr>
              <w:tblStyle w:val="30"/>
              <w:tblW w:w="9056" w:type="dxa"/>
              <w:tblInd w:w="97"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0"/>
              <w:gridCol w:w="845"/>
              <w:gridCol w:w="845"/>
              <w:gridCol w:w="1127"/>
              <w:gridCol w:w="783"/>
              <w:gridCol w:w="1898"/>
              <w:gridCol w:w="2418"/>
            </w:tblGrid>
            <w:tr w14:paraId="3DAB52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1140" w:type="dxa"/>
                  <w:tcBorders>
                    <w:tl2br w:val="nil"/>
                    <w:tr2bl w:val="nil"/>
                  </w:tcBorders>
                  <w:vAlign w:val="top"/>
                </w:tcPr>
                <w:p w14:paraId="16830950">
                  <w:pPr>
                    <w:keepNext w:val="0"/>
                    <w:keepLines w:val="0"/>
                    <w:suppressLineNumbers w:val="0"/>
                    <w:spacing w:before="171" w:beforeAutospacing="0" w:after="0" w:afterAutospacing="0" w:line="228" w:lineRule="auto"/>
                    <w:ind w:left="159"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5"/>
                      <w:sz w:val="20"/>
                      <w:szCs w:val="20"/>
                      <w:highlight w:val="none"/>
                    </w:rPr>
                    <w:t>核素名称</w:t>
                  </w:r>
                </w:p>
              </w:tc>
              <w:tc>
                <w:tcPr>
                  <w:tcW w:w="845" w:type="dxa"/>
                  <w:tcBorders>
                    <w:tl2br w:val="nil"/>
                    <w:tr2bl w:val="nil"/>
                  </w:tcBorders>
                  <w:vAlign w:val="top"/>
                </w:tcPr>
                <w:p w14:paraId="6464D274">
                  <w:pPr>
                    <w:keepNext w:val="0"/>
                    <w:keepLines w:val="0"/>
                    <w:suppressLineNumbers w:val="0"/>
                    <w:spacing w:before="171" w:beforeAutospacing="0" w:after="0" w:afterAutospacing="0" w:line="228" w:lineRule="auto"/>
                    <w:ind w:left="217"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3"/>
                      <w:sz w:val="20"/>
                      <w:szCs w:val="20"/>
                      <w:highlight w:val="none"/>
                    </w:rPr>
                    <w:t>状态</w:t>
                  </w:r>
                </w:p>
              </w:tc>
              <w:tc>
                <w:tcPr>
                  <w:tcW w:w="845" w:type="dxa"/>
                  <w:tcBorders>
                    <w:tl2br w:val="nil"/>
                    <w:tr2bl w:val="nil"/>
                  </w:tcBorders>
                  <w:vAlign w:val="top"/>
                </w:tcPr>
                <w:p w14:paraId="693DC705">
                  <w:pPr>
                    <w:keepNext w:val="0"/>
                    <w:keepLines w:val="0"/>
                    <w:suppressLineNumbers w:val="0"/>
                    <w:spacing w:before="172" w:beforeAutospacing="0" w:after="0" w:afterAutospacing="0" w:line="228" w:lineRule="auto"/>
                    <w:ind w:left="116"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4"/>
                      <w:sz w:val="20"/>
                      <w:szCs w:val="20"/>
                      <w:highlight w:val="none"/>
                    </w:rPr>
                    <w:t>半衰期</w:t>
                  </w:r>
                </w:p>
              </w:tc>
              <w:tc>
                <w:tcPr>
                  <w:tcW w:w="1127" w:type="dxa"/>
                  <w:tcBorders>
                    <w:tl2br w:val="nil"/>
                    <w:tr2bl w:val="nil"/>
                  </w:tcBorders>
                  <w:vAlign w:val="top"/>
                </w:tcPr>
                <w:p w14:paraId="2F4E2398">
                  <w:pPr>
                    <w:keepNext w:val="0"/>
                    <w:keepLines w:val="0"/>
                    <w:suppressLineNumbers w:val="0"/>
                    <w:spacing w:before="171" w:beforeAutospacing="0" w:after="0" w:afterAutospacing="0" w:line="228" w:lineRule="auto"/>
                    <w:ind w:left="150"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毒性组别</w:t>
                  </w:r>
                </w:p>
              </w:tc>
              <w:tc>
                <w:tcPr>
                  <w:tcW w:w="783" w:type="dxa"/>
                  <w:tcBorders>
                    <w:tl2br w:val="nil"/>
                    <w:tr2bl w:val="nil"/>
                  </w:tcBorders>
                  <w:vAlign w:val="top"/>
                </w:tcPr>
                <w:p w14:paraId="728C01DB">
                  <w:pPr>
                    <w:keepNext w:val="0"/>
                    <w:keepLines w:val="0"/>
                    <w:suppressLineNumbers w:val="0"/>
                    <w:spacing w:before="172" w:beforeAutospacing="0" w:after="0" w:afterAutospacing="0" w:line="228" w:lineRule="auto"/>
                    <w:ind w:left="151"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衰变方式</w:t>
                  </w:r>
                </w:p>
              </w:tc>
              <w:tc>
                <w:tcPr>
                  <w:tcW w:w="1898" w:type="dxa"/>
                  <w:tcBorders>
                    <w:tl2br w:val="nil"/>
                    <w:tr2bl w:val="nil"/>
                  </w:tcBorders>
                  <w:vAlign w:val="top"/>
                </w:tcPr>
                <w:p w14:paraId="5EDB7EC4">
                  <w:pPr>
                    <w:keepNext w:val="0"/>
                    <w:keepLines w:val="0"/>
                    <w:suppressLineNumbers w:val="0"/>
                    <w:spacing w:before="38" w:beforeAutospacing="0" w:after="0" w:afterAutospacing="0" w:line="233" w:lineRule="auto"/>
                    <w:ind w:left="248" w:right="147" w:hanging="91"/>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主要射线和能</w:t>
                  </w:r>
                  <w:r>
                    <w:rPr>
                      <w:rFonts w:hint="default" w:ascii="Times New Roman" w:hAnsi="Times New Roman" w:eastAsia="宋体" w:cs="Times New Roman"/>
                      <w:b/>
                      <w:bCs/>
                      <w:color w:val="auto"/>
                      <w:spacing w:val="8"/>
                      <w:sz w:val="20"/>
                      <w:szCs w:val="20"/>
                      <w:highlight w:val="none"/>
                    </w:rPr>
                    <w:t>量（</w:t>
                  </w:r>
                  <w:r>
                    <w:rPr>
                      <w:rFonts w:hint="default" w:ascii="Times New Roman" w:hAnsi="Times New Roman" w:eastAsia="Times New Roman" w:cs="Times New Roman"/>
                      <w:b/>
                      <w:bCs/>
                      <w:color w:val="auto"/>
                      <w:sz w:val="20"/>
                      <w:szCs w:val="20"/>
                      <w:highlight w:val="none"/>
                    </w:rPr>
                    <w:t>MeV</w:t>
                  </w:r>
                  <w:r>
                    <w:rPr>
                      <w:rFonts w:hint="default" w:ascii="Times New Roman" w:hAnsi="Times New Roman" w:eastAsia="宋体" w:cs="Times New Roman"/>
                      <w:b/>
                      <w:bCs/>
                      <w:color w:val="auto"/>
                      <w:spacing w:val="8"/>
                      <w:sz w:val="20"/>
                      <w:szCs w:val="20"/>
                      <w:highlight w:val="none"/>
                    </w:rPr>
                    <w:t>）</w:t>
                  </w:r>
                </w:p>
              </w:tc>
              <w:tc>
                <w:tcPr>
                  <w:tcW w:w="2418" w:type="dxa"/>
                  <w:tcBorders>
                    <w:tl2br w:val="nil"/>
                    <w:tr2bl w:val="nil"/>
                  </w:tcBorders>
                  <w:vAlign w:val="top"/>
                </w:tcPr>
                <w:p w14:paraId="26087E58">
                  <w:pPr>
                    <w:keepNext w:val="0"/>
                    <w:keepLines w:val="0"/>
                    <w:suppressLineNumbers w:val="0"/>
                    <w:spacing w:before="38" w:beforeAutospacing="0" w:after="0" w:afterAutospacing="0" w:line="233" w:lineRule="auto"/>
                    <w:ind w:left="0" w:right="131"/>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空气比释动能率常数</w:t>
                  </w:r>
                  <w:r>
                    <w:rPr>
                      <w:rFonts w:hint="default" w:ascii="Times New Roman" w:hAnsi="Times New Roman" w:eastAsia="宋体" w:cs="Times New Roman"/>
                      <w:b/>
                      <w:bCs/>
                      <w:color w:val="auto"/>
                      <w:spacing w:val="-2"/>
                      <w:sz w:val="20"/>
                      <w:szCs w:val="20"/>
                      <w:highlight w:val="none"/>
                    </w:rPr>
                    <w:t>(</w:t>
                  </w:r>
                  <w:r>
                    <w:rPr>
                      <w:rFonts w:hint="default" w:ascii="Times New Roman" w:hAnsi="Times New Roman" w:eastAsia="Times New Roman" w:cs="Times New Roman"/>
                      <w:b/>
                      <w:bCs/>
                      <w:color w:val="auto"/>
                      <w:spacing w:val="-2"/>
                      <w:sz w:val="20"/>
                      <w:szCs w:val="20"/>
                      <w:highlight w:val="none"/>
                    </w:rPr>
                    <w:t>μGy·m</w:t>
                  </w:r>
                  <w:r>
                    <w:rPr>
                      <w:rFonts w:hint="default" w:ascii="Times New Roman" w:hAnsi="Times New Roman" w:eastAsia="Times New Roman" w:cs="Times New Roman"/>
                      <w:b/>
                      <w:bCs/>
                      <w:color w:val="auto"/>
                      <w:spacing w:val="-2"/>
                      <w:position w:val="6"/>
                      <w:sz w:val="13"/>
                      <w:szCs w:val="13"/>
                      <w:highlight w:val="none"/>
                    </w:rPr>
                    <w:t>2</w:t>
                  </w:r>
                  <w:r>
                    <w:rPr>
                      <w:rFonts w:hint="default" w:ascii="Times New Roman" w:hAnsi="Times New Roman" w:eastAsia="Times New Roman" w:cs="Times New Roman"/>
                      <w:b/>
                      <w:bCs/>
                      <w:color w:val="auto"/>
                      <w:spacing w:val="-2"/>
                      <w:sz w:val="20"/>
                      <w:szCs w:val="20"/>
                      <w:highlight w:val="none"/>
                    </w:rPr>
                    <w:t>·MBq</w:t>
                  </w:r>
                  <w:r>
                    <w:rPr>
                      <w:rFonts w:hint="default" w:ascii="Times New Roman" w:hAnsi="Times New Roman" w:eastAsia="Times New Roman" w:cs="Times New Roman"/>
                      <w:b/>
                      <w:bCs/>
                      <w:color w:val="auto"/>
                      <w:spacing w:val="-2"/>
                      <w:position w:val="6"/>
                      <w:sz w:val="13"/>
                      <w:szCs w:val="13"/>
                      <w:highlight w:val="none"/>
                    </w:rPr>
                    <w:t>-1</w:t>
                  </w:r>
                  <w:r>
                    <w:rPr>
                      <w:rFonts w:hint="default" w:ascii="Times New Roman" w:hAnsi="Times New Roman" w:eastAsia="宋体" w:cs="Times New Roman"/>
                      <w:b/>
                      <w:bCs/>
                      <w:color w:val="auto"/>
                      <w:spacing w:val="-2"/>
                      <w:sz w:val="20"/>
                      <w:szCs w:val="20"/>
                      <w:highlight w:val="none"/>
                    </w:rPr>
                    <w:t>·</w:t>
                  </w:r>
                  <w:r>
                    <w:rPr>
                      <w:rFonts w:hint="default" w:ascii="Times New Roman" w:hAnsi="Times New Roman" w:eastAsia="Times New Roman" w:cs="Times New Roman"/>
                      <w:b/>
                      <w:bCs/>
                      <w:color w:val="auto"/>
                      <w:spacing w:val="-2"/>
                      <w:sz w:val="20"/>
                      <w:szCs w:val="20"/>
                      <w:highlight w:val="none"/>
                    </w:rPr>
                    <w:t>h</w:t>
                  </w:r>
                  <w:r>
                    <w:rPr>
                      <w:rFonts w:hint="default" w:ascii="Times New Roman" w:hAnsi="Times New Roman" w:eastAsia="Times New Roman" w:cs="Times New Roman"/>
                      <w:b/>
                      <w:bCs/>
                      <w:color w:val="auto"/>
                      <w:spacing w:val="-2"/>
                      <w:position w:val="6"/>
                      <w:sz w:val="13"/>
                      <w:szCs w:val="13"/>
                      <w:highlight w:val="none"/>
                    </w:rPr>
                    <w:t>-1</w:t>
                  </w:r>
                  <w:r>
                    <w:rPr>
                      <w:rFonts w:hint="default" w:ascii="Times New Roman" w:hAnsi="Times New Roman" w:eastAsia="宋体" w:cs="Times New Roman"/>
                      <w:b/>
                      <w:bCs/>
                      <w:color w:val="auto"/>
                      <w:spacing w:val="-2"/>
                      <w:sz w:val="20"/>
                      <w:szCs w:val="20"/>
                      <w:highlight w:val="none"/>
                    </w:rPr>
                    <w:t>）</w:t>
                  </w:r>
                </w:p>
              </w:tc>
            </w:tr>
            <w:tr w14:paraId="6F0CF4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61" w:hRule="atLeast"/>
              </w:trPr>
              <w:tc>
                <w:tcPr>
                  <w:tcW w:w="1140" w:type="dxa"/>
                  <w:tcBorders>
                    <w:tl2br w:val="nil"/>
                    <w:tr2bl w:val="nil"/>
                  </w:tcBorders>
                  <w:vAlign w:val="center"/>
                </w:tcPr>
                <w:p w14:paraId="05E8315C">
                  <w:pPr>
                    <w:keepNext w:val="0"/>
                    <w:keepLines w:val="0"/>
                    <w:suppressLineNumbers w:val="0"/>
                    <w:spacing w:before="69" w:beforeAutospacing="0" w:after="0" w:afterAutospacing="0" w:line="207" w:lineRule="auto"/>
                    <w:ind w:left="433" w:right="0"/>
                    <w:jc w:val="both"/>
                    <w:rPr>
                      <w:rFonts w:hint="eastAsia" w:ascii="Times New Roman" w:hAnsi="Times New Roman" w:eastAsia="宋体" w:cs="Times New Roman"/>
                      <w:color w:val="auto"/>
                      <w:sz w:val="24"/>
                      <w:szCs w:val="24"/>
                      <w:highlight w:val="none"/>
                      <w:lang w:eastAsia="zh-CN"/>
                    </w:rPr>
                  </w:pPr>
                  <w:r>
                    <w:rPr>
                      <w:rFonts w:hint="eastAsia" w:eastAsia="宋体" w:cs="Times New Roman"/>
                      <w:color w:val="auto"/>
                      <w:spacing w:val="-3"/>
                      <w:position w:val="3"/>
                      <w:sz w:val="13"/>
                      <w:szCs w:val="13"/>
                      <w:highlight w:val="none"/>
                      <w:vertAlign w:val="baseline"/>
                      <w:lang w:eastAsia="zh-CN"/>
                    </w:rPr>
                    <w:t>I-131</w:t>
                  </w:r>
                </w:p>
              </w:tc>
              <w:tc>
                <w:tcPr>
                  <w:tcW w:w="845" w:type="dxa"/>
                  <w:tcBorders>
                    <w:tl2br w:val="nil"/>
                    <w:tr2bl w:val="nil"/>
                  </w:tcBorders>
                  <w:vAlign w:val="center"/>
                </w:tcPr>
                <w:p w14:paraId="4F773440">
                  <w:pPr>
                    <w:keepNext w:val="0"/>
                    <w:keepLines w:val="0"/>
                    <w:suppressLineNumbers w:val="0"/>
                    <w:spacing w:before="65" w:beforeAutospacing="0" w:after="0" w:afterAutospacing="0" w:line="228" w:lineRule="auto"/>
                    <w:ind w:left="219" w:right="0"/>
                    <w:jc w:val="both"/>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3"/>
                      <w:sz w:val="20"/>
                      <w:szCs w:val="20"/>
                      <w:highlight w:val="none"/>
                    </w:rPr>
                    <w:t>液态</w:t>
                  </w:r>
                </w:p>
              </w:tc>
              <w:tc>
                <w:tcPr>
                  <w:tcW w:w="845" w:type="dxa"/>
                  <w:tcBorders>
                    <w:tl2br w:val="nil"/>
                    <w:tr2bl w:val="nil"/>
                  </w:tcBorders>
                  <w:vAlign w:val="center"/>
                </w:tcPr>
                <w:p w14:paraId="0B24ED37">
                  <w:pPr>
                    <w:keepNext w:val="0"/>
                    <w:keepLines w:val="0"/>
                    <w:suppressLineNumbers w:val="0"/>
                    <w:spacing w:before="58" w:beforeAutospacing="0" w:after="0" w:afterAutospacing="0" w:line="199" w:lineRule="auto"/>
                    <w:ind w:left="196" w:right="0"/>
                    <w:jc w:val="center"/>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color w:val="auto"/>
                      <w:spacing w:val="1"/>
                      <w:sz w:val="20"/>
                      <w:szCs w:val="20"/>
                      <w:highlight w:val="none"/>
                    </w:rPr>
                    <w:t>8.02d</w:t>
                  </w:r>
                </w:p>
              </w:tc>
              <w:tc>
                <w:tcPr>
                  <w:tcW w:w="1127" w:type="dxa"/>
                  <w:tcBorders>
                    <w:tl2br w:val="nil"/>
                    <w:tr2bl w:val="nil"/>
                  </w:tcBorders>
                  <w:vAlign w:val="center"/>
                </w:tcPr>
                <w:p w14:paraId="5B10A406">
                  <w:pPr>
                    <w:keepNext w:val="0"/>
                    <w:keepLines w:val="0"/>
                    <w:suppressLineNumbers w:val="0"/>
                    <w:spacing w:before="65" w:beforeAutospacing="0" w:after="0" w:afterAutospacing="0" w:line="228" w:lineRule="auto"/>
                    <w:ind w:left="379" w:right="0"/>
                    <w:jc w:val="both"/>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5"/>
                      <w:sz w:val="20"/>
                      <w:szCs w:val="20"/>
                      <w:highlight w:val="none"/>
                    </w:rPr>
                    <w:t>中毒</w:t>
                  </w:r>
                </w:p>
              </w:tc>
              <w:tc>
                <w:tcPr>
                  <w:tcW w:w="783" w:type="dxa"/>
                  <w:tcBorders>
                    <w:tl2br w:val="nil"/>
                    <w:tr2bl w:val="nil"/>
                  </w:tcBorders>
                  <w:vAlign w:val="center"/>
                </w:tcPr>
                <w:p w14:paraId="48565F6F">
                  <w:pPr>
                    <w:keepNext w:val="0"/>
                    <w:keepLines w:val="0"/>
                    <w:suppressLineNumbers w:val="0"/>
                    <w:spacing w:before="57" w:beforeAutospacing="0" w:after="0" w:afterAutospacing="0" w:line="200" w:lineRule="auto"/>
                    <w:ind w:left="499" w:right="0"/>
                    <w:jc w:val="both"/>
                    <w:rPr>
                      <w:rFonts w:hint="default" w:ascii="Times New Roman" w:hAnsi="Times New Roman" w:eastAsia="Times New Roman" w:cs="Times New Roman"/>
                      <w:color w:val="auto"/>
                      <w:sz w:val="13"/>
                      <w:szCs w:val="13"/>
                      <w:highlight w:val="none"/>
                    </w:rPr>
                  </w:pPr>
                  <w:r>
                    <w:rPr>
                      <w:rFonts w:hint="default" w:ascii="Times New Roman" w:hAnsi="Times New Roman" w:eastAsia="Times New Roman" w:cs="Times New Roman"/>
                      <w:color w:val="auto"/>
                      <w:spacing w:val="-1"/>
                      <w:sz w:val="20"/>
                      <w:szCs w:val="20"/>
                      <w:highlight w:val="none"/>
                    </w:rPr>
                    <w:t>β</w:t>
                  </w:r>
                  <w:r>
                    <w:rPr>
                      <w:rFonts w:hint="default" w:ascii="Times New Roman" w:hAnsi="Times New Roman" w:eastAsia="Times New Roman" w:cs="Times New Roman"/>
                      <w:color w:val="auto"/>
                      <w:spacing w:val="-1"/>
                      <w:position w:val="6"/>
                      <w:sz w:val="13"/>
                      <w:szCs w:val="13"/>
                      <w:highlight w:val="none"/>
                    </w:rPr>
                    <w:t>-</w:t>
                  </w:r>
                </w:p>
              </w:tc>
              <w:tc>
                <w:tcPr>
                  <w:tcW w:w="1898" w:type="dxa"/>
                  <w:tcBorders>
                    <w:tl2br w:val="nil"/>
                    <w:tr2bl w:val="nil"/>
                  </w:tcBorders>
                  <w:vAlign w:val="center"/>
                </w:tcPr>
                <w:p w14:paraId="5181444E">
                  <w:pPr>
                    <w:keepNext w:val="0"/>
                    <w:keepLines w:val="0"/>
                    <w:suppressLineNumbers w:val="0"/>
                    <w:bidi w:val="0"/>
                    <w:spacing w:before="0" w:beforeAutospacing="0" w:after="0" w:afterAutospacing="0"/>
                    <w:ind w:left="0" w:right="0"/>
                    <w:rPr>
                      <w:rFonts w:hint="default" w:ascii="Times New Roman" w:hAnsi="Times New Roman" w:cs="Times New Roman"/>
                      <w:color w:val="auto"/>
                      <w:sz w:val="21"/>
                      <w:szCs w:val="20"/>
                      <w:highlight w:val="none"/>
                    </w:rPr>
                  </w:pPr>
                  <w:r>
                    <w:rPr>
                      <w:rFonts w:hint="default" w:ascii="Times New Roman" w:hAnsi="Times New Roman" w:cs="Times New Roman"/>
                      <w:color w:val="auto"/>
                      <w:sz w:val="21"/>
                      <w:szCs w:val="20"/>
                      <w:highlight w:val="none"/>
                    </w:rPr>
                    <w:t>光子0.284，0.365.365，0.637</w:t>
                  </w:r>
                </w:p>
                <w:p w14:paraId="236D83B5">
                  <w:pPr>
                    <w:keepNext w:val="0"/>
                    <w:keepLines w:val="0"/>
                    <w:suppressLineNumbers w:val="0"/>
                    <w:bidi w:val="0"/>
                    <w:spacing w:before="0" w:beforeAutospacing="0" w:after="0" w:afterAutospacing="0"/>
                    <w:ind w:left="0" w:right="0"/>
                    <w:rPr>
                      <w:rFonts w:hint="default" w:ascii="Times New Roman" w:hAnsi="Times New Roman" w:eastAsia="Times New Roman" w:cs="Times New Roman"/>
                      <w:color w:val="auto"/>
                      <w:szCs w:val="20"/>
                      <w:highlight w:val="none"/>
                    </w:rPr>
                  </w:pPr>
                  <w:r>
                    <w:rPr>
                      <w:rFonts w:hint="default" w:ascii="Times New Roman" w:hAnsi="Times New Roman" w:cs="Times New Roman"/>
                      <w:color w:val="auto"/>
                      <w:sz w:val="21"/>
                      <w:szCs w:val="20"/>
                      <w:highlight w:val="none"/>
                    </w:rPr>
                    <w:t>β射线0.602</w:t>
                  </w:r>
                </w:p>
              </w:tc>
              <w:tc>
                <w:tcPr>
                  <w:tcW w:w="2418" w:type="dxa"/>
                  <w:tcBorders>
                    <w:tl2br w:val="nil"/>
                    <w:tr2bl w:val="nil"/>
                  </w:tcBorders>
                  <w:vAlign w:val="center"/>
                </w:tcPr>
                <w:p w14:paraId="2F1947BF">
                  <w:pPr>
                    <w:keepNext w:val="0"/>
                    <w:keepLines w:val="0"/>
                    <w:suppressLineNumbers w:val="0"/>
                    <w:spacing w:before="57" w:beforeAutospacing="0" w:after="0" w:afterAutospacing="0" w:line="195" w:lineRule="auto"/>
                    <w:ind w:left="930" w:right="0"/>
                    <w:jc w:val="both"/>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color w:val="auto"/>
                      <w:spacing w:val="3"/>
                      <w:sz w:val="20"/>
                      <w:szCs w:val="20"/>
                      <w:highlight w:val="none"/>
                    </w:rPr>
                    <w:t>0.0595</w:t>
                  </w:r>
                </w:p>
              </w:tc>
            </w:tr>
          </w:tbl>
          <w:p w14:paraId="1879CEB0">
            <w:pPr>
              <w:keepNext w:val="0"/>
              <w:keepLines w:val="0"/>
              <w:suppressLineNumbers w:val="0"/>
              <w:spacing w:before="5" w:beforeAutospacing="0" w:after="0" w:afterAutospacing="0" w:line="219" w:lineRule="auto"/>
              <w:ind w:left="2763" w:right="0"/>
              <w:jc w:val="both"/>
              <w:rPr>
                <w:rFonts w:hint="default" w:ascii="Times New Roman" w:hAnsi="Times New Roman" w:cs="Times New Roman"/>
                <w:b/>
                <w:bCs/>
                <w:color w:val="auto"/>
                <w:spacing w:val="-5"/>
                <w:sz w:val="24"/>
                <w:szCs w:val="24"/>
                <w:highlight w:val="none"/>
                <w:lang w:eastAsia="zh-CN"/>
              </w:rPr>
            </w:pPr>
          </w:p>
          <w:p w14:paraId="63005910">
            <w:pPr>
              <w:keepNext w:val="0"/>
              <w:keepLines w:val="0"/>
              <w:suppressLineNumbers w:val="0"/>
              <w:spacing w:before="5" w:beforeAutospacing="0" w:after="0" w:afterAutospacing="0" w:line="219" w:lineRule="auto"/>
              <w:ind w:left="2763" w:right="0"/>
              <w:jc w:val="both"/>
              <w:rPr>
                <w:rFonts w:hint="default" w:ascii="Times New Roman" w:hAnsi="Times New Roman" w:eastAsia="宋体" w:cs="Times New Roman"/>
                <w:b/>
                <w:bCs/>
                <w:color w:val="auto"/>
                <w:spacing w:val="-5"/>
                <w:sz w:val="24"/>
                <w:szCs w:val="24"/>
                <w:highlight w:val="none"/>
                <w:lang w:val="en-US" w:eastAsia="zh-CN"/>
              </w:rPr>
            </w:pPr>
            <w:r>
              <w:rPr>
                <w:rFonts w:hint="default" w:ascii="Times New Roman" w:hAnsi="Times New Roman" w:cs="Times New Roman"/>
                <w:b/>
                <w:bCs/>
                <w:color w:val="auto"/>
                <w:spacing w:val="-5"/>
                <w:sz w:val="24"/>
                <w:szCs w:val="24"/>
                <w:highlight w:val="none"/>
                <w:lang w:eastAsia="zh-CN"/>
              </w:rPr>
              <w:t>表</w:t>
            </w:r>
            <w:r>
              <w:rPr>
                <w:rFonts w:hint="default" w:ascii="Times New Roman" w:hAnsi="Times New Roman" w:eastAsia="Times New Roman" w:cs="Times New Roman"/>
                <w:b/>
                <w:bCs/>
                <w:color w:val="auto"/>
                <w:spacing w:val="-5"/>
                <w:sz w:val="24"/>
                <w:szCs w:val="24"/>
                <w:highlight w:val="none"/>
              </w:rPr>
              <w:t>9-</w:t>
            </w:r>
            <w:r>
              <w:rPr>
                <w:rFonts w:hint="eastAsia" w:eastAsia="宋体" w:cs="Times New Roman"/>
                <w:b/>
                <w:bCs/>
                <w:color w:val="auto"/>
                <w:spacing w:val="-5"/>
                <w:sz w:val="24"/>
                <w:szCs w:val="24"/>
                <w:highlight w:val="none"/>
                <w:lang w:val="en-US" w:eastAsia="zh-CN"/>
              </w:rPr>
              <w:t>1</w:t>
            </w:r>
            <w:r>
              <w:rPr>
                <w:rFonts w:hint="eastAsia" w:cs="Times New Roman"/>
                <w:b/>
                <w:bCs/>
                <w:color w:val="auto"/>
                <w:spacing w:val="-5"/>
                <w:sz w:val="24"/>
                <w:szCs w:val="24"/>
                <w:highlight w:val="none"/>
                <w:lang w:val="en-US" w:eastAsia="zh-CN"/>
              </w:rPr>
              <w:t>3</w:t>
            </w:r>
            <w:r>
              <w:rPr>
                <w:rFonts w:hint="default" w:ascii="Times New Roman" w:hAnsi="Times New Roman" w:eastAsia="Times New Roman" w:cs="Times New Roman"/>
                <w:b/>
                <w:bCs/>
                <w:color w:val="auto"/>
                <w:spacing w:val="20"/>
                <w:sz w:val="24"/>
                <w:szCs w:val="24"/>
                <w:highlight w:val="none"/>
              </w:rPr>
              <w:t xml:space="preserve">  </w:t>
            </w:r>
            <w:r>
              <w:rPr>
                <w:rFonts w:hint="default" w:ascii="Times New Roman" w:hAnsi="Times New Roman" w:eastAsia="宋体" w:cs="Times New Roman"/>
                <w:b/>
                <w:bCs/>
                <w:color w:val="auto"/>
                <w:spacing w:val="-5"/>
                <w:sz w:val="24"/>
                <w:szCs w:val="24"/>
                <w:highlight w:val="none"/>
              </w:rPr>
              <w:t>甲癌治疗用核素</w:t>
            </w:r>
            <w:r>
              <w:rPr>
                <w:rFonts w:hint="eastAsia" w:ascii="Times New Roman" w:hAnsi="Times New Roman" w:eastAsia="宋体" w:cs="Times New Roman"/>
                <w:b/>
                <w:bCs/>
                <w:color w:val="auto"/>
                <w:spacing w:val="-5"/>
                <w:sz w:val="24"/>
                <w:szCs w:val="24"/>
                <w:highlight w:val="none"/>
                <w:lang w:val="en-US" w:eastAsia="zh-CN"/>
              </w:rPr>
              <w:t>使用情况</w:t>
            </w:r>
          </w:p>
          <w:tbl>
            <w:tblPr>
              <w:tblStyle w:val="30"/>
              <w:tblW w:w="906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75"/>
              <w:gridCol w:w="1314"/>
              <w:gridCol w:w="1969"/>
              <w:gridCol w:w="1300"/>
              <w:gridCol w:w="1078"/>
              <w:gridCol w:w="1263"/>
              <w:gridCol w:w="1169"/>
            </w:tblGrid>
            <w:tr w14:paraId="01E61B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975" w:type="dxa"/>
                  <w:tcBorders>
                    <w:tl2br w:val="nil"/>
                    <w:tr2bl w:val="nil"/>
                  </w:tcBorders>
                  <w:vAlign w:val="center"/>
                </w:tcPr>
                <w:p w14:paraId="01C2F048">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工作场所</w:t>
                  </w:r>
                </w:p>
              </w:tc>
              <w:tc>
                <w:tcPr>
                  <w:tcW w:w="1314" w:type="dxa"/>
                  <w:tcBorders>
                    <w:tl2br w:val="nil"/>
                    <w:tr2bl w:val="nil"/>
                  </w:tcBorders>
                  <w:vAlign w:val="center"/>
                </w:tcPr>
                <w:p w14:paraId="0F8077EA">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核素</w:t>
                  </w:r>
                </w:p>
              </w:tc>
              <w:tc>
                <w:tcPr>
                  <w:tcW w:w="1969" w:type="dxa"/>
                  <w:tcBorders>
                    <w:tl2br w:val="nil"/>
                    <w:tr2bl w:val="nil"/>
                  </w:tcBorders>
                  <w:vAlign w:val="center"/>
                </w:tcPr>
                <w:p w14:paraId="57E12513">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单人最大用药量</w:t>
                  </w:r>
                </w:p>
                <w:p w14:paraId="6134584B">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（Bq/人·次）</w:t>
                  </w:r>
                </w:p>
              </w:tc>
              <w:tc>
                <w:tcPr>
                  <w:tcW w:w="1300" w:type="dxa"/>
                  <w:tcBorders>
                    <w:tl2br w:val="nil"/>
                    <w:tr2bl w:val="nil"/>
                  </w:tcBorders>
                  <w:vAlign w:val="center"/>
                </w:tcPr>
                <w:p w14:paraId="6F400428">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日最大门诊量（人次）</w:t>
                  </w:r>
                </w:p>
              </w:tc>
              <w:tc>
                <w:tcPr>
                  <w:tcW w:w="1078" w:type="dxa"/>
                  <w:tcBorders>
                    <w:tl2br w:val="nil"/>
                    <w:tr2bl w:val="nil"/>
                  </w:tcBorders>
                  <w:vAlign w:val="center"/>
                </w:tcPr>
                <w:p w14:paraId="28F1370E">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年工作时间（天）</w:t>
                  </w:r>
                </w:p>
              </w:tc>
              <w:tc>
                <w:tcPr>
                  <w:tcW w:w="1263" w:type="dxa"/>
                  <w:tcBorders>
                    <w:tl2br w:val="nil"/>
                    <w:tr2bl w:val="nil"/>
                  </w:tcBorders>
                  <w:vAlign w:val="center"/>
                </w:tcPr>
                <w:p w14:paraId="33D24A60">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日最大操作量</w:t>
                  </w:r>
                </w:p>
                <w:p w14:paraId="12CE887E">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（Bq）</w:t>
                  </w:r>
                </w:p>
              </w:tc>
              <w:tc>
                <w:tcPr>
                  <w:tcW w:w="1169" w:type="dxa"/>
                  <w:tcBorders>
                    <w:tl2br w:val="nil"/>
                    <w:tr2bl w:val="nil"/>
                  </w:tcBorders>
                  <w:vAlign w:val="center"/>
                </w:tcPr>
                <w:p w14:paraId="070DB0B1">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年最大使用量（Bq）</w:t>
                  </w:r>
                </w:p>
              </w:tc>
            </w:tr>
            <w:tr w14:paraId="41DEF0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975" w:type="dxa"/>
                  <w:tcBorders>
                    <w:tl2br w:val="nil"/>
                    <w:tr2bl w:val="nil"/>
                  </w:tcBorders>
                  <w:vAlign w:val="center"/>
                </w:tcPr>
                <w:p w14:paraId="7A6EA889">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核素治疗区</w:t>
                  </w:r>
                </w:p>
              </w:tc>
              <w:tc>
                <w:tcPr>
                  <w:tcW w:w="1314" w:type="dxa"/>
                  <w:tcBorders>
                    <w:tl2br w:val="nil"/>
                    <w:tr2bl w:val="nil"/>
                  </w:tcBorders>
                  <w:vAlign w:val="center"/>
                </w:tcPr>
                <w:p w14:paraId="10B3B388">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I-131</w:t>
                  </w:r>
                </w:p>
              </w:tc>
              <w:tc>
                <w:tcPr>
                  <w:tcW w:w="1969" w:type="dxa"/>
                  <w:tcBorders>
                    <w:tl2br w:val="nil"/>
                    <w:tr2bl w:val="nil"/>
                  </w:tcBorders>
                  <w:vAlign w:val="center"/>
                </w:tcPr>
                <w:p w14:paraId="0A291C4E">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bidi="ar-SA"/>
                    </w:rPr>
                  </w:pPr>
                  <w:r>
                    <w:rPr>
                      <w:rFonts w:hint="default" w:ascii="Times New Roman" w:hAnsi="Times New Roman" w:eastAsia="宋体" w:cs="Times New Roman"/>
                      <w:color w:val="auto"/>
                      <w:kern w:val="0"/>
                      <w:sz w:val="18"/>
                      <w:szCs w:val="20"/>
                      <w:highlight w:val="none"/>
                      <w:lang w:val="en-US" w:eastAsia="en-US" w:bidi="ar-SA"/>
                    </w:rPr>
                    <w:t>5.50E+0</w:t>
                  </w:r>
                  <w:r>
                    <w:rPr>
                      <w:rFonts w:hint="eastAsia" w:ascii="Times New Roman" w:hAnsi="Times New Roman" w:eastAsia="宋体" w:cs="Times New Roman"/>
                      <w:color w:val="auto"/>
                      <w:kern w:val="0"/>
                      <w:sz w:val="18"/>
                      <w:szCs w:val="20"/>
                      <w:highlight w:val="none"/>
                      <w:lang w:val="en-US" w:eastAsia="zh-CN" w:bidi="ar-SA"/>
                    </w:rPr>
                    <w:t>9</w:t>
                  </w:r>
                  <w:r>
                    <w:rPr>
                      <w:rFonts w:hint="default" w:ascii="Times New Roman" w:hAnsi="Times New Roman" w:eastAsia="宋体" w:cs="Times New Roman"/>
                      <w:color w:val="auto"/>
                      <w:kern w:val="0"/>
                      <w:sz w:val="18"/>
                      <w:szCs w:val="20"/>
                      <w:highlight w:val="none"/>
                      <w:lang w:val="en-US" w:eastAsia="en-US" w:bidi="ar-SA"/>
                    </w:rPr>
                    <w:t xml:space="preserve"> Bq（</w:t>
                  </w:r>
                  <w:r>
                    <w:rPr>
                      <w:rFonts w:hint="eastAsia" w:ascii="Times New Roman" w:hAnsi="Times New Roman" w:eastAsia="宋体" w:cs="Times New Roman"/>
                      <w:color w:val="auto"/>
                      <w:kern w:val="0"/>
                      <w:sz w:val="18"/>
                      <w:szCs w:val="20"/>
                      <w:highlight w:val="none"/>
                      <w:lang w:val="en-US" w:eastAsia="zh-CN" w:bidi="ar-SA"/>
                    </w:rPr>
                    <w:t>150</w:t>
                  </w:r>
                  <w:r>
                    <w:rPr>
                      <w:rFonts w:hint="default" w:ascii="Times New Roman" w:hAnsi="Times New Roman" w:eastAsia="宋体" w:cs="Times New Roman"/>
                      <w:color w:val="auto"/>
                      <w:kern w:val="0"/>
                      <w:sz w:val="18"/>
                      <w:szCs w:val="20"/>
                      <w:highlight w:val="none"/>
                      <w:lang w:val="en-US" w:eastAsia="en-US" w:bidi="ar-SA"/>
                    </w:rPr>
                    <w:t>mCi）</w:t>
                  </w:r>
                </w:p>
              </w:tc>
              <w:tc>
                <w:tcPr>
                  <w:tcW w:w="1300" w:type="dxa"/>
                  <w:tcBorders>
                    <w:tl2br w:val="nil"/>
                    <w:tr2bl w:val="nil"/>
                  </w:tcBorders>
                  <w:vAlign w:val="center"/>
                </w:tcPr>
                <w:p w14:paraId="5C88F3FB">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zh-CN" w:bidi="ar-SA"/>
                    </w:rPr>
                  </w:pPr>
                  <w:r>
                    <w:rPr>
                      <w:rFonts w:hint="eastAsia" w:ascii="Times New Roman" w:hAnsi="Times New Roman" w:eastAsia="宋体" w:cs="Times New Roman"/>
                      <w:color w:val="auto"/>
                      <w:kern w:val="0"/>
                      <w:sz w:val="18"/>
                      <w:szCs w:val="20"/>
                      <w:highlight w:val="none"/>
                      <w:lang w:val="en-US" w:eastAsia="zh-CN" w:bidi="ar-SA"/>
                    </w:rPr>
                    <w:t>17</w:t>
                  </w:r>
                </w:p>
              </w:tc>
              <w:tc>
                <w:tcPr>
                  <w:tcW w:w="1078" w:type="dxa"/>
                  <w:tcBorders>
                    <w:tl2br w:val="nil"/>
                    <w:tr2bl w:val="nil"/>
                  </w:tcBorders>
                  <w:vAlign w:val="center"/>
                </w:tcPr>
                <w:p w14:paraId="12574A59">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zh-CN" w:bidi="ar-SA"/>
                    </w:rPr>
                  </w:pPr>
                  <w:r>
                    <w:rPr>
                      <w:rFonts w:hint="eastAsia" w:ascii="Times New Roman" w:hAnsi="Times New Roman" w:eastAsia="宋体" w:cs="Times New Roman"/>
                      <w:color w:val="auto"/>
                      <w:kern w:val="0"/>
                      <w:sz w:val="18"/>
                      <w:szCs w:val="20"/>
                      <w:highlight w:val="none"/>
                      <w:lang w:val="en-US" w:eastAsia="zh-CN" w:bidi="ar-SA"/>
                    </w:rPr>
                    <w:t>250</w:t>
                  </w:r>
                </w:p>
              </w:tc>
              <w:tc>
                <w:tcPr>
                  <w:tcW w:w="1263" w:type="dxa"/>
                  <w:tcBorders>
                    <w:tl2br w:val="nil"/>
                    <w:tr2bl w:val="nil"/>
                  </w:tcBorders>
                  <w:shd w:val="clear" w:color="auto" w:fill="auto"/>
                  <w:vAlign w:val="center"/>
                </w:tcPr>
                <w:p w14:paraId="54BEE640">
                  <w:pPr>
                    <w:keepNext w:val="0"/>
                    <w:keepLines w:val="0"/>
                    <w:widowControl/>
                    <w:suppressLineNumbers w:val="0"/>
                    <w:spacing w:before="0" w:beforeAutospacing="0" w:after="0" w:afterAutospacing="0"/>
                    <w:ind w:left="0" w:right="0" w:firstLine="360" w:firstLineChars="200"/>
                    <w:jc w:val="center"/>
                    <w:textAlignment w:val="center"/>
                    <w:rPr>
                      <w:rFonts w:hint="default" w:ascii="Times New Roman" w:hAnsi="Times New Roman" w:eastAsia="宋体" w:cs="Times New Roman"/>
                      <w:i w:val="0"/>
                      <w:iCs w:val="0"/>
                      <w:color w:val="auto"/>
                      <w:kern w:val="2"/>
                      <w:sz w:val="18"/>
                      <w:szCs w:val="18"/>
                      <w:highlight w:val="none"/>
                      <w:u w:val="none"/>
                      <w:lang w:val="en-US" w:eastAsia="en-US" w:bidi="ar-SA"/>
                    </w:rPr>
                  </w:pPr>
                  <w:r>
                    <w:rPr>
                      <w:rFonts w:hint="default" w:ascii="Times New Roman" w:hAnsi="Times New Roman" w:eastAsia="宋体" w:cs="Times New Roman"/>
                      <w:i w:val="0"/>
                      <w:iCs w:val="0"/>
                      <w:color w:val="auto"/>
                      <w:kern w:val="0"/>
                      <w:sz w:val="18"/>
                      <w:szCs w:val="18"/>
                      <w:highlight w:val="none"/>
                      <w:u w:val="none"/>
                      <w:lang w:val="en-US" w:eastAsia="zh-CN" w:bidi="ar"/>
                    </w:rPr>
                    <w:t>9.35E+10</w:t>
                  </w:r>
                </w:p>
              </w:tc>
              <w:tc>
                <w:tcPr>
                  <w:tcW w:w="1169" w:type="dxa"/>
                  <w:tcBorders>
                    <w:tl2br w:val="nil"/>
                    <w:tr2bl w:val="nil"/>
                  </w:tcBorders>
                  <w:shd w:val="clear" w:color="auto" w:fill="auto"/>
                  <w:vAlign w:val="center"/>
                </w:tcPr>
                <w:p w14:paraId="7C068122">
                  <w:pPr>
                    <w:keepNext w:val="0"/>
                    <w:keepLines w:val="0"/>
                    <w:widowControl/>
                    <w:suppressLineNumbers w:val="0"/>
                    <w:spacing w:before="0" w:beforeAutospacing="0" w:after="0" w:afterAutospacing="0"/>
                    <w:ind w:left="0" w:right="0" w:firstLine="360" w:firstLineChars="200"/>
                    <w:jc w:val="center"/>
                    <w:textAlignment w:val="center"/>
                    <w:rPr>
                      <w:rFonts w:hint="default" w:ascii="Times New Roman" w:hAnsi="Times New Roman" w:eastAsia="宋体" w:cs="Times New Roman"/>
                      <w:i w:val="0"/>
                      <w:iCs w:val="0"/>
                      <w:color w:val="auto"/>
                      <w:kern w:val="2"/>
                      <w:sz w:val="18"/>
                      <w:szCs w:val="18"/>
                      <w:highlight w:val="none"/>
                      <w:u w:val="none"/>
                      <w:lang w:val="en-US" w:eastAsia="en-US" w:bidi="ar-SA"/>
                    </w:rPr>
                  </w:pPr>
                  <w:r>
                    <w:rPr>
                      <w:rFonts w:hint="default" w:ascii="Times New Roman" w:hAnsi="Times New Roman" w:eastAsia="宋体" w:cs="Times New Roman"/>
                      <w:i w:val="0"/>
                      <w:iCs w:val="0"/>
                      <w:color w:val="auto"/>
                      <w:kern w:val="0"/>
                      <w:sz w:val="18"/>
                      <w:szCs w:val="18"/>
                      <w:highlight w:val="none"/>
                      <w:u w:val="none"/>
                      <w:lang w:val="en-US" w:eastAsia="zh-CN" w:bidi="ar"/>
                    </w:rPr>
                    <w:t>2.34E+13</w:t>
                  </w:r>
                </w:p>
              </w:tc>
            </w:tr>
          </w:tbl>
          <w:p w14:paraId="010F92DA">
            <w:pPr>
              <w:keepNext w:val="0"/>
              <w:keepLines w:val="0"/>
              <w:suppressLineNumbers w:val="0"/>
              <w:spacing w:before="5" w:beforeAutospacing="0" w:after="0" w:afterAutospacing="0" w:line="219" w:lineRule="auto"/>
              <w:ind w:left="2763" w:right="0"/>
              <w:jc w:val="both"/>
              <w:rPr>
                <w:rFonts w:hint="default" w:ascii="Times New Roman" w:hAnsi="Times New Roman" w:cs="Times New Roman"/>
                <w:b/>
                <w:bCs/>
                <w:color w:val="auto"/>
                <w:spacing w:val="-5"/>
                <w:sz w:val="24"/>
                <w:szCs w:val="24"/>
                <w:highlight w:val="none"/>
                <w:lang w:eastAsia="zh-CN"/>
              </w:rPr>
            </w:pPr>
          </w:p>
          <w:p w14:paraId="3D202517">
            <w:pPr>
              <w:pStyle w:val="2"/>
              <w:keepNext w:val="0"/>
              <w:keepLines w:val="0"/>
              <w:suppressLineNumbers w:val="0"/>
              <w:spacing w:before="0" w:beforeAutospacing="0" w:after="0" w:afterAutospacing="0"/>
              <w:ind w:left="0" w:right="0"/>
              <w:jc w:val="both"/>
              <w:rPr>
                <w:rFonts w:hint="default"/>
                <w:lang w:eastAsia="zh-CN"/>
              </w:rPr>
            </w:pPr>
          </w:p>
          <w:p w14:paraId="4D80F195">
            <w:pPr>
              <w:keepNext w:val="0"/>
              <w:keepLines w:val="0"/>
              <w:suppressLineNumbers w:val="0"/>
              <w:spacing w:before="196" w:beforeAutospacing="0" w:after="0" w:afterAutospacing="0" w:line="204" w:lineRule="auto"/>
              <w:ind w:left="115" w:right="0"/>
              <w:jc w:val="both"/>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Times New Roman" w:cs="Times New Roman"/>
                <w:b/>
                <w:bCs/>
                <w:color w:val="auto"/>
                <w:spacing w:val="-1"/>
                <w:sz w:val="24"/>
                <w:szCs w:val="24"/>
                <w:highlight w:val="none"/>
                <w:lang w:val="en-US" w:eastAsia="zh-CN"/>
              </w:rPr>
              <w:t>9.1.3.2</w:t>
            </w:r>
            <w:r>
              <w:rPr>
                <w:rFonts w:hint="default" w:ascii="Times New Roman" w:hAnsi="Times New Roman" w:eastAsia="Times New Roman" w:cs="Times New Roman"/>
                <w:b/>
                <w:bCs/>
                <w:color w:val="auto"/>
                <w:spacing w:val="-1"/>
                <w:sz w:val="24"/>
                <w:szCs w:val="24"/>
                <w:highlight w:val="none"/>
              </w:rPr>
              <w:t xml:space="preserve"> </w:t>
            </w:r>
            <w:r>
              <w:rPr>
                <w:rFonts w:hint="eastAsia" w:ascii="Times New Roman" w:hAnsi="Times New Roman" w:eastAsia="宋体" w:cs="Times New Roman"/>
                <w:b/>
                <w:bCs/>
                <w:color w:val="auto"/>
                <w:spacing w:val="-2"/>
                <w:sz w:val="24"/>
                <w:szCs w:val="24"/>
                <w:highlight w:val="none"/>
                <w:lang w:eastAsia="zh-CN"/>
              </w:rPr>
              <w:t>Lu-177</w:t>
            </w:r>
            <w:r>
              <w:rPr>
                <w:rFonts w:hint="default" w:ascii="Times New Roman" w:hAnsi="Times New Roman" w:eastAsia="宋体" w:cs="Times New Roman"/>
                <w:b/>
                <w:bCs/>
                <w:color w:val="auto"/>
                <w:spacing w:val="-2"/>
                <w:sz w:val="24"/>
                <w:szCs w:val="24"/>
                <w:highlight w:val="none"/>
              </w:rPr>
              <w:t xml:space="preserve"> 核素治疗项目</w:t>
            </w:r>
            <w:r>
              <w:rPr>
                <w:rFonts w:hint="eastAsia" w:cs="Times New Roman"/>
                <w:b/>
                <w:bCs/>
                <w:color w:val="auto"/>
                <w:spacing w:val="-1"/>
                <w:sz w:val="24"/>
                <w:szCs w:val="24"/>
                <w:highlight w:val="none"/>
                <w:lang w:val="en-US" w:eastAsia="zh-CN"/>
              </w:rPr>
              <w:t xml:space="preserve"> </w:t>
            </w:r>
          </w:p>
          <w:p w14:paraId="20E56845">
            <w:pPr>
              <w:keepNext w:val="0"/>
              <w:keepLines w:val="0"/>
              <w:suppressLineNumbers w:val="0"/>
              <w:spacing w:before="214" w:beforeAutospacing="0" w:after="0" w:afterAutospacing="0" w:line="219" w:lineRule="auto"/>
              <w:ind w:left="128"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2"/>
                <w:sz w:val="24"/>
                <w:szCs w:val="24"/>
                <w:highlight w:val="none"/>
              </w:rPr>
              <w:t>（</w:t>
            </w:r>
            <w:r>
              <w:rPr>
                <w:rFonts w:hint="default" w:ascii="Times New Roman" w:hAnsi="Times New Roman" w:eastAsia="Times New Roman" w:cs="Times New Roman"/>
                <w:b/>
                <w:bCs/>
                <w:color w:val="auto"/>
                <w:spacing w:val="-2"/>
                <w:sz w:val="24"/>
                <w:szCs w:val="24"/>
                <w:highlight w:val="none"/>
              </w:rPr>
              <w:t>1</w:t>
            </w:r>
            <w:r>
              <w:rPr>
                <w:rFonts w:hint="default" w:ascii="Times New Roman" w:hAnsi="Times New Roman" w:eastAsia="宋体" w:cs="Times New Roman"/>
                <w:b/>
                <w:bCs/>
                <w:color w:val="auto"/>
                <w:spacing w:val="-2"/>
                <w:sz w:val="24"/>
                <w:szCs w:val="24"/>
                <w:highlight w:val="none"/>
              </w:rPr>
              <w:t>）</w:t>
            </w:r>
            <w:r>
              <w:rPr>
                <w:rFonts w:hint="eastAsia" w:ascii="Times New Roman" w:hAnsi="Times New Roman" w:eastAsia="宋体" w:cs="Times New Roman"/>
                <w:b/>
                <w:bCs/>
                <w:color w:val="auto"/>
                <w:spacing w:val="-2"/>
                <w:sz w:val="24"/>
                <w:szCs w:val="24"/>
                <w:highlight w:val="none"/>
                <w:lang w:eastAsia="zh-CN"/>
              </w:rPr>
              <w:t>Lu-177</w:t>
            </w:r>
            <w:r>
              <w:rPr>
                <w:rFonts w:hint="default" w:ascii="Times New Roman" w:hAnsi="Times New Roman" w:eastAsia="宋体" w:cs="Times New Roman"/>
                <w:b/>
                <w:bCs/>
                <w:color w:val="auto"/>
                <w:spacing w:val="-2"/>
                <w:sz w:val="24"/>
                <w:szCs w:val="24"/>
                <w:highlight w:val="none"/>
                <w:lang w:eastAsia="zh-CN"/>
              </w:rPr>
              <w:t xml:space="preserve"> 核素治疗原理</w:t>
            </w:r>
          </w:p>
          <w:p w14:paraId="497A20B4">
            <w:pPr>
              <w:keepNext w:val="0"/>
              <w:keepLines w:val="0"/>
              <w:suppressLineNumbers w:val="0"/>
              <w:spacing w:before="213" w:beforeAutospacing="0" w:after="0" w:afterAutospacing="0" w:line="385" w:lineRule="auto"/>
              <w:ind w:left="117" w:right="106" w:firstLine="488"/>
              <w:jc w:val="both"/>
              <w:rPr>
                <w:rFonts w:hint="default" w:ascii="Times New Roman" w:hAnsi="Times New Roman" w:eastAsia="宋体" w:cs="Times New Roman"/>
                <w:color w:val="auto"/>
                <w:sz w:val="24"/>
                <w:szCs w:val="24"/>
                <w:highlight w:val="none"/>
              </w:rPr>
            </w:pPr>
            <w:r>
              <w:rPr>
                <w:rFonts w:hint="eastAsia" w:eastAsia="宋体" w:cs="Times New Roman"/>
                <w:color w:val="auto"/>
                <w:spacing w:val="3"/>
                <w:position w:val="7"/>
                <w:sz w:val="15"/>
                <w:szCs w:val="15"/>
                <w:highlight w:val="none"/>
                <w:vertAlign w:val="baseline"/>
                <w:lang w:eastAsia="zh-CN"/>
              </w:rPr>
              <w:t>Lu-177</w:t>
            </w:r>
            <w:r>
              <w:rPr>
                <w:rFonts w:hint="default" w:ascii="Times New Roman" w:hAnsi="Times New Roman" w:eastAsia="宋体" w:cs="Times New Roman"/>
                <w:color w:val="auto"/>
                <w:spacing w:val="3"/>
                <w:sz w:val="24"/>
                <w:szCs w:val="24"/>
                <w:highlight w:val="none"/>
              </w:rPr>
              <w:t>结合各种靶向分子实现多种全身转移的恶性肿瘤疾病的治疗是目前医学界公</w:t>
            </w:r>
            <w:r>
              <w:rPr>
                <w:rFonts w:hint="default" w:ascii="Times New Roman" w:hAnsi="Times New Roman" w:eastAsia="宋体" w:cs="Times New Roman"/>
                <w:color w:val="auto"/>
                <w:spacing w:val="-2"/>
                <w:sz w:val="24"/>
                <w:szCs w:val="24"/>
                <w:highlight w:val="none"/>
              </w:rPr>
              <w:t>认具有革命性前景的方案。国外近期获批的针对神经内分</w:t>
            </w:r>
            <w:r>
              <w:rPr>
                <w:rFonts w:hint="default" w:ascii="Times New Roman" w:hAnsi="Times New Roman" w:eastAsia="宋体" w:cs="Times New Roman"/>
                <w:color w:val="auto"/>
                <w:spacing w:val="-3"/>
                <w:sz w:val="24"/>
                <w:szCs w:val="24"/>
                <w:highlight w:val="none"/>
              </w:rPr>
              <w:t>泌瘤的</w:t>
            </w:r>
            <w:r>
              <w:rPr>
                <w:rFonts w:hint="eastAsia" w:eastAsia="宋体" w:cs="Times New Roman"/>
                <w:color w:val="auto"/>
                <w:spacing w:val="-3"/>
                <w:position w:val="7"/>
                <w:sz w:val="15"/>
                <w:szCs w:val="15"/>
                <w:highlight w:val="none"/>
                <w:vertAlign w:val="baseline"/>
                <w:lang w:eastAsia="zh-CN"/>
              </w:rPr>
              <w:t>Lu-177</w:t>
            </w:r>
            <w:r>
              <w:rPr>
                <w:rFonts w:hint="default" w:ascii="Times New Roman" w:hAnsi="Times New Roman" w:eastAsia="Times New Roman" w:cs="Times New Roman"/>
                <w:color w:val="auto"/>
                <w:spacing w:val="-3"/>
                <w:sz w:val="24"/>
                <w:szCs w:val="24"/>
                <w:highlight w:val="none"/>
              </w:rPr>
              <w:t>-DOTATATE</w:t>
            </w:r>
            <w:r>
              <w:rPr>
                <w:rFonts w:hint="default" w:ascii="Times New Roman" w:hAnsi="Times New Roman" w:eastAsia="宋体" w:cs="Times New Roman"/>
                <w:color w:val="auto"/>
                <w:spacing w:val="-3"/>
                <w:sz w:val="24"/>
                <w:szCs w:val="24"/>
                <w:highlight w:val="none"/>
              </w:rPr>
              <w:t>（商</w:t>
            </w:r>
            <w:r>
              <w:rPr>
                <w:rFonts w:hint="default" w:ascii="Times New Roman" w:hAnsi="Times New Roman" w:eastAsia="宋体" w:cs="Times New Roman"/>
                <w:color w:val="auto"/>
                <w:spacing w:val="1"/>
                <w:sz w:val="24"/>
                <w:szCs w:val="24"/>
                <w:highlight w:val="none"/>
              </w:rPr>
              <w:t>品名</w:t>
            </w:r>
            <w:r>
              <w:rPr>
                <w:rFonts w:hint="default" w:ascii="Times New Roman" w:hAnsi="Times New Roman" w:eastAsia="Times New Roman" w:cs="Times New Roman"/>
                <w:color w:val="auto"/>
                <w:sz w:val="24"/>
                <w:szCs w:val="24"/>
                <w:highlight w:val="none"/>
              </w:rPr>
              <w:t>LUTATHERA</w:t>
            </w:r>
            <w:r>
              <w:rPr>
                <w:rFonts w:hint="default" w:ascii="Times New Roman" w:hAnsi="Times New Roman" w:eastAsia="Times New Roman" w:cs="Times New Roman"/>
                <w:color w:val="auto"/>
                <w:spacing w:val="1"/>
                <w:sz w:val="24"/>
                <w:szCs w:val="24"/>
                <w:highlight w:val="none"/>
              </w:rPr>
              <w:t>®</w:t>
            </w:r>
            <w:r>
              <w:rPr>
                <w:rFonts w:hint="default" w:ascii="Times New Roman" w:hAnsi="Times New Roman" w:eastAsia="宋体" w:cs="Times New Roman"/>
                <w:color w:val="auto"/>
                <w:spacing w:val="1"/>
                <w:sz w:val="24"/>
                <w:szCs w:val="24"/>
                <w:highlight w:val="none"/>
              </w:rPr>
              <w:t>)和即将获批的针对前列腺癌的</w:t>
            </w:r>
            <w:r>
              <w:rPr>
                <w:rFonts w:hint="eastAsia" w:eastAsia="宋体" w:cs="Times New Roman"/>
                <w:color w:val="auto"/>
                <w:spacing w:val="1"/>
                <w:position w:val="8"/>
                <w:sz w:val="15"/>
                <w:szCs w:val="15"/>
                <w:highlight w:val="none"/>
                <w:vertAlign w:val="baseline"/>
                <w:lang w:eastAsia="zh-CN"/>
              </w:rPr>
              <w:t>Lu-177</w:t>
            </w:r>
            <w:r>
              <w:rPr>
                <w:rFonts w:hint="default" w:ascii="Times New Roman" w:hAnsi="Times New Roman" w:eastAsia="Times New Roman" w:cs="Times New Roman"/>
                <w:color w:val="auto"/>
                <w:spacing w:val="1"/>
                <w:sz w:val="24"/>
                <w:szCs w:val="24"/>
                <w:highlight w:val="none"/>
              </w:rPr>
              <w:t>-</w:t>
            </w:r>
            <w:r>
              <w:rPr>
                <w:rFonts w:hint="default" w:ascii="Times New Roman" w:hAnsi="Times New Roman" w:eastAsia="Times New Roman" w:cs="Times New Roman"/>
                <w:color w:val="auto"/>
                <w:sz w:val="24"/>
                <w:szCs w:val="24"/>
                <w:highlight w:val="none"/>
              </w:rPr>
              <w:t>PMSA</w:t>
            </w:r>
            <w:r>
              <w:rPr>
                <w:rFonts w:hint="default" w:ascii="Times New Roman" w:hAnsi="Times New Roman" w:eastAsia="Times New Roman" w:cs="Times New Roman"/>
                <w:color w:val="auto"/>
                <w:spacing w:val="1"/>
                <w:sz w:val="24"/>
                <w:szCs w:val="24"/>
                <w:highlight w:val="none"/>
              </w:rPr>
              <w:t>-617</w:t>
            </w:r>
            <w:r>
              <w:rPr>
                <w:rFonts w:hint="default" w:ascii="Times New Roman" w:hAnsi="Times New Roman" w:eastAsia="宋体" w:cs="Times New Roman"/>
                <w:color w:val="auto"/>
                <w:spacing w:val="1"/>
                <w:sz w:val="24"/>
                <w:szCs w:val="24"/>
                <w:highlight w:val="none"/>
              </w:rPr>
              <w:t>在临床中均</w:t>
            </w:r>
            <w:r>
              <w:rPr>
                <w:rFonts w:hint="default" w:ascii="Times New Roman" w:hAnsi="Times New Roman" w:eastAsia="宋体" w:cs="Times New Roman"/>
                <w:color w:val="auto"/>
                <w:sz w:val="24"/>
                <w:szCs w:val="24"/>
                <w:highlight w:val="none"/>
              </w:rPr>
              <w:t>已表</w:t>
            </w:r>
            <w:r>
              <w:rPr>
                <w:rFonts w:hint="default" w:ascii="Times New Roman" w:hAnsi="Times New Roman" w:eastAsia="宋体" w:cs="Times New Roman"/>
                <w:color w:val="auto"/>
                <w:spacing w:val="-1"/>
                <w:sz w:val="24"/>
                <w:szCs w:val="24"/>
                <w:highlight w:val="none"/>
              </w:rPr>
              <w:t>现出优异的癌症治疗效果。</w:t>
            </w:r>
          </w:p>
          <w:p w14:paraId="7F57BD17">
            <w:pPr>
              <w:keepNext w:val="0"/>
              <w:keepLines w:val="0"/>
              <w:suppressLineNumbers w:val="0"/>
              <w:spacing w:before="2" w:beforeAutospacing="0" w:after="0" w:afterAutospacing="0" w:line="383" w:lineRule="auto"/>
              <w:ind w:left="116" w:right="45" w:firstLine="489"/>
              <w:jc w:val="both"/>
              <w:rPr>
                <w:rFonts w:hint="default" w:ascii="Times New Roman" w:hAnsi="Times New Roman" w:eastAsia="宋体" w:cs="Times New Roman"/>
                <w:color w:val="auto"/>
                <w:sz w:val="24"/>
                <w:szCs w:val="24"/>
                <w:highlight w:val="none"/>
              </w:rPr>
            </w:pPr>
            <w:r>
              <w:rPr>
                <w:rFonts w:hint="eastAsia" w:eastAsia="宋体" w:cs="Times New Roman"/>
                <w:color w:val="auto"/>
                <w:spacing w:val="2"/>
                <w:position w:val="7"/>
                <w:sz w:val="15"/>
                <w:szCs w:val="15"/>
                <w:highlight w:val="none"/>
                <w:vertAlign w:val="baseline"/>
                <w:lang w:eastAsia="zh-CN"/>
              </w:rPr>
              <w:t>Lu-177</w:t>
            </w:r>
            <w:r>
              <w:rPr>
                <w:rFonts w:hint="default" w:ascii="Times New Roman" w:hAnsi="Times New Roman" w:eastAsia="宋体" w:cs="Times New Roman"/>
                <w:color w:val="auto"/>
                <w:spacing w:val="2"/>
                <w:sz w:val="24"/>
                <w:szCs w:val="24"/>
                <w:highlight w:val="none"/>
              </w:rPr>
              <w:t>是一种治疗性核素，半衰期</w:t>
            </w:r>
            <w:r>
              <w:rPr>
                <w:rFonts w:hint="default" w:ascii="Times New Roman" w:hAnsi="Times New Roman" w:eastAsia="Times New Roman" w:cs="Times New Roman"/>
                <w:color w:val="auto"/>
                <w:spacing w:val="2"/>
                <w:sz w:val="24"/>
                <w:szCs w:val="24"/>
                <w:highlight w:val="none"/>
              </w:rPr>
              <w:t>6.7</w:t>
            </w:r>
            <w:r>
              <w:rPr>
                <w:rFonts w:hint="default" w:ascii="Times New Roman" w:hAnsi="Times New Roman" w:eastAsia="宋体" w:cs="Times New Roman"/>
                <w:color w:val="auto"/>
                <w:spacing w:val="1"/>
                <w:sz w:val="24"/>
                <w:szCs w:val="24"/>
                <w:highlight w:val="none"/>
              </w:rPr>
              <w:t>天，由于其β粒子能量相对较低，能量分别</w:t>
            </w:r>
            <w:r>
              <w:rPr>
                <w:rFonts w:hint="default" w:ascii="Times New Roman" w:hAnsi="Times New Roman" w:eastAsia="宋体" w:cs="Times New Roman"/>
                <w:color w:val="auto"/>
                <w:spacing w:val="-2"/>
                <w:sz w:val="24"/>
                <w:szCs w:val="24"/>
                <w:highlight w:val="none"/>
              </w:rPr>
              <w:t>为</w:t>
            </w:r>
            <w:r>
              <w:rPr>
                <w:rFonts w:hint="default" w:ascii="Times New Roman" w:hAnsi="Times New Roman" w:eastAsia="Times New Roman" w:cs="Times New Roman"/>
                <w:color w:val="auto"/>
                <w:spacing w:val="-2"/>
                <w:sz w:val="24"/>
                <w:szCs w:val="24"/>
                <w:highlight w:val="none"/>
              </w:rPr>
              <w:t>498keV(79.3%)</w:t>
            </w:r>
            <w:r>
              <w:rPr>
                <w:rFonts w:hint="default" w:ascii="Times New Roman" w:hAnsi="Times New Roman" w:eastAsia="宋体" w:cs="Times New Roman"/>
                <w:color w:val="auto"/>
                <w:spacing w:val="-2"/>
                <w:sz w:val="24"/>
                <w:szCs w:val="24"/>
                <w:highlight w:val="none"/>
              </w:rPr>
              <w:t>、</w:t>
            </w:r>
            <w:r>
              <w:rPr>
                <w:rFonts w:hint="default" w:ascii="Times New Roman" w:hAnsi="Times New Roman" w:eastAsia="Times New Roman" w:cs="Times New Roman"/>
                <w:color w:val="auto"/>
                <w:spacing w:val="-2"/>
                <w:sz w:val="24"/>
                <w:szCs w:val="24"/>
                <w:highlight w:val="none"/>
              </w:rPr>
              <w:t>380keV(9.1%)</w:t>
            </w:r>
            <w:r>
              <w:rPr>
                <w:rFonts w:hint="default" w:ascii="Times New Roman" w:hAnsi="Times New Roman" w:eastAsia="宋体" w:cs="Times New Roman"/>
                <w:color w:val="auto"/>
                <w:spacing w:val="-2"/>
                <w:sz w:val="24"/>
                <w:szCs w:val="24"/>
                <w:highlight w:val="none"/>
              </w:rPr>
              <w:t>和</w:t>
            </w:r>
            <w:r>
              <w:rPr>
                <w:rFonts w:hint="default" w:ascii="Times New Roman" w:hAnsi="Times New Roman" w:eastAsia="Times New Roman" w:cs="Times New Roman"/>
                <w:color w:val="auto"/>
                <w:spacing w:val="-2"/>
                <w:sz w:val="24"/>
                <w:szCs w:val="24"/>
                <w:highlight w:val="none"/>
              </w:rPr>
              <w:t>176keV(12.2%)</w:t>
            </w:r>
            <w:r>
              <w:rPr>
                <w:rFonts w:hint="default" w:ascii="Times New Roman" w:hAnsi="Times New Roman" w:eastAsia="宋体" w:cs="Times New Roman"/>
                <w:color w:val="auto"/>
                <w:spacing w:val="-2"/>
                <w:sz w:val="24"/>
                <w:szCs w:val="24"/>
                <w:highlight w:val="none"/>
              </w:rPr>
              <w:t>，在组织</w:t>
            </w:r>
            <w:r>
              <w:rPr>
                <w:rFonts w:hint="default" w:ascii="Times New Roman" w:hAnsi="Times New Roman" w:eastAsia="宋体" w:cs="Times New Roman"/>
                <w:color w:val="auto"/>
                <w:spacing w:val="-3"/>
                <w:sz w:val="24"/>
                <w:szCs w:val="24"/>
                <w:highlight w:val="none"/>
              </w:rPr>
              <w:t>中的平均射程为</w:t>
            </w:r>
            <w:r>
              <w:rPr>
                <w:rFonts w:hint="default" w:ascii="Times New Roman" w:hAnsi="Times New Roman" w:eastAsia="Times New Roman" w:cs="Times New Roman"/>
                <w:color w:val="auto"/>
                <w:spacing w:val="-3"/>
                <w:sz w:val="24"/>
                <w:szCs w:val="24"/>
                <w:highlight w:val="none"/>
              </w:rPr>
              <w:t>670μm</w:t>
            </w:r>
            <w:r>
              <w:rPr>
                <w:rFonts w:hint="default" w:ascii="Times New Roman" w:hAnsi="Times New Roman" w:eastAsia="宋体" w:cs="Times New Roman"/>
                <w:color w:val="auto"/>
                <w:spacing w:val="-3"/>
                <w:sz w:val="24"/>
                <w:szCs w:val="24"/>
                <w:highlight w:val="none"/>
              </w:rPr>
              <w:t>，</w:t>
            </w:r>
            <w:r>
              <w:rPr>
                <w:rFonts w:hint="default" w:ascii="Times New Roman" w:hAnsi="Times New Roman" w:eastAsia="宋体" w:cs="Times New Roman"/>
                <w:color w:val="auto"/>
                <w:spacing w:val="-5"/>
                <w:sz w:val="24"/>
                <w:szCs w:val="24"/>
                <w:highlight w:val="none"/>
              </w:rPr>
              <w:t>在对病灶发生辐射作用时对骨髓抑制较轻，比其他治疗核素更安全。国外临床实验</w:t>
            </w:r>
            <w:r>
              <w:rPr>
                <w:rFonts w:hint="default" w:ascii="Times New Roman" w:hAnsi="Times New Roman" w:eastAsia="宋体" w:cs="Times New Roman"/>
                <w:color w:val="auto"/>
                <w:spacing w:val="-6"/>
                <w:sz w:val="24"/>
                <w:szCs w:val="24"/>
                <w:highlight w:val="none"/>
              </w:rPr>
              <w:t>显示，</w:t>
            </w:r>
            <w:r>
              <w:rPr>
                <w:rFonts w:hint="eastAsia" w:eastAsia="宋体" w:cs="Times New Roman"/>
                <w:color w:val="auto"/>
                <w:position w:val="7"/>
                <w:sz w:val="15"/>
                <w:szCs w:val="15"/>
                <w:highlight w:val="none"/>
                <w:vertAlign w:val="baseline"/>
                <w:lang w:eastAsia="zh-CN"/>
              </w:rPr>
              <w:t>Lu-177</w:t>
            </w:r>
            <w:r>
              <w:rPr>
                <w:rFonts w:hint="default" w:ascii="Times New Roman" w:hAnsi="Times New Roman" w:eastAsia="宋体" w:cs="Times New Roman"/>
                <w:color w:val="auto"/>
                <w:sz w:val="24"/>
                <w:szCs w:val="24"/>
                <w:highlight w:val="none"/>
              </w:rPr>
              <w:t>标记的多个药物在肿瘤治疗方面有着独特的优</w:t>
            </w:r>
            <w:r>
              <w:rPr>
                <w:rFonts w:hint="default" w:ascii="Times New Roman" w:hAnsi="Times New Roman" w:eastAsia="宋体" w:cs="Times New Roman"/>
                <w:color w:val="auto"/>
                <w:spacing w:val="-1"/>
                <w:sz w:val="24"/>
                <w:szCs w:val="24"/>
                <w:highlight w:val="none"/>
              </w:rPr>
              <w:t>势。</w:t>
            </w:r>
          </w:p>
          <w:p w14:paraId="7BC7EEED">
            <w:pPr>
              <w:pStyle w:val="43"/>
              <w:keepNext w:val="0"/>
              <w:keepLines w:val="0"/>
              <w:suppressLineNumbers w:val="0"/>
              <w:spacing w:before="78" w:beforeAutospacing="0" w:after="0" w:afterAutospacing="0" w:line="220" w:lineRule="auto"/>
              <w:ind w:left="115" w:right="0" w:firstLine="472" w:firstLineChars="200"/>
              <w:jc w:val="center"/>
              <w:rPr>
                <w:rFonts w:hint="default" w:ascii="Times New Roman" w:hAnsi="Times New Roman" w:eastAsia="Times New Roman" w:cs="Times New Roman"/>
                <w:b/>
                <w:bCs/>
                <w:color w:val="auto"/>
                <w:spacing w:val="-2"/>
                <w:highlight w:val="none"/>
                <w:lang w:val="en-US"/>
              </w:rPr>
            </w:pPr>
            <w:r>
              <w:rPr>
                <w:rFonts w:hint="default" w:ascii="Times New Roman" w:hAnsi="Times New Roman" w:eastAsia="Times New Roman" w:cs="Times New Roman"/>
                <w:b/>
                <w:bCs/>
                <w:color w:val="auto"/>
                <w:spacing w:val="-2"/>
                <w:highlight w:val="none"/>
                <w:lang w:val="en-US" w:eastAsia="zh-CN"/>
              </w:rPr>
              <w:t>表9-</w:t>
            </w:r>
            <w:r>
              <w:rPr>
                <w:rFonts w:hint="eastAsia" w:ascii="Times New Roman" w:hAnsi="Times New Roman" w:eastAsia="Times New Roman" w:cs="Times New Roman"/>
                <w:b/>
                <w:bCs/>
                <w:color w:val="auto"/>
                <w:spacing w:val="-2"/>
                <w:highlight w:val="none"/>
                <w:lang w:val="en-US" w:eastAsia="zh-CN"/>
              </w:rPr>
              <w:t>14</w:t>
            </w:r>
            <w:r>
              <w:rPr>
                <w:rFonts w:hint="default" w:ascii="Times New Roman" w:hAnsi="Times New Roman" w:eastAsia="Times New Roman" w:cs="Times New Roman"/>
                <w:b/>
                <w:bCs/>
                <w:color w:val="auto"/>
                <w:spacing w:val="-2"/>
                <w:highlight w:val="none"/>
                <w:lang w:val="en-US" w:eastAsia="zh-CN"/>
              </w:rPr>
              <w:t xml:space="preserve">  核素治疗</w:t>
            </w:r>
            <w:r>
              <w:rPr>
                <w:rFonts w:hint="default" w:ascii="Times New Roman" w:hAnsi="Times New Roman" w:eastAsia="Times New Roman" w:cs="Times New Roman"/>
                <w:b/>
                <w:bCs/>
                <w:color w:val="auto"/>
                <w:spacing w:val="-2"/>
                <w:highlight w:val="none"/>
                <w:vertAlign w:val="baseline"/>
                <w:lang w:val="en-US" w:eastAsia="zh-CN"/>
              </w:rPr>
              <w:t>Lu-177</w:t>
            </w:r>
            <w:r>
              <w:rPr>
                <w:rFonts w:hint="default" w:ascii="Times New Roman" w:hAnsi="Times New Roman" w:eastAsia="Times New Roman" w:cs="Times New Roman"/>
                <w:b/>
                <w:bCs/>
                <w:color w:val="auto"/>
                <w:spacing w:val="-2"/>
                <w:highlight w:val="none"/>
                <w:lang w:val="en-US" w:eastAsia="zh-CN"/>
              </w:rPr>
              <w:t>使用情况</w:t>
            </w:r>
          </w:p>
          <w:tbl>
            <w:tblPr>
              <w:tblStyle w:val="30"/>
              <w:tblW w:w="9068" w:type="dxa"/>
              <w:tblInd w:w="5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75"/>
              <w:gridCol w:w="1314"/>
              <w:gridCol w:w="1903"/>
              <w:gridCol w:w="1366"/>
              <w:gridCol w:w="1078"/>
              <w:gridCol w:w="1263"/>
              <w:gridCol w:w="1169"/>
            </w:tblGrid>
            <w:tr w14:paraId="2F37BD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tcBorders>
                    <w:tl2br w:val="nil"/>
                    <w:tr2bl w:val="nil"/>
                  </w:tcBorders>
                  <w:vAlign w:val="center"/>
                </w:tcPr>
                <w:p w14:paraId="725F53CE">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工作场所</w:t>
                  </w:r>
                </w:p>
              </w:tc>
              <w:tc>
                <w:tcPr>
                  <w:tcW w:w="1314" w:type="dxa"/>
                  <w:tcBorders>
                    <w:tl2br w:val="nil"/>
                    <w:tr2bl w:val="nil"/>
                  </w:tcBorders>
                  <w:vAlign w:val="center"/>
                </w:tcPr>
                <w:p w14:paraId="7549F85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核素</w:t>
                  </w:r>
                </w:p>
              </w:tc>
              <w:tc>
                <w:tcPr>
                  <w:tcW w:w="1903" w:type="dxa"/>
                  <w:tcBorders>
                    <w:tl2br w:val="nil"/>
                    <w:tr2bl w:val="nil"/>
                  </w:tcBorders>
                  <w:vAlign w:val="center"/>
                </w:tcPr>
                <w:p w14:paraId="4EB42A9B">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单人最大用药量</w:t>
                  </w:r>
                </w:p>
                <w:p w14:paraId="48DED6D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（Bq/人·次）</w:t>
                  </w:r>
                </w:p>
              </w:tc>
              <w:tc>
                <w:tcPr>
                  <w:tcW w:w="1366" w:type="dxa"/>
                  <w:tcBorders>
                    <w:tl2br w:val="nil"/>
                    <w:tr2bl w:val="nil"/>
                  </w:tcBorders>
                  <w:vAlign w:val="center"/>
                </w:tcPr>
                <w:p w14:paraId="7DD19AC6">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日最大</w:t>
                  </w:r>
                  <w:r>
                    <w:rPr>
                      <w:rFonts w:hint="default" w:ascii="Times New Roman" w:hAnsi="Times New Roman" w:cs="Times New Roman"/>
                      <w:color w:val="auto"/>
                      <w:kern w:val="0"/>
                      <w:sz w:val="18"/>
                      <w:szCs w:val="20"/>
                      <w:highlight w:val="none"/>
                      <w:lang w:val="en-US" w:eastAsia="zh-CN"/>
                    </w:rPr>
                    <w:t>治疗</w:t>
                  </w:r>
                  <w:r>
                    <w:rPr>
                      <w:rFonts w:hint="default" w:ascii="Times New Roman" w:hAnsi="Times New Roman" w:eastAsia="宋体" w:cs="Times New Roman"/>
                      <w:color w:val="auto"/>
                      <w:kern w:val="0"/>
                      <w:sz w:val="18"/>
                      <w:szCs w:val="20"/>
                      <w:highlight w:val="none"/>
                      <w:lang w:val="en-US" w:eastAsia="en-US"/>
                    </w:rPr>
                    <w:t>量（人次）</w:t>
                  </w:r>
                </w:p>
              </w:tc>
              <w:tc>
                <w:tcPr>
                  <w:tcW w:w="1078" w:type="dxa"/>
                  <w:tcBorders>
                    <w:tl2br w:val="nil"/>
                    <w:tr2bl w:val="nil"/>
                  </w:tcBorders>
                  <w:vAlign w:val="center"/>
                </w:tcPr>
                <w:p w14:paraId="41FB63A2">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年工作时间（天）</w:t>
                  </w:r>
                </w:p>
              </w:tc>
              <w:tc>
                <w:tcPr>
                  <w:tcW w:w="1263" w:type="dxa"/>
                  <w:tcBorders>
                    <w:tl2br w:val="nil"/>
                    <w:tr2bl w:val="nil"/>
                  </w:tcBorders>
                  <w:vAlign w:val="center"/>
                </w:tcPr>
                <w:p w14:paraId="3D0C1F3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日最大操作量</w:t>
                  </w:r>
                </w:p>
                <w:p w14:paraId="4F2EF6CC">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（Bq）</w:t>
                  </w:r>
                </w:p>
              </w:tc>
              <w:tc>
                <w:tcPr>
                  <w:tcW w:w="1169" w:type="dxa"/>
                  <w:tcBorders>
                    <w:tl2br w:val="nil"/>
                    <w:tr2bl w:val="nil"/>
                  </w:tcBorders>
                  <w:vAlign w:val="center"/>
                </w:tcPr>
                <w:p w14:paraId="10F0DB2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年最大使用量（Bq）</w:t>
                  </w:r>
                </w:p>
              </w:tc>
            </w:tr>
            <w:tr w14:paraId="547E85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tcBorders>
                    <w:tl2br w:val="nil"/>
                    <w:tr2bl w:val="nil"/>
                  </w:tcBorders>
                  <w:vAlign w:val="center"/>
                </w:tcPr>
                <w:p w14:paraId="215E1612">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zh-CN"/>
                    </w:rPr>
                  </w:pPr>
                  <w:r>
                    <w:rPr>
                      <w:rFonts w:hint="default" w:ascii="Times New Roman" w:hAnsi="Times New Roman" w:cs="Times New Roman"/>
                      <w:color w:val="auto"/>
                      <w:kern w:val="0"/>
                      <w:sz w:val="18"/>
                      <w:szCs w:val="20"/>
                      <w:highlight w:val="none"/>
                      <w:lang w:val="en-US" w:eastAsia="zh-CN"/>
                    </w:rPr>
                    <w:t>核素治疗区</w:t>
                  </w:r>
                </w:p>
              </w:tc>
              <w:tc>
                <w:tcPr>
                  <w:tcW w:w="1314" w:type="dxa"/>
                  <w:tcBorders>
                    <w:tl2br w:val="nil"/>
                    <w:tr2bl w:val="nil"/>
                  </w:tcBorders>
                  <w:shd w:val="clear" w:color="auto" w:fill="auto"/>
                  <w:vAlign w:val="center"/>
                </w:tcPr>
                <w:p w14:paraId="41CC5FB8">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vertAlign w:val="baseline"/>
                      <w:lang w:val="en-US" w:eastAsia="en-US"/>
                    </w:rPr>
                    <w:t>Lu-177</w:t>
                  </w:r>
                </w:p>
              </w:tc>
              <w:tc>
                <w:tcPr>
                  <w:tcW w:w="1903" w:type="dxa"/>
                  <w:tcBorders>
                    <w:tl2br w:val="nil"/>
                    <w:tr2bl w:val="nil"/>
                  </w:tcBorders>
                  <w:vAlign w:val="center"/>
                </w:tcPr>
                <w:p w14:paraId="1F7A222E">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1.11E+10 Bq（300mCi）</w:t>
                  </w:r>
                </w:p>
              </w:tc>
              <w:tc>
                <w:tcPr>
                  <w:tcW w:w="1366" w:type="dxa"/>
                  <w:tcBorders>
                    <w:tl2br w:val="nil"/>
                    <w:tr2bl w:val="nil"/>
                  </w:tcBorders>
                  <w:shd w:val="clear" w:color="auto" w:fill="auto"/>
                  <w:vAlign w:val="center"/>
                </w:tcPr>
                <w:p w14:paraId="27563667">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1</w:t>
                  </w:r>
                </w:p>
              </w:tc>
              <w:tc>
                <w:tcPr>
                  <w:tcW w:w="1078" w:type="dxa"/>
                  <w:tcBorders>
                    <w:tl2br w:val="nil"/>
                    <w:tr2bl w:val="nil"/>
                  </w:tcBorders>
                  <w:shd w:val="clear" w:color="auto" w:fill="auto"/>
                  <w:vAlign w:val="center"/>
                </w:tcPr>
                <w:p w14:paraId="301A4DD2">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250</w:t>
                  </w:r>
                </w:p>
              </w:tc>
              <w:tc>
                <w:tcPr>
                  <w:tcW w:w="1263" w:type="dxa"/>
                  <w:tcBorders>
                    <w:tl2br w:val="nil"/>
                    <w:tr2bl w:val="nil"/>
                  </w:tcBorders>
                  <w:shd w:val="clear" w:color="auto" w:fill="auto"/>
                  <w:vAlign w:val="center"/>
                </w:tcPr>
                <w:p w14:paraId="3BF12041">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 xml:space="preserve">1.11E+10 </w:t>
                  </w:r>
                </w:p>
              </w:tc>
              <w:tc>
                <w:tcPr>
                  <w:tcW w:w="1169" w:type="dxa"/>
                  <w:tcBorders>
                    <w:tl2br w:val="nil"/>
                    <w:tr2bl w:val="nil"/>
                  </w:tcBorders>
                  <w:shd w:val="clear" w:color="auto" w:fill="auto"/>
                  <w:vAlign w:val="center"/>
                </w:tcPr>
                <w:p w14:paraId="0C1DA3BF">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2.78E+12</w:t>
                  </w:r>
                </w:p>
              </w:tc>
            </w:tr>
          </w:tbl>
          <w:p w14:paraId="0D1A6B25">
            <w:pPr>
              <w:keepNext w:val="0"/>
              <w:keepLines w:val="0"/>
              <w:suppressLineNumbers w:val="0"/>
              <w:spacing w:before="5" w:beforeAutospacing="0" w:after="0" w:afterAutospacing="0" w:line="219" w:lineRule="auto"/>
              <w:ind w:left="128" w:right="0"/>
              <w:jc w:val="both"/>
              <w:rPr>
                <w:rFonts w:hint="default" w:ascii="Times New Roman" w:hAnsi="Times New Roman" w:eastAsia="宋体" w:cs="Times New Roman"/>
                <w:b/>
                <w:bCs/>
                <w:color w:val="auto"/>
                <w:spacing w:val="-4"/>
                <w:sz w:val="24"/>
                <w:szCs w:val="24"/>
                <w:highlight w:val="none"/>
              </w:rPr>
            </w:pPr>
          </w:p>
          <w:p w14:paraId="39FB8AF2">
            <w:pPr>
              <w:keepNext w:val="0"/>
              <w:keepLines w:val="0"/>
              <w:suppressLineNumbers w:val="0"/>
              <w:spacing w:before="5" w:beforeAutospacing="0" w:after="0" w:afterAutospacing="0" w:line="219" w:lineRule="auto"/>
              <w:ind w:left="128" w:right="0"/>
              <w:jc w:val="both"/>
              <w:rPr>
                <w:rFonts w:hint="default" w:ascii="Times New Roman" w:hAnsi="Times New Roman" w:eastAsia="宋体" w:cs="Times New Roman"/>
                <w:b/>
                <w:bCs/>
                <w:color w:val="auto"/>
                <w:spacing w:val="-4"/>
                <w:sz w:val="24"/>
                <w:szCs w:val="24"/>
                <w:highlight w:val="none"/>
              </w:rPr>
            </w:pPr>
          </w:p>
          <w:p w14:paraId="6C9ADB61">
            <w:pPr>
              <w:keepNext w:val="0"/>
              <w:keepLines w:val="0"/>
              <w:suppressLineNumbers w:val="0"/>
              <w:spacing w:before="5" w:beforeAutospacing="0" w:after="0" w:afterAutospacing="0" w:line="219" w:lineRule="auto"/>
              <w:ind w:left="128"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4"/>
                <w:sz w:val="24"/>
                <w:szCs w:val="24"/>
                <w:highlight w:val="none"/>
              </w:rPr>
              <w:t>（</w:t>
            </w:r>
            <w:r>
              <w:rPr>
                <w:rFonts w:hint="default" w:ascii="Times New Roman" w:hAnsi="Times New Roman" w:eastAsia="Times New Roman" w:cs="Times New Roman"/>
                <w:b/>
                <w:bCs/>
                <w:color w:val="auto"/>
                <w:spacing w:val="-4"/>
                <w:sz w:val="24"/>
                <w:szCs w:val="24"/>
                <w:highlight w:val="none"/>
              </w:rPr>
              <w:t>2</w:t>
            </w:r>
            <w:r>
              <w:rPr>
                <w:rFonts w:hint="default" w:ascii="Times New Roman" w:hAnsi="Times New Roman" w:eastAsia="宋体" w:cs="Times New Roman"/>
                <w:b/>
                <w:bCs/>
                <w:color w:val="auto"/>
                <w:spacing w:val="-4"/>
                <w:sz w:val="24"/>
                <w:szCs w:val="24"/>
                <w:highlight w:val="none"/>
              </w:rPr>
              <w:t>）工艺流程及产污环节分析</w:t>
            </w:r>
          </w:p>
          <w:p w14:paraId="464070EE">
            <w:pPr>
              <w:keepNext w:val="0"/>
              <w:keepLines w:val="0"/>
              <w:suppressLineNumbers w:val="0"/>
              <w:spacing w:before="216" w:beforeAutospacing="0" w:after="0" w:afterAutospacing="0" w:line="347" w:lineRule="auto"/>
              <w:ind w:left="117" w:right="45" w:firstLine="488"/>
              <w:jc w:val="both"/>
              <w:rPr>
                <w:rFonts w:hint="default" w:ascii="Times New Roman" w:hAnsi="Times New Roman" w:eastAsia="宋体" w:cs="Times New Roman"/>
                <w:color w:val="auto"/>
                <w:spacing w:val="-1"/>
                <w:sz w:val="24"/>
                <w:szCs w:val="24"/>
                <w:highlight w:val="none"/>
              </w:rPr>
            </w:pPr>
            <w:r>
              <w:rPr>
                <w:rFonts w:hint="eastAsia" w:ascii="Times New Roman" w:hAnsi="Times New Roman" w:eastAsia="宋体" w:cs="Times New Roman"/>
                <w:color w:val="auto"/>
                <w:spacing w:val="-3"/>
                <w:sz w:val="24"/>
                <w:szCs w:val="24"/>
                <w:highlight w:val="none"/>
                <w:lang w:eastAsia="zh-CN"/>
              </w:rPr>
              <w:t>Lu-177</w:t>
            </w:r>
            <w:r>
              <w:rPr>
                <w:rFonts w:hint="default" w:ascii="Times New Roman" w:hAnsi="Times New Roman" w:eastAsia="宋体" w:cs="Times New Roman"/>
                <w:color w:val="auto"/>
                <w:spacing w:val="-3"/>
                <w:sz w:val="24"/>
                <w:szCs w:val="24"/>
                <w:highlight w:val="none"/>
              </w:rPr>
              <w:t>治疗的患者进入核医学科</w:t>
            </w:r>
            <w:r>
              <w:rPr>
                <w:rFonts w:hint="eastAsia" w:cs="Times New Roman"/>
                <w:color w:val="auto"/>
                <w:spacing w:val="-3"/>
                <w:sz w:val="24"/>
                <w:szCs w:val="24"/>
                <w:highlight w:val="none"/>
                <w:lang w:val="en-US" w:eastAsia="zh-CN"/>
              </w:rPr>
              <w:t>三层</w:t>
            </w:r>
            <w:r>
              <w:rPr>
                <w:rFonts w:hint="default" w:ascii="Times New Roman" w:hAnsi="Times New Roman" w:eastAsia="宋体" w:cs="Times New Roman"/>
                <w:color w:val="auto"/>
                <w:spacing w:val="-3"/>
                <w:sz w:val="24"/>
                <w:szCs w:val="24"/>
                <w:highlight w:val="none"/>
              </w:rPr>
              <w:t>注射</w:t>
            </w:r>
            <w:r>
              <w:rPr>
                <w:rFonts w:hint="eastAsia" w:cs="Times New Roman"/>
                <w:color w:val="auto"/>
                <w:spacing w:val="-3"/>
                <w:sz w:val="24"/>
                <w:szCs w:val="24"/>
                <w:highlight w:val="none"/>
                <w:lang w:val="en-US" w:eastAsia="zh-CN"/>
              </w:rPr>
              <w:t>室</w:t>
            </w:r>
            <w:r>
              <w:rPr>
                <w:rFonts w:hint="default" w:ascii="Times New Roman" w:hAnsi="Times New Roman" w:eastAsia="宋体" w:cs="Times New Roman"/>
                <w:color w:val="auto"/>
                <w:spacing w:val="-3"/>
                <w:sz w:val="24"/>
                <w:szCs w:val="24"/>
                <w:highlight w:val="none"/>
              </w:rPr>
              <w:t>，注射医务人员配戴个人剂量计，穿戴好个人</w:t>
            </w:r>
            <w:r>
              <w:rPr>
                <w:rFonts w:hint="default" w:ascii="Times New Roman" w:hAnsi="Times New Roman" w:eastAsia="宋体" w:cs="Times New Roman"/>
                <w:color w:val="auto"/>
                <w:spacing w:val="-5"/>
                <w:sz w:val="24"/>
                <w:szCs w:val="24"/>
                <w:highlight w:val="none"/>
              </w:rPr>
              <w:t>防护用品，从包装容器内用一次性注射器汲取计划的药量，在注射台前为患者注</w:t>
            </w:r>
            <w:r>
              <w:rPr>
                <w:rFonts w:hint="default" w:ascii="Times New Roman" w:hAnsi="Times New Roman" w:eastAsia="宋体" w:cs="Times New Roman"/>
                <w:color w:val="auto"/>
                <w:spacing w:val="-6"/>
                <w:sz w:val="24"/>
                <w:szCs w:val="24"/>
                <w:highlight w:val="none"/>
              </w:rPr>
              <w:t>射药物，</w:t>
            </w:r>
            <w:r>
              <w:rPr>
                <w:rFonts w:hint="default" w:ascii="Times New Roman" w:hAnsi="Times New Roman" w:eastAsia="宋体" w:cs="Times New Roman"/>
                <w:color w:val="auto"/>
                <w:sz w:val="24"/>
                <w:szCs w:val="24"/>
                <w:highlight w:val="none"/>
              </w:rPr>
              <w:t>注射时间平均约</w:t>
            </w:r>
            <w:r>
              <w:rPr>
                <w:rFonts w:hint="default" w:ascii="Times New Roman" w:hAnsi="Times New Roman" w:eastAsia="Times New Roman" w:cs="Times New Roman"/>
                <w:color w:val="auto"/>
                <w:sz w:val="24"/>
                <w:szCs w:val="24"/>
                <w:highlight w:val="none"/>
              </w:rPr>
              <w:t>1min/</w:t>
            </w:r>
            <w:r>
              <w:rPr>
                <w:rFonts w:hint="default" w:ascii="Times New Roman" w:hAnsi="Times New Roman" w:eastAsia="宋体" w:cs="Times New Roman"/>
                <w:color w:val="auto"/>
                <w:sz w:val="24"/>
                <w:szCs w:val="24"/>
                <w:highlight w:val="none"/>
              </w:rPr>
              <w:t>人，注射或服用了放射性药物的患者短暂留观后，可直接从专用</w:t>
            </w:r>
            <w:r>
              <w:rPr>
                <w:rFonts w:hint="default" w:ascii="Times New Roman" w:hAnsi="Times New Roman" w:eastAsia="宋体" w:cs="Times New Roman"/>
                <w:color w:val="auto"/>
                <w:spacing w:val="-1"/>
                <w:sz w:val="24"/>
                <w:szCs w:val="24"/>
                <w:highlight w:val="none"/>
              </w:rPr>
              <w:t>通道离开核医学治疗区。</w:t>
            </w:r>
          </w:p>
          <w:p w14:paraId="354A1D3E">
            <w:pPr>
              <w:keepNext w:val="0"/>
              <w:keepLines w:val="0"/>
              <w:suppressLineNumbers w:val="0"/>
              <w:spacing w:before="216" w:beforeAutospacing="0" w:after="0" w:afterAutospacing="0" w:line="347" w:lineRule="auto"/>
              <w:ind w:left="117" w:right="45" w:firstLine="488"/>
              <w:jc w:val="center"/>
              <w:rPr>
                <w:rFonts w:hint="default" w:ascii="Times New Roman" w:hAnsi="Times New Roman" w:eastAsia="宋体" w:cs="Times New Roman"/>
                <w:color w:val="auto"/>
                <w:spacing w:val="-1"/>
                <w:sz w:val="24"/>
                <w:szCs w:val="24"/>
                <w:highlight w:val="none"/>
              </w:rPr>
            </w:pPr>
            <w:r>
              <w:rPr>
                <w:rFonts w:hint="eastAsia" w:cs="Times New Roman"/>
                <w:b/>
                <w:bCs/>
                <w:color w:val="auto"/>
                <w:spacing w:val="-2"/>
                <w:sz w:val="24"/>
                <w:szCs w:val="24"/>
                <w:highlight w:val="none"/>
                <w:lang w:eastAsia="zh-CN"/>
              </w:rPr>
              <w:t>图9</w:t>
            </w:r>
            <w:r>
              <w:rPr>
                <w:rFonts w:hint="eastAsia" w:eastAsia="宋体" w:cs="Times New Roman"/>
                <w:b/>
                <w:bCs/>
                <w:color w:val="auto"/>
                <w:spacing w:val="-2"/>
                <w:sz w:val="24"/>
                <w:szCs w:val="24"/>
                <w:highlight w:val="none"/>
                <w:lang w:val="en-US" w:eastAsia="zh-CN"/>
              </w:rPr>
              <w:t>-10</w:t>
            </w:r>
            <w:r>
              <w:rPr>
                <w:rFonts w:hint="default" w:ascii="Times New Roman" w:hAnsi="Times New Roman" w:eastAsia="Times New Roman" w:cs="Times New Roman"/>
                <w:b/>
                <w:bCs/>
                <w:color w:val="auto"/>
                <w:spacing w:val="-2"/>
                <w:sz w:val="24"/>
                <w:szCs w:val="24"/>
                <w:highlight w:val="none"/>
              </w:rPr>
              <w:t xml:space="preserve">  </w:t>
            </w:r>
            <w:r>
              <w:rPr>
                <w:rFonts w:hint="eastAsia" w:ascii="Times New Roman" w:hAnsi="Times New Roman" w:eastAsia="宋体" w:cs="Times New Roman"/>
                <w:b/>
                <w:bCs/>
                <w:color w:val="auto"/>
                <w:spacing w:val="-2"/>
                <w:sz w:val="24"/>
                <w:szCs w:val="24"/>
                <w:highlight w:val="none"/>
                <w:lang w:eastAsia="zh-CN"/>
              </w:rPr>
              <w:t>Lu-177</w:t>
            </w:r>
            <w:r>
              <w:rPr>
                <w:rFonts w:hint="default" w:ascii="Times New Roman" w:hAnsi="Times New Roman" w:eastAsia="宋体" w:cs="Times New Roman"/>
                <w:b/>
                <w:bCs/>
                <w:color w:val="auto"/>
                <w:spacing w:val="-2"/>
                <w:sz w:val="24"/>
                <w:szCs w:val="24"/>
                <w:highlight w:val="none"/>
              </w:rPr>
              <w:t xml:space="preserve"> 核素治疗工艺流程及产污环节分析示意图</w:t>
            </w:r>
          </w:p>
          <w:p w14:paraId="4733C15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40" w:lineRule="exact"/>
              <w:ind w:left="0" w:right="0" w:firstLine="466"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b/>
                <w:bCs/>
                <w:color w:val="auto"/>
                <w:spacing w:val="-4"/>
                <w:sz w:val="24"/>
                <w:szCs w:val="24"/>
                <w:highlight w:val="none"/>
              </w:rPr>
              <w:t>（</w:t>
            </w:r>
            <w:r>
              <w:rPr>
                <w:rFonts w:hint="default" w:ascii="Times New Roman" w:hAnsi="Times New Roman" w:eastAsia="Times New Roman" w:cs="Times New Roman"/>
                <w:b/>
                <w:bCs/>
                <w:color w:val="auto"/>
                <w:spacing w:val="-4"/>
                <w:sz w:val="24"/>
                <w:szCs w:val="24"/>
                <w:highlight w:val="none"/>
              </w:rPr>
              <w:t>3</w:t>
            </w:r>
            <w:r>
              <w:rPr>
                <w:rFonts w:hint="default" w:ascii="Times New Roman" w:hAnsi="Times New Roman" w:eastAsia="宋体" w:cs="Times New Roman"/>
                <w:b/>
                <w:bCs/>
                <w:color w:val="auto"/>
                <w:spacing w:val="-4"/>
                <w:sz w:val="24"/>
                <w:szCs w:val="24"/>
                <w:highlight w:val="none"/>
              </w:rPr>
              <w:t>）人流和物流路径规划</w:t>
            </w:r>
          </w:p>
          <w:p w14:paraId="71D0F74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①药物路线</w:t>
            </w:r>
          </w:p>
          <w:p w14:paraId="0DF9224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放射性药物</w:t>
            </w:r>
            <w:r>
              <w:rPr>
                <w:rFonts w:hint="eastAsia" w:ascii="Times New Roman" w:hAnsi="Times New Roman" w:cs="Times New Roman"/>
                <w:color w:val="auto"/>
                <w:highlight w:val="none"/>
                <w:vertAlign w:val="baseline"/>
                <w:lang w:eastAsia="zh-CN"/>
              </w:rPr>
              <w:t>Lu-177</w:t>
            </w:r>
            <w:r>
              <w:rPr>
                <w:rFonts w:hint="default" w:ascii="Times New Roman" w:hAnsi="Times New Roman" w:cs="Times New Roman"/>
                <w:color w:val="auto"/>
                <w:highlight w:val="none"/>
              </w:rPr>
              <w:t>由医院与供药商提前预约，根据约定时间，在上班之前，由专用路线进入核医学</w:t>
            </w:r>
            <w:r>
              <w:rPr>
                <w:rFonts w:hint="default" w:ascii="Times New Roman" w:hAnsi="Times New Roman" w:cs="Times New Roman"/>
                <w:color w:val="auto"/>
                <w:highlight w:val="none"/>
                <w:lang w:val="en-US" w:eastAsia="zh-CN"/>
              </w:rPr>
              <w:t>楼三层储源室内</w:t>
            </w:r>
            <w:r>
              <w:rPr>
                <w:rFonts w:hint="eastAsia" w:ascii="Times New Roman" w:hAnsi="Times New Roman" w:cs="Times New Roman"/>
                <w:color w:val="auto"/>
                <w:highlight w:val="none"/>
                <w:lang w:val="en-US" w:eastAsia="zh-CN"/>
              </w:rPr>
              <w:t>，经专人接收，核对药物信息、妥善存储</w:t>
            </w:r>
            <w:r>
              <w:rPr>
                <w:rFonts w:hint="default" w:ascii="Times New Roman" w:hAnsi="Times New Roman" w:cs="Times New Roman"/>
                <w:color w:val="auto"/>
                <w:highlight w:val="none"/>
              </w:rPr>
              <w:t>。</w:t>
            </w:r>
          </w:p>
          <w:p w14:paraId="6BB5B82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②患者路线</w:t>
            </w:r>
          </w:p>
          <w:p w14:paraId="3A0E217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cs="Times New Roman"/>
                <w:color w:val="auto"/>
                <w:highlight w:val="none"/>
              </w:rPr>
            </w:pPr>
            <w:r>
              <w:rPr>
                <w:rFonts w:hint="eastAsia" w:ascii="Times New Roman" w:hAnsi="Times New Roman" w:cs="Times New Roman"/>
                <w:color w:val="auto"/>
                <w:highlight w:val="none"/>
                <w:vertAlign w:val="baseline"/>
                <w:lang w:eastAsia="zh-CN"/>
              </w:rPr>
              <w:t>Lu-177</w:t>
            </w:r>
            <w:r>
              <w:rPr>
                <w:rFonts w:hint="default" w:ascii="Times New Roman" w:hAnsi="Times New Roman" w:cs="Times New Roman"/>
                <w:color w:val="auto"/>
                <w:highlight w:val="none"/>
              </w:rPr>
              <w:t xml:space="preserve"> 治疗患者由核医学</w:t>
            </w:r>
            <w:r>
              <w:rPr>
                <w:rFonts w:hint="default" w:ascii="Times New Roman" w:hAnsi="Times New Roman" w:cs="Times New Roman"/>
                <w:color w:val="auto"/>
                <w:highlight w:val="none"/>
                <w:lang w:val="en-US" w:eastAsia="zh-CN"/>
              </w:rPr>
              <w:t>楼</w:t>
            </w:r>
            <w:r>
              <w:rPr>
                <w:rFonts w:hint="eastAsia" w:ascii="Times New Roman" w:hAnsi="Times New Roman" w:cs="Times New Roman"/>
                <w:color w:val="auto"/>
                <w:highlight w:val="none"/>
                <w:lang w:val="en-US" w:eastAsia="zh-CN"/>
              </w:rPr>
              <w:t>西侧</w:t>
            </w:r>
            <w:r>
              <w:rPr>
                <w:rFonts w:hint="default" w:ascii="Times New Roman" w:hAnsi="Times New Roman" w:cs="Times New Roman"/>
                <w:color w:val="auto"/>
                <w:highlight w:val="none"/>
              </w:rPr>
              <w:t>入口进入核医学科，通过</w:t>
            </w:r>
            <w:r>
              <w:rPr>
                <w:rFonts w:hint="eastAsia" w:ascii="Times New Roman" w:hAnsi="Times New Roman" w:cs="Times New Roman"/>
                <w:color w:val="auto"/>
                <w:highlight w:val="none"/>
                <w:lang w:val="en-US" w:eastAsia="zh-CN"/>
              </w:rPr>
              <w:t>西侧</w:t>
            </w:r>
            <w:r>
              <w:rPr>
                <w:rFonts w:hint="default" w:ascii="Times New Roman" w:hAnsi="Times New Roman" w:cs="Times New Roman"/>
                <w:color w:val="auto"/>
                <w:highlight w:val="none"/>
              </w:rPr>
              <w:t>楼梯到达核医学</w:t>
            </w:r>
            <w:r>
              <w:rPr>
                <w:rFonts w:hint="default" w:ascii="Times New Roman" w:hAnsi="Times New Roman" w:cs="Times New Roman"/>
                <w:color w:val="auto"/>
                <w:highlight w:val="none"/>
                <w:lang w:val="en-US" w:eastAsia="zh-CN"/>
              </w:rPr>
              <w:t>楼</w:t>
            </w:r>
            <w:r>
              <w:rPr>
                <w:rFonts w:hint="default" w:ascii="Times New Roman" w:hAnsi="Times New Roman" w:cs="Times New Roman"/>
                <w:color w:val="auto"/>
                <w:highlight w:val="none"/>
              </w:rPr>
              <w:t>三层，在候诊大厅候诊，通过患者入口进入核医学</w:t>
            </w:r>
            <w:r>
              <w:rPr>
                <w:rFonts w:hint="default" w:ascii="Times New Roman" w:hAnsi="Times New Roman" w:cs="Times New Roman"/>
                <w:color w:val="auto"/>
                <w:highlight w:val="none"/>
                <w:lang w:val="en-US" w:eastAsia="zh-CN"/>
              </w:rPr>
              <w:t>楼</w:t>
            </w:r>
            <w:r>
              <w:rPr>
                <w:rFonts w:hint="default" w:ascii="Times New Roman" w:hAnsi="Times New Roman" w:cs="Times New Roman"/>
                <w:color w:val="auto"/>
                <w:highlight w:val="none"/>
              </w:rPr>
              <w:t>三层服药室完成给药后，在</w:t>
            </w:r>
            <w:r>
              <w:rPr>
                <w:rFonts w:hint="eastAsia" w:ascii="Times New Roman" w:hAnsi="Times New Roman" w:cs="Times New Roman"/>
                <w:color w:val="auto"/>
                <w:highlight w:val="none"/>
                <w:vertAlign w:val="baseline"/>
                <w:lang w:eastAsia="zh-CN"/>
              </w:rPr>
              <w:t>Lu-177</w:t>
            </w:r>
            <w:r>
              <w:rPr>
                <w:rFonts w:hint="default" w:ascii="Times New Roman" w:hAnsi="Times New Roman" w:cs="Times New Roman"/>
                <w:color w:val="auto"/>
                <w:highlight w:val="none"/>
              </w:rPr>
              <w:t>核素病房内住院治疗，治疗完成后患者从核医学科</w:t>
            </w:r>
            <w:r>
              <w:rPr>
                <w:rFonts w:hint="eastAsia" w:ascii="Times New Roman" w:hAnsi="Times New Roman" w:cs="Times New Roman"/>
                <w:color w:val="auto"/>
                <w:highlight w:val="none"/>
                <w:lang w:val="en-US" w:eastAsia="zh-CN"/>
              </w:rPr>
              <w:t>东侧楼梯间</w:t>
            </w:r>
            <w:r>
              <w:rPr>
                <w:rFonts w:hint="default" w:ascii="Times New Roman" w:hAnsi="Times New Roman" w:cs="Times New Roman"/>
                <w:color w:val="auto"/>
                <w:highlight w:val="none"/>
              </w:rPr>
              <w:t>患者出口离开核医学科。</w:t>
            </w:r>
          </w:p>
          <w:p w14:paraId="517982B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③医务人员路线</w:t>
            </w:r>
          </w:p>
          <w:p w14:paraId="09C6578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cs="Times New Roman"/>
                <w:color w:val="auto"/>
                <w:highlight w:val="none"/>
              </w:rPr>
            </w:pPr>
            <w:r>
              <w:rPr>
                <w:rFonts w:hint="eastAsia" w:ascii="Times New Roman" w:hAnsi="Times New Roman" w:cs="Times New Roman"/>
                <w:color w:val="auto"/>
                <w:highlight w:val="none"/>
                <w:lang w:val="en-US" w:eastAsia="zh-CN"/>
              </w:rPr>
              <w:t>药物操作</w:t>
            </w:r>
            <w:r>
              <w:rPr>
                <w:rFonts w:hint="default" w:ascii="Times New Roman" w:hAnsi="Times New Roman" w:cs="Times New Roman"/>
                <w:color w:val="auto"/>
                <w:highlight w:val="none"/>
              </w:rPr>
              <w:t>工作人员通过</w:t>
            </w:r>
            <w:r>
              <w:rPr>
                <w:rFonts w:hint="eastAsia" w:ascii="Times New Roman" w:hAnsi="Times New Roman" w:cs="Times New Roman"/>
                <w:color w:val="auto"/>
                <w:highlight w:val="none"/>
                <w:lang w:val="en-US" w:eastAsia="zh-CN"/>
              </w:rPr>
              <w:t>西侧医梯到达三楼，沿医护通道</w:t>
            </w:r>
            <w:r>
              <w:rPr>
                <w:rFonts w:hint="default" w:ascii="Times New Roman" w:hAnsi="Times New Roman" w:cs="Times New Roman"/>
                <w:color w:val="auto"/>
                <w:highlight w:val="none"/>
              </w:rPr>
              <w:t>进入核医学科</w:t>
            </w:r>
            <w:r>
              <w:rPr>
                <w:rFonts w:hint="eastAsia" w:ascii="Times New Roman" w:hAnsi="Times New Roman" w:cs="Times New Roman"/>
                <w:color w:val="auto"/>
                <w:highlight w:val="none"/>
                <w:lang w:val="en-US" w:eastAsia="zh-CN"/>
              </w:rPr>
              <w:t>三</w:t>
            </w:r>
            <w:r>
              <w:rPr>
                <w:rFonts w:hint="default" w:ascii="Times New Roman" w:hAnsi="Times New Roman" w:cs="Times New Roman"/>
                <w:color w:val="auto"/>
                <w:highlight w:val="none"/>
              </w:rPr>
              <w:t>层注射室内，通过注射窗口给患者注射，完成后通过去污、表污检测达标后原路返回离开核医学科。</w:t>
            </w:r>
          </w:p>
          <w:p w14:paraId="036234A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40" w:lineRule="exact"/>
              <w:ind w:left="0" w:right="0" w:firstLine="482" w:firstLineChars="200"/>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④放射性固体废物路线</w:t>
            </w:r>
          </w:p>
          <w:p w14:paraId="5FD0B6E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医院拟将放射性固体废物收集存于</w:t>
            </w:r>
            <w:r>
              <w:rPr>
                <w:rFonts w:hint="default" w:ascii="Times New Roman" w:hAnsi="Times New Roman" w:cs="Times New Roman"/>
                <w:color w:val="auto"/>
                <w:highlight w:val="none"/>
                <w:lang w:val="en-US" w:eastAsia="zh-CN"/>
              </w:rPr>
              <w:t>核医学楼</w:t>
            </w:r>
            <w:r>
              <w:rPr>
                <w:rFonts w:hint="eastAsia" w:cs="Times New Roman"/>
                <w:color w:val="auto"/>
                <w:highlight w:val="none"/>
                <w:lang w:val="en-US" w:eastAsia="zh-CN"/>
              </w:rPr>
              <w:t>三</w:t>
            </w:r>
            <w:r>
              <w:rPr>
                <w:rFonts w:hint="default" w:ascii="Times New Roman" w:hAnsi="Times New Roman" w:cs="Times New Roman"/>
                <w:color w:val="auto"/>
                <w:highlight w:val="none"/>
                <w:lang w:val="en-US" w:eastAsia="zh-CN"/>
              </w:rPr>
              <w:t>层</w:t>
            </w:r>
            <w:r>
              <w:rPr>
                <w:rFonts w:hint="eastAsia" w:ascii="Times New Roman" w:hAnsi="Times New Roman" w:cs="Times New Roman"/>
                <w:color w:val="auto"/>
                <w:highlight w:val="none"/>
                <w:lang w:val="en-US" w:eastAsia="zh-CN"/>
              </w:rPr>
              <w:t>注射</w:t>
            </w:r>
            <w:r>
              <w:rPr>
                <w:rFonts w:hint="default" w:ascii="Times New Roman" w:hAnsi="Times New Roman" w:cs="Times New Roman"/>
                <w:color w:val="auto"/>
                <w:highlight w:val="none"/>
              </w:rPr>
              <w:t>室内</w:t>
            </w:r>
            <w:r>
              <w:rPr>
                <w:rFonts w:hint="eastAsia" w:ascii="Times New Roman" w:hAnsi="Times New Roman" w:cs="Times New Roman"/>
                <w:color w:val="auto"/>
                <w:highlight w:val="none"/>
                <w:lang w:val="en-US" w:eastAsia="zh-CN"/>
              </w:rPr>
              <w:t>放射性</w:t>
            </w:r>
            <w:r>
              <w:rPr>
                <w:rFonts w:hint="default" w:ascii="Times New Roman" w:hAnsi="Times New Roman" w:cs="Times New Roman"/>
                <w:color w:val="auto"/>
                <w:highlight w:val="none"/>
              </w:rPr>
              <w:t>废物桶中，每天下班前将当天产生的放射性废物及时转移至</w:t>
            </w:r>
            <w:r>
              <w:rPr>
                <w:rFonts w:hint="default" w:ascii="Times New Roman" w:hAnsi="Times New Roman" w:cs="Times New Roman"/>
                <w:color w:val="auto"/>
                <w:highlight w:val="none"/>
                <w:lang w:val="en-US" w:eastAsia="zh-CN"/>
              </w:rPr>
              <w:t>核医学楼三层</w:t>
            </w:r>
            <w:r>
              <w:rPr>
                <w:rFonts w:hint="eastAsia" w:cs="Times New Roman"/>
                <w:color w:val="auto"/>
                <w:highlight w:val="none"/>
                <w:lang w:val="en-US" w:eastAsia="zh-CN"/>
              </w:rPr>
              <w:t>放射性</w:t>
            </w:r>
            <w:r>
              <w:rPr>
                <w:rFonts w:hint="default" w:ascii="Times New Roman" w:hAnsi="Times New Roman" w:cs="Times New Roman"/>
                <w:color w:val="auto"/>
                <w:highlight w:val="none"/>
              </w:rPr>
              <w:t>废物库内，暂存于废物衰变箱内衰变。待 10 个以上半衰期后衰变至符合清洁解控水平后，转移至院区的医疗污物暂存间，按照医疗废物交由有资质单位进行处置。</w:t>
            </w:r>
          </w:p>
          <w:p w14:paraId="64A7E895">
            <w:pPr>
              <w:keepNext w:val="0"/>
              <w:keepLines w:val="0"/>
              <w:pageBreakBefore w:val="0"/>
              <w:widowControl w:val="0"/>
              <w:suppressLineNumbers w:val="0"/>
              <w:kinsoku/>
              <w:wordWrap/>
              <w:overflowPunct/>
              <w:topLinePunct w:val="0"/>
              <w:autoSpaceDE w:val="0"/>
              <w:autoSpaceDN w:val="0"/>
              <w:bidi w:val="0"/>
              <w:adjustRightInd/>
              <w:snapToGrid/>
              <w:spacing w:before="1" w:beforeAutospacing="0" w:after="0" w:afterAutospacing="0" w:line="440" w:lineRule="exact"/>
              <w:ind w:left="128" w:right="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5"/>
                <w:sz w:val="24"/>
                <w:szCs w:val="24"/>
                <w:highlight w:val="none"/>
              </w:rPr>
              <w:t>（</w:t>
            </w:r>
            <w:r>
              <w:rPr>
                <w:rFonts w:hint="default" w:ascii="Times New Roman" w:hAnsi="Times New Roman" w:eastAsia="Times New Roman" w:cs="Times New Roman"/>
                <w:b/>
                <w:bCs/>
                <w:color w:val="auto"/>
                <w:spacing w:val="-5"/>
                <w:sz w:val="24"/>
                <w:szCs w:val="24"/>
                <w:highlight w:val="none"/>
              </w:rPr>
              <w:t>4</w:t>
            </w:r>
            <w:r>
              <w:rPr>
                <w:rFonts w:hint="default" w:ascii="Times New Roman" w:hAnsi="Times New Roman" w:eastAsia="宋体" w:cs="Times New Roman"/>
                <w:b/>
                <w:bCs/>
                <w:color w:val="auto"/>
                <w:spacing w:val="-5"/>
                <w:sz w:val="24"/>
                <w:szCs w:val="24"/>
                <w:highlight w:val="none"/>
              </w:rPr>
              <w:t>）诊断规划</w:t>
            </w:r>
          </w:p>
          <w:p w14:paraId="182F5591">
            <w:pPr>
              <w:keepNext w:val="0"/>
              <w:keepLines w:val="0"/>
              <w:pageBreakBefore w:val="0"/>
              <w:widowControl w:val="0"/>
              <w:suppressLineNumbers w:val="0"/>
              <w:kinsoku/>
              <w:wordWrap/>
              <w:overflowPunct/>
              <w:topLinePunct w:val="0"/>
              <w:autoSpaceDE w:val="0"/>
              <w:autoSpaceDN w:val="0"/>
              <w:bidi w:val="0"/>
              <w:adjustRightInd/>
              <w:snapToGrid/>
              <w:spacing w:before="55" w:beforeAutospacing="0" w:after="0" w:afterAutospacing="0" w:line="440" w:lineRule="exact"/>
              <w:ind w:left="117" w:right="106" w:firstLine="488"/>
              <w:jc w:val="both"/>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pacing w:val="-1"/>
                <w:sz w:val="24"/>
                <w:szCs w:val="24"/>
                <w:highlight w:val="none"/>
                <w:lang w:eastAsia="zh-CN"/>
              </w:rPr>
              <w:t>Lu-177</w:t>
            </w:r>
            <w:r>
              <w:rPr>
                <w:rFonts w:hint="default" w:ascii="Times New Roman" w:hAnsi="Times New Roman" w:eastAsia="宋体" w:cs="Times New Roman"/>
                <w:color w:val="auto"/>
                <w:spacing w:val="-1"/>
                <w:sz w:val="24"/>
                <w:szCs w:val="24"/>
                <w:highlight w:val="none"/>
              </w:rPr>
              <w:t>核素治疗工作量：每日最大接诊量为</w:t>
            </w:r>
            <w:r>
              <w:rPr>
                <w:rFonts w:hint="default" w:ascii="Times New Roman" w:hAnsi="Times New Roman" w:eastAsia="宋体" w:cs="Times New Roman"/>
                <w:color w:val="auto"/>
                <w:spacing w:val="-1"/>
                <w:sz w:val="24"/>
                <w:szCs w:val="24"/>
                <w:highlight w:val="none"/>
                <w:lang w:val="en-US" w:eastAsia="zh-CN"/>
              </w:rPr>
              <w:t>1</w:t>
            </w:r>
            <w:r>
              <w:rPr>
                <w:rFonts w:hint="default" w:ascii="Times New Roman" w:hAnsi="Times New Roman" w:eastAsia="宋体" w:cs="Times New Roman"/>
                <w:color w:val="auto"/>
                <w:spacing w:val="-1"/>
                <w:sz w:val="24"/>
                <w:szCs w:val="24"/>
                <w:highlight w:val="none"/>
              </w:rPr>
              <w:t>人，全年250人次，每名患者最大注射量为</w:t>
            </w:r>
            <w:r>
              <w:rPr>
                <w:rFonts w:hint="default" w:ascii="Times New Roman" w:hAnsi="Times New Roman" w:eastAsia="宋体" w:cs="Times New Roman"/>
                <w:color w:val="auto"/>
                <w:spacing w:val="-1"/>
                <w:sz w:val="24"/>
                <w:szCs w:val="24"/>
                <w:highlight w:val="none"/>
                <w:lang w:val="en-US" w:eastAsia="zh-CN"/>
              </w:rPr>
              <w:t>1.11E+10Bq</w:t>
            </w:r>
            <w:r>
              <w:rPr>
                <w:rFonts w:hint="default" w:ascii="Times New Roman" w:hAnsi="Times New Roman" w:eastAsia="宋体" w:cs="Times New Roman"/>
                <w:color w:val="auto"/>
                <w:spacing w:val="-1"/>
                <w:sz w:val="24"/>
                <w:szCs w:val="24"/>
                <w:highlight w:val="none"/>
              </w:rPr>
              <w:t>（</w:t>
            </w:r>
            <w:r>
              <w:rPr>
                <w:rFonts w:hint="default" w:ascii="Times New Roman" w:hAnsi="Times New Roman" w:eastAsia="宋体" w:cs="Times New Roman"/>
                <w:color w:val="auto"/>
                <w:spacing w:val="-1"/>
                <w:sz w:val="24"/>
                <w:szCs w:val="24"/>
                <w:highlight w:val="none"/>
                <w:lang w:val="en-US" w:eastAsia="zh-CN"/>
              </w:rPr>
              <w:t>300</w:t>
            </w:r>
            <w:r>
              <w:rPr>
                <w:rFonts w:hint="default" w:ascii="Times New Roman" w:hAnsi="Times New Roman" w:eastAsia="宋体" w:cs="Times New Roman"/>
                <w:color w:val="auto"/>
                <w:spacing w:val="-1"/>
                <w:sz w:val="24"/>
                <w:szCs w:val="24"/>
                <w:highlight w:val="none"/>
              </w:rPr>
              <w:t>mCi）。本项目</w:t>
            </w:r>
            <w:r>
              <w:rPr>
                <w:rFonts w:hint="eastAsia" w:ascii="Times New Roman" w:hAnsi="Times New Roman" w:eastAsia="宋体" w:cs="Times New Roman"/>
                <w:color w:val="auto"/>
                <w:spacing w:val="-1"/>
                <w:sz w:val="24"/>
                <w:szCs w:val="24"/>
                <w:highlight w:val="none"/>
                <w:lang w:eastAsia="zh-CN"/>
              </w:rPr>
              <w:t>Lu-177</w:t>
            </w:r>
            <w:r>
              <w:rPr>
                <w:rFonts w:hint="default" w:ascii="Times New Roman" w:hAnsi="Times New Roman" w:eastAsia="宋体" w:cs="Times New Roman"/>
                <w:color w:val="auto"/>
                <w:spacing w:val="-1"/>
                <w:sz w:val="24"/>
                <w:szCs w:val="24"/>
                <w:highlight w:val="none"/>
              </w:rPr>
              <w:t>治疗用核素相关放射性属性见</w:t>
            </w:r>
            <w:r>
              <w:rPr>
                <w:rFonts w:hint="eastAsia" w:ascii="Times New Roman" w:hAnsi="Times New Roman" w:eastAsia="宋体" w:cs="Times New Roman"/>
                <w:color w:val="auto"/>
                <w:spacing w:val="-1"/>
                <w:sz w:val="24"/>
                <w:szCs w:val="24"/>
                <w:highlight w:val="none"/>
                <w:lang w:val="en-US" w:eastAsia="zh-CN"/>
              </w:rPr>
              <w:t>下表</w:t>
            </w:r>
            <w:r>
              <w:rPr>
                <w:rFonts w:hint="default" w:ascii="Times New Roman" w:hAnsi="Times New Roman" w:eastAsia="宋体" w:cs="Times New Roman"/>
                <w:color w:val="auto"/>
                <w:spacing w:val="-2"/>
                <w:sz w:val="24"/>
                <w:szCs w:val="24"/>
                <w:highlight w:val="none"/>
              </w:rPr>
              <w:t>。</w:t>
            </w:r>
          </w:p>
          <w:p w14:paraId="1F23D011">
            <w:pPr>
              <w:keepNext w:val="0"/>
              <w:keepLines w:val="0"/>
              <w:suppressLineNumbers w:val="0"/>
              <w:spacing w:before="1" w:beforeAutospacing="0" w:after="0" w:afterAutospacing="0" w:line="219" w:lineRule="auto"/>
              <w:ind w:left="2741" w:right="0"/>
              <w:jc w:val="both"/>
              <w:rPr>
                <w:rFonts w:hint="default" w:ascii="Times New Roman" w:hAnsi="Times New Roman" w:eastAsia="宋体" w:cs="Times New Roman"/>
                <w:color w:val="auto"/>
                <w:sz w:val="24"/>
                <w:szCs w:val="24"/>
                <w:highlight w:val="none"/>
              </w:rPr>
            </w:pPr>
            <w:r>
              <w:rPr>
                <w:rFonts w:hint="default" w:ascii="Times New Roman" w:hAnsi="Times New Roman" w:cs="Times New Roman"/>
                <w:b/>
                <w:bCs/>
                <w:color w:val="auto"/>
                <w:spacing w:val="-2"/>
                <w:sz w:val="24"/>
                <w:szCs w:val="24"/>
                <w:highlight w:val="none"/>
                <w:lang w:eastAsia="zh-CN"/>
              </w:rPr>
              <w:t>表</w:t>
            </w:r>
            <w:r>
              <w:rPr>
                <w:rFonts w:hint="default" w:ascii="Times New Roman" w:hAnsi="Times New Roman" w:eastAsia="Times New Roman" w:cs="Times New Roman"/>
                <w:b/>
                <w:bCs/>
                <w:color w:val="auto"/>
                <w:spacing w:val="-2"/>
                <w:sz w:val="24"/>
                <w:szCs w:val="24"/>
                <w:highlight w:val="none"/>
              </w:rPr>
              <w:t>9</w:t>
            </w:r>
            <w:r>
              <w:rPr>
                <w:rFonts w:hint="eastAsia" w:eastAsia="宋体" w:cs="Times New Roman"/>
                <w:b/>
                <w:bCs/>
                <w:color w:val="auto"/>
                <w:spacing w:val="-2"/>
                <w:sz w:val="24"/>
                <w:szCs w:val="24"/>
                <w:highlight w:val="none"/>
                <w:lang w:val="en-US" w:eastAsia="zh-CN"/>
              </w:rPr>
              <w:t>-1</w:t>
            </w:r>
            <w:r>
              <w:rPr>
                <w:rFonts w:hint="eastAsia" w:cs="Times New Roman"/>
                <w:b/>
                <w:bCs/>
                <w:color w:val="auto"/>
                <w:spacing w:val="-2"/>
                <w:sz w:val="24"/>
                <w:szCs w:val="24"/>
                <w:highlight w:val="none"/>
                <w:lang w:val="en-US" w:eastAsia="zh-CN"/>
              </w:rPr>
              <w:t>5</w:t>
            </w:r>
            <w:r>
              <w:rPr>
                <w:rFonts w:hint="eastAsia" w:eastAsia="宋体" w:cs="Times New Roman"/>
                <w:b/>
                <w:bCs/>
                <w:color w:val="auto"/>
                <w:spacing w:val="-2"/>
                <w:sz w:val="24"/>
                <w:szCs w:val="24"/>
                <w:highlight w:val="none"/>
                <w:lang w:val="en-US" w:eastAsia="zh-CN"/>
              </w:rPr>
              <w:t xml:space="preserve">  </w:t>
            </w:r>
            <w:r>
              <w:rPr>
                <w:rFonts w:hint="default" w:ascii="Times New Roman" w:hAnsi="Times New Roman" w:eastAsia="Times New Roman" w:cs="Times New Roman"/>
                <w:b/>
                <w:bCs/>
                <w:color w:val="auto"/>
                <w:spacing w:val="-2"/>
                <w:sz w:val="24"/>
                <w:szCs w:val="24"/>
                <w:highlight w:val="none"/>
              </w:rPr>
              <w:t xml:space="preserve"> </w:t>
            </w:r>
            <w:r>
              <w:rPr>
                <w:rFonts w:hint="eastAsia" w:ascii="Times New Roman" w:hAnsi="Times New Roman" w:eastAsia="宋体" w:cs="Times New Roman"/>
                <w:b/>
                <w:bCs/>
                <w:color w:val="auto"/>
                <w:spacing w:val="-2"/>
                <w:sz w:val="24"/>
                <w:szCs w:val="24"/>
                <w:highlight w:val="none"/>
                <w:lang w:eastAsia="zh-CN"/>
              </w:rPr>
              <w:t>Lu-177</w:t>
            </w:r>
            <w:r>
              <w:rPr>
                <w:rFonts w:hint="default" w:ascii="Times New Roman" w:hAnsi="Times New Roman" w:eastAsia="宋体" w:cs="Times New Roman"/>
                <w:b/>
                <w:bCs/>
                <w:color w:val="auto"/>
                <w:spacing w:val="-2"/>
                <w:sz w:val="24"/>
                <w:szCs w:val="24"/>
                <w:highlight w:val="none"/>
              </w:rPr>
              <w:t xml:space="preserve"> 治疗用核素相关放射性属性</w:t>
            </w:r>
          </w:p>
          <w:p w14:paraId="14616F31">
            <w:pPr>
              <w:keepNext w:val="0"/>
              <w:keepLines w:val="0"/>
              <w:suppressLineNumbers w:val="0"/>
              <w:spacing w:before="0" w:beforeAutospacing="0" w:after="0" w:afterAutospacing="0" w:line="147" w:lineRule="exact"/>
              <w:ind w:left="0" w:right="0"/>
              <w:jc w:val="both"/>
              <w:rPr>
                <w:rFonts w:hint="default" w:ascii="Times New Roman" w:hAnsi="Times New Roman" w:cs="Times New Roman"/>
                <w:color w:val="auto"/>
                <w:highlight w:val="none"/>
              </w:rPr>
            </w:pPr>
          </w:p>
          <w:tbl>
            <w:tblPr>
              <w:tblStyle w:val="30"/>
              <w:tblW w:w="8837" w:type="dxa"/>
              <w:tblInd w:w="97"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12"/>
              <w:gridCol w:w="826"/>
              <w:gridCol w:w="825"/>
              <w:gridCol w:w="1100"/>
              <w:gridCol w:w="1100"/>
              <w:gridCol w:w="1516"/>
              <w:gridCol w:w="2358"/>
            </w:tblGrid>
            <w:tr w14:paraId="1AC8CD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1112" w:type="dxa"/>
                  <w:tcBorders>
                    <w:tl2br w:val="nil"/>
                    <w:tr2bl w:val="nil"/>
                  </w:tcBorders>
                  <w:vAlign w:val="top"/>
                </w:tcPr>
                <w:p w14:paraId="58531536">
                  <w:pPr>
                    <w:keepNext w:val="0"/>
                    <w:keepLines w:val="0"/>
                    <w:suppressLineNumbers w:val="0"/>
                    <w:spacing w:before="169" w:beforeAutospacing="0" w:after="0" w:afterAutospacing="0" w:line="228" w:lineRule="auto"/>
                    <w:ind w:left="159"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5"/>
                      <w:sz w:val="20"/>
                      <w:szCs w:val="20"/>
                      <w:highlight w:val="none"/>
                    </w:rPr>
                    <w:t>核素名称</w:t>
                  </w:r>
                </w:p>
              </w:tc>
              <w:tc>
                <w:tcPr>
                  <w:tcW w:w="826" w:type="dxa"/>
                  <w:tcBorders>
                    <w:tl2br w:val="nil"/>
                    <w:tr2bl w:val="nil"/>
                  </w:tcBorders>
                  <w:vAlign w:val="top"/>
                </w:tcPr>
                <w:p w14:paraId="40974306">
                  <w:pPr>
                    <w:keepNext w:val="0"/>
                    <w:keepLines w:val="0"/>
                    <w:suppressLineNumbers w:val="0"/>
                    <w:spacing w:before="169" w:beforeAutospacing="0" w:after="0" w:afterAutospacing="0" w:line="228" w:lineRule="auto"/>
                    <w:ind w:left="217"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3"/>
                      <w:sz w:val="20"/>
                      <w:szCs w:val="20"/>
                      <w:highlight w:val="none"/>
                    </w:rPr>
                    <w:t>状态</w:t>
                  </w:r>
                </w:p>
              </w:tc>
              <w:tc>
                <w:tcPr>
                  <w:tcW w:w="825" w:type="dxa"/>
                  <w:tcBorders>
                    <w:tl2br w:val="nil"/>
                    <w:tr2bl w:val="nil"/>
                  </w:tcBorders>
                  <w:vAlign w:val="top"/>
                </w:tcPr>
                <w:p w14:paraId="6A9BE3AD">
                  <w:pPr>
                    <w:keepNext w:val="0"/>
                    <w:keepLines w:val="0"/>
                    <w:suppressLineNumbers w:val="0"/>
                    <w:spacing w:before="170" w:beforeAutospacing="0" w:after="0" w:afterAutospacing="0" w:line="228" w:lineRule="auto"/>
                    <w:ind w:left="116"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4"/>
                      <w:sz w:val="20"/>
                      <w:szCs w:val="20"/>
                      <w:highlight w:val="none"/>
                    </w:rPr>
                    <w:t>半衰期</w:t>
                  </w:r>
                </w:p>
              </w:tc>
              <w:tc>
                <w:tcPr>
                  <w:tcW w:w="1100" w:type="dxa"/>
                  <w:tcBorders>
                    <w:tl2br w:val="nil"/>
                    <w:tr2bl w:val="nil"/>
                  </w:tcBorders>
                  <w:vAlign w:val="top"/>
                </w:tcPr>
                <w:p w14:paraId="1BE74E0C">
                  <w:pPr>
                    <w:keepNext w:val="0"/>
                    <w:keepLines w:val="0"/>
                    <w:suppressLineNumbers w:val="0"/>
                    <w:spacing w:before="169" w:beforeAutospacing="0" w:after="0" w:afterAutospacing="0" w:line="228" w:lineRule="auto"/>
                    <w:ind w:left="150"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毒性组别</w:t>
                  </w:r>
                </w:p>
              </w:tc>
              <w:tc>
                <w:tcPr>
                  <w:tcW w:w="1100" w:type="dxa"/>
                  <w:tcBorders>
                    <w:tl2br w:val="nil"/>
                    <w:tr2bl w:val="nil"/>
                  </w:tcBorders>
                  <w:vAlign w:val="top"/>
                </w:tcPr>
                <w:p w14:paraId="52505096">
                  <w:pPr>
                    <w:keepNext w:val="0"/>
                    <w:keepLines w:val="0"/>
                    <w:suppressLineNumbers w:val="0"/>
                    <w:spacing w:before="170" w:beforeAutospacing="0" w:after="0" w:afterAutospacing="0" w:line="228" w:lineRule="auto"/>
                    <w:ind w:left="151"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衰变方式</w:t>
                  </w:r>
                </w:p>
              </w:tc>
              <w:tc>
                <w:tcPr>
                  <w:tcW w:w="1516" w:type="dxa"/>
                  <w:tcBorders>
                    <w:tl2br w:val="nil"/>
                    <w:tr2bl w:val="nil"/>
                  </w:tcBorders>
                  <w:vAlign w:val="top"/>
                </w:tcPr>
                <w:p w14:paraId="76A2FFBB">
                  <w:pPr>
                    <w:keepNext w:val="0"/>
                    <w:keepLines w:val="0"/>
                    <w:suppressLineNumbers w:val="0"/>
                    <w:spacing w:before="36" w:beforeAutospacing="0" w:after="0" w:afterAutospacing="0" w:line="233" w:lineRule="auto"/>
                    <w:ind w:left="248" w:right="147" w:hanging="91"/>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主要射线和能</w:t>
                  </w:r>
                  <w:r>
                    <w:rPr>
                      <w:rFonts w:hint="default" w:ascii="Times New Roman" w:hAnsi="Times New Roman" w:eastAsia="宋体" w:cs="Times New Roman"/>
                      <w:b/>
                      <w:bCs/>
                      <w:color w:val="auto"/>
                      <w:spacing w:val="8"/>
                      <w:sz w:val="20"/>
                      <w:szCs w:val="20"/>
                      <w:highlight w:val="none"/>
                    </w:rPr>
                    <w:t>（</w:t>
                  </w:r>
                  <w:r>
                    <w:rPr>
                      <w:rFonts w:hint="default" w:ascii="Times New Roman" w:hAnsi="Times New Roman" w:eastAsia="Times New Roman" w:cs="Times New Roman"/>
                      <w:b/>
                      <w:bCs/>
                      <w:color w:val="auto"/>
                      <w:sz w:val="20"/>
                      <w:szCs w:val="20"/>
                      <w:highlight w:val="none"/>
                    </w:rPr>
                    <w:t>MeV</w:t>
                  </w:r>
                  <w:r>
                    <w:rPr>
                      <w:rFonts w:hint="default" w:ascii="Times New Roman" w:hAnsi="Times New Roman" w:eastAsia="宋体" w:cs="Times New Roman"/>
                      <w:b/>
                      <w:bCs/>
                      <w:color w:val="auto"/>
                      <w:spacing w:val="8"/>
                      <w:sz w:val="20"/>
                      <w:szCs w:val="20"/>
                      <w:highlight w:val="none"/>
                    </w:rPr>
                    <w:t>）</w:t>
                  </w:r>
                </w:p>
              </w:tc>
              <w:tc>
                <w:tcPr>
                  <w:tcW w:w="2358" w:type="dxa"/>
                  <w:tcBorders>
                    <w:tl2br w:val="nil"/>
                    <w:tr2bl w:val="nil"/>
                  </w:tcBorders>
                  <w:vAlign w:val="top"/>
                </w:tcPr>
                <w:p w14:paraId="6E98009B">
                  <w:pPr>
                    <w:keepNext w:val="0"/>
                    <w:keepLines w:val="0"/>
                    <w:suppressLineNumbers w:val="0"/>
                    <w:spacing w:before="36" w:beforeAutospacing="0" w:after="0" w:afterAutospacing="0" w:line="233" w:lineRule="auto"/>
                    <w:ind w:left="230" w:right="131" w:firstLine="47"/>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空气比释动能率常数</w:t>
                  </w:r>
                  <w:r>
                    <w:rPr>
                      <w:rFonts w:hint="default" w:ascii="Times New Roman" w:hAnsi="Times New Roman" w:eastAsia="宋体" w:cs="Times New Roman"/>
                      <w:b/>
                      <w:bCs/>
                      <w:color w:val="auto"/>
                      <w:spacing w:val="-2"/>
                      <w:sz w:val="20"/>
                      <w:szCs w:val="20"/>
                      <w:highlight w:val="none"/>
                    </w:rPr>
                    <w:t>(</w:t>
                  </w:r>
                  <w:r>
                    <w:rPr>
                      <w:rFonts w:hint="default" w:ascii="Times New Roman" w:hAnsi="Times New Roman" w:eastAsia="Times New Roman" w:cs="Times New Roman"/>
                      <w:b/>
                      <w:bCs/>
                      <w:color w:val="auto"/>
                      <w:spacing w:val="-2"/>
                      <w:sz w:val="20"/>
                      <w:szCs w:val="20"/>
                      <w:highlight w:val="none"/>
                    </w:rPr>
                    <w:t>μGy·m</w:t>
                  </w:r>
                  <w:r>
                    <w:rPr>
                      <w:rFonts w:hint="default" w:ascii="Times New Roman" w:hAnsi="Times New Roman" w:eastAsia="Times New Roman" w:cs="Times New Roman"/>
                      <w:b/>
                      <w:bCs/>
                      <w:color w:val="auto"/>
                      <w:spacing w:val="-2"/>
                      <w:position w:val="6"/>
                      <w:sz w:val="13"/>
                      <w:szCs w:val="13"/>
                      <w:highlight w:val="none"/>
                    </w:rPr>
                    <w:t>2</w:t>
                  </w:r>
                  <w:r>
                    <w:rPr>
                      <w:rFonts w:hint="default" w:ascii="Times New Roman" w:hAnsi="Times New Roman" w:eastAsia="Times New Roman" w:cs="Times New Roman"/>
                      <w:b/>
                      <w:bCs/>
                      <w:color w:val="auto"/>
                      <w:spacing w:val="-2"/>
                      <w:sz w:val="20"/>
                      <w:szCs w:val="20"/>
                      <w:highlight w:val="none"/>
                    </w:rPr>
                    <w:t>·MBq</w:t>
                  </w:r>
                  <w:r>
                    <w:rPr>
                      <w:rFonts w:hint="default" w:ascii="Times New Roman" w:hAnsi="Times New Roman" w:eastAsia="Times New Roman" w:cs="Times New Roman"/>
                      <w:b/>
                      <w:bCs/>
                      <w:color w:val="auto"/>
                      <w:spacing w:val="-2"/>
                      <w:position w:val="6"/>
                      <w:sz w:val="13"/>
                      <w:szCs w:val="13"/>
                      <w:highlight w:val="none"/>
                    </w:rPr>
                    <w:t>-1</w:t>
                  </w:r>
                  <w:r>
                    <w:rPr>
                      <w:rFonts w:hint="default" w:ascii="Times New Roman" w:hAnsi="Times New Roman" w:eastAsia="宋体" w:cs="Times New Roman"/>
                      <w:b/>
                      <w:bCs/>
                      <w:color w:val="auto"/>
                      <w:spacing w:val="-2"/>
                      <w:sz w:val="20"/>
                      <w:szCs w:val="20"/>
                      <w:highlight w:val="none"/>
                    </w:rPr>
                    <w:t>·</w:t>
                  </w:r>
                  <w:r>
                    <w:rPr>
                      <w:rFonts w:hint="default" w:ascii="Times New Roman" w:hAnsi="Times New Roman" w:eastAsia="Times New Roman" w:cs="Times New Roman"/>
                      <w:b/>
                      <w:bCs/>
                      <w:color w:val="auto"/>
                      <w:spacing w:val="-2"/>
                      <w:sz w:val="20"/>
                      <w:szCs w:val="20"/>
                      <w:highlight w:val="none"/>
                    </w:rPr>
                    <w:t>h</w:t>
                  </w:r>
                  <w:r>
                    <w:rPr>
                      <w:rFonts w:hint="default" w:ascii="Times New Roman" w:hAnsi="Times New Roman" w:eastAsia="Times New Roman" w:cs="Times New Roman"/>
                      <w:b/>
                      <w:bCs/>
                      <w:color w:val="auto"/>
                      <w:spacing w:val="-2"/>
                      <w:position w:val="6"/>
                      <w:sz w:val="13"/>
                      <w:szCs w:val="13"/>
                      <w:highlight w:val="none"/>
                    </w:rPr>
                    <w:t>-1</w:t>
                  </w:r>
                  <w:r>
                    <w:rPr>
                      <w:rFonts w:hint="default" w:ascii="Times New Roman" w:hAnsi="Times New Roman" w:eastAsia="宋体" w:cs="Times New Roman"/>
                      <w:b/>
                      <w:bCs/>
                      <w:color w:val="auto"/>
                      <w:spacing w:val="-2"/>
                      <w:sz w:val="20"/>
                      <w:szCs w:val="20"/>
                      <w:highlight w:val="none"/>
                    </w:rPr>
                    <w:t>）</w:t>
                  </w:r>
                </w:p>
              </w:tc>
            </w:tr>
            <w:tr w14:paraId="078A82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12" w:type="dxa"/>
                  <w:tcBorders>
                    <w:tl2br w:val="nil"/>
                    <w:tr2bl w:val="nil"/>
                  </w:tcBorders>
                  <w:vAlign w:val="top"/>
                </w:tcPr>
                <w:p w14:paraId="579E0BA2">
                  <w:pPr>
                    <w:keepNext w:val="0"/>
                    <w:keepLines w:val="0"/>
                    <w:suppressLineNumbers w:val="0"/>
                    <w:spacing w:before="140" w:beforeAutospacing="0" w:after="0" w:afterAutospacing="0" w:line="228" w:lineRule="auto"/>
                    <w:ind w:left="219" w:right="0"/>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pacing w:val="3"/>
                      <w:sz w:val="20"/>
                      <w:szCs w:val="20"/>
                      <w:highlight w:val="none"/>
                      <w:lang w:eastAsia="zh-CN"/>
                    </w:rPr>
                    <w:t>Lu-177</w:t>
                  </w:r>
                </w:p>
              </w:tc>
              <w:tc>
                <w:tcPr>
                  <w:tcW w:w="826" w:type="dxa"/>
                  <w:tcBorders>
                    <w:tl2br w:val="nil"/>
                    <w:tr2bl w:val="nil"/>
                  </w:tcBorders>
                  <w:vAlign w:val="top"/>
                </w:tcPr>
                <w:p w14:paraId="6BD4315F">
                  <w:pPr>
                    <w:keepNext w:val="0"/>
                    <w:keepLines w:val="0"/>
                    <w:suppressLineNumbers w:val="0"/>
                    <w:spacing w:before="140" w:beforeAutospacing="0" w:after="0" w:afterAutospacing="0" w:line="228" w:lineRule="auto"/>
                    <w:ind w:left="219"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3"/>
                      <w:sz w:val="20"/>
                      <w:szCs w:val="20"/>
                      <w:highlight w:val="none"/>
                    </w:rPr>
                    <w:t>液态</w:t>
                  </w:r>
                </w:p>
              </w:tc>
              <w:tc>
                <w:tcPr>
                  <w:tcW w:w="825" w:type="dxa"/>
                  <w:tcBorders>
                    <w:tl2br w:val="nil"/>
                    <w:tr2bl w:val="nil"/>
                  </w:tcBorders>
                  <w:vAlign w:val="top"/>
                </w:tcPr>
                <w:p w14:paraId="18E4BA15">
                  <w:pPr>
                    <w:keepNext w:val="0"/>
                    <w:keepLines w:val="0"/>
                    <w:suppressLineNumbers w:val="0"/>
                    <w:spacing w:before="171" w:beforeAutospacing="0" w:after="0" w:afterAutospacing="0" w:line="199" w:lineRule="auto"/>
                    <w:ind w:left="193" w:right="0"/>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color w:val="auto"/>
                      <w:spacing w:val="2"/>
                      <w:sz w:val="20"/>
                      <w:szCs w:val="20"/>
                      <w:highlight w:val="none"/>
                    </w:rPr>
                    <w:t>6.73d</w:t>
                  </w:r>
                </w:p>
              </w:tc>
              <w:tc>
                <w:tcPr>
                  <w:tcW w:w="1100" w:type="dxa"/>
                  <w:tcBorders>
                    <w:tl2br w:val="nil"/>
                    <w:tr2bl w:val="nil"/>
                  </w:tcBorders>
                  <w:vAlign w:val="top"/>
                </w:tcPr>
                <w:p w14:paraId="3AC8AF69">
                  <w:pPr>
                    <w:keepNext w:val="0"/>
                    <w:keepLines w:val="0"/>
                    <w:suppressLineNumbers w:val="0"/>
                    <w:spacing w:before="139" w:beforeAutospacing="0" w:after="0" w:afterAutospacing="0" w:line="228" w:lineRule="auto"/>
                    <w:ind w:left="379"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5"/>
                      <w:sz w:val="20"/>
                      <w:szCs w:val="20"/>
                      <w:highlight w:val="none"/>
                    </w:rPr>
                    <w:t>中毒</w:t>
                  </w:r>
                </w:p>
              </w:tc>
              <w:tc>
                <w:tcPr>
                  <w:tcW w:w="1100" w:type="dxa"/>
                  <w:tcBorders>
                    <w:tl2br w:val="nil"/>
                    <w:tr2bl w:val="nil"/>
                  </w:tcBorders>
                  <w:vAlign w:val="top"/>
                </w:tcPr>
                <w:p w14:paraId="1C83FBE8">
                  <w:pPr>
                    <w:keepNext w:val="0"/>
                    <w:keepLines w:val="0"/>
                    <w:suppressLineNumbers w:val="0"/>
                    <w:spacing w:before="172" w:beforeAutospacing="0" w:after="0" w:afterAutospacing="0" w:line="200" w:lineRule="auto"/>
                    <w:ind w:left="499" w:right="0"/>
                    <w:rPr>
                      <w:rFonts w:hint="default" w:ascii="Times New Roman" w:hAnsi="Times New Roman" w:eastAsia="Times New Roman" w:cs="Times New Roman"/>
                      <w:color w:val="auto"/>
                      <w:sz w:val="13"/>
                      <w:szCs w:val="13"/>
                      <w:highlight w:val="none"/>
                    </w:rPr>
                  </w:pPr>
                  <w:r>
                    <w:rPr>
                      <w:rFonts w:hint="default" w:ascii="Times New Roman" w:hAnsi="Times New Roman" w:eastAsia="Times New Roman" w:cs="Times New Roman"/>
                      <w:color w:val="auto"/>
                      <w:spacing w:val="-1"/>
                      <w:sz w:val="20"/>
                      <w:szCs w:val="20"/>
                      <w:highlight w:val="none"/>
                    </w:rPr>
                    <w:t>β</w:t>
                  </w:r>
                  <w:r>
                    <w:rPr>
                      <w:rFonts w:hint="default" w:ascii="Times New Roman" w:hAnsi="Times New Roman" w:eastAsia="Times New Roman" w:cs="Times New Roman"/>
                      <w:color w:val="auto"/>
                      <w:spacing w:val="-1"/>
                      <w:position w:val="6"/>
                      <w:sz w:val="13"/>
                      <w:szCs w:val="13"/>
                      <w:highlight w:val="none"/>
                    </w:rPr>
                    <w:t>-</w:t>
                  </w:r>
                </w:p>
              </w:tc>
              <w:tc>
                <w:tcPr>
                  <w:tcW w:w="1516" w:type="dxa"/>
                  <w:tcBorders>
                    <w:tl2br w:val="nil"/>
                    <w:tr2bl w:val="nil"/>
                  </w:tcBorders>
                  <w:vAlign w:val="top"/>
                </w:tcPr>
                <w:p w14:paraId="09B61431">
                  <w:pPr>
                    <w:keepNext w:val="0"/>
                    <w:keepLines w:val="0"/>
                    <w:suppressLineNumbers w:val="0"/>
                    <w:spacing w:before="139" w:beforeAutospacing="0" w:after="0" w:afterAutospacing="0" w:line="221" w:lineRule="auto"/>
                    <w:ind w:left="211" w:right="0"/>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color w:val="auto"/>
                      <w:spacing w:val="3"/>
                      <w:sz w:val="20"/>
                      <w:szCs w:val="20"/>
                      <w:highlight w:val="none"/>
                    </w:rPr>
                    <w:t>β</w:t>
                  </w:r>
                  <w:r>
                    <w:rPr>
                      <w:rFonts w:hint="default" w:ascii="Times New Roman" w:hAnsi="Times New Roman" w:eastAsia="宋体" w:cs="Times New Roman"/>
                      <w:color w:val="auto"/>
                      <w:spacing w:val="3"/>
                      <w:sz w:val="20"/>
                      <w:szCs w:val="20"/>
                      <w:highlight w:val="none"/>
                    </w:rPr>
                    <w:t>射线</w:t>
                  </w:r>
                  <w:r>
                    <w:rPr>
                      <w:rFonts w:hint="default" w:ascii="Times New Roman" w:hAnsi="Times New Roman" w:eastAsia="Times New Roman" w:cs="Times New Roman"/>
                      <w:color w:val="auto"/>
                      <w:spacing w:val="3"/>
                      <w:sz w:val="20"/>
                      <w:szCs w:val="20"/>
                      <w:highlight w:val="none"/>
                    </w:rPr>
                    <w:t>0.2058</w:t>
                  </w:r>
                </w:p>
              </w:tc>
              <w:tc>
                <w:tcPr>
                  <w:tcW w:w="2358" w:type="dxa"/>
                  <w:tcBorders>
                    <w:tl2br w:val="nil"/>
                    <w:tr2bl w:val="nil"/>
                  </w:tcBorders>
                  <w:vAlign w:val="top"/>
                </w:tcPr>
                <w:p w14:paraId="304DEB3A">
                  <w:pPr>
                    <w:keepNext w:val="0"/>
                    <w:keepLines w:val="0"/>
                    <w:suppressLineNumbers w:val="0"/>
                    <w:spacing w:before="238" w:beforeAutospacing="0" w:after="0" w:afterAutospacing="0" w:line="136" w:lineRule="exact"/>
                    <w:ind w:left="1114"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2"/>
                      <w:position w:val="-3"/>
                      <w:sz w:val="20"/>
                      <w:szCs w:val="20"/>
                      <w:highlight w:val="none"/>
                    </w:rPr>
                    <w:t>—</w:t>
                  </w:r>
                </w:p>
              </w:tc>
            </w:tr>
          </w:tbl>
          <w:p w14:paraId="75E611A1">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vertAlign w:val="baseline"/>
                <w:lang w:val="en-US" w:eastAsia="zh-CN"/>
              </w:rPr>
              <w:t xml:space="preserve">9.1.3.3  </w:t>
            </w:r>
            <w:r>
              <w:rPr>
                <w:rFonts w:hint="eastAsia" w:cs="Times New Roman"/>
                <w:b/>
                <w:bCs/>
                <w:color w:val="auto"/>
                <w:highlight w:val="none"/>
                <w:vertAlign w:val="baseline"/>
                <w:lang w:val="en-US" w:eastAsia="zh-CN"/>
              </w:rPr>
              <w:t>Ra-223</w:t>
            </w:r>
            <w:r>
              <w:rPr>
                <w:rFonts w:hint="default" w:ascii="Times New Roman" w:hAnsi="Times New Roman" w:cs="Times New Roman"/>
                <w:b/>
                <w:bCs/>
                <w:color w:val="auto"/>
                <w:highlight w:val="none"/>
                <w:lang w:val="en-US" w:eastAsia="zh-CN"/>
              </w:rPr>
              <w:t>、</w:t>
            </w:r>
            <w:r>
              <w:rPr>
                <w:rFonts w:hint="eastAsia" w:cs="Times New Roman"/>
                <w:b/>
                <w:bCs/>
                <w:color w:val="auto"/>
                <w:highlight w:val="none"/>
                <w:vertAlign w:val="baseline"/>
                <w:lang w:val="en-US" w:eastAsia="zh-CN"/>
              </w:rPr>
              <w:t>Ac-225</w:t>
            </w:r>
            <w:r>
              <w:rPr>
                <w:rFonts w:hint="default" w:ascii="Times New Roman" w:hAnsi="Times New Roman" w:cs="Times New Roman"/>
                <w:b/>
                <w:bCs/>
                <w:color w:val="auto"/>
                <w:highlight w:val="none"/>
                <w:lang w:val="en-US" w:eastAsia="zh-CN"/>
              </w:rPr>
              <w:t xml:space="preserve"> 核素治疗</w:t>
            </w:r>
          </w:p>
          <w:p w14:paraId="33191026">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val="0"/>
                <w:bCs w:val="0"/>
                <w:i w:val="0"/>
                <w:iCs w:val="0"/>
                <w:strike w:val="0"/>
                <w:color w:val="auto"/>
                <w:sz w:val="24"/>
                <w:szCs w:val="24"/>
                <w:highlight w:val="none"/>
                <w:vertAlign w:val="baseline"/>
                <w:lang w:val="en-US" w:eastAsia="zh-CN"/>
              </w:rPr>
            </w:pP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医院前期已取得Ra-223的许可，本次新增Ra-223的使用量，新增Ac-225的使用。</w:t>
            </w:r>
          </w:p>
          <w:p w14:paraId="73322605">
            <w:pPr>
              <w:pStyle w:val="43"/>
              <w:keepNext w:val="0"/>
              <w:keepLines w:val="0"/>
              <w:suppressLineNumbers w:val="0"/>
              <w:spacing w:before="78" w:beforeAutospacing="0" w:after="0" w:afterAutospacing="0" w:line="220" w:lineRule="auto"/>
              <w:ind w:left="115" w:right="0" w:firstLine="472" w:firstLineChars="200"/>
              <w:jc w:val="center"/>
              <w:rPr>
                <w:rFonts w:hint="default" w:ascii="Times New Roman" w:hAnsi="Times New Roman" w:eastAsia="Times New Roman" w:cs="Times New Roman"/>
                <w:b/>
                <w:bCs/>
                <w:color w:val="auto"/>
                <w:spacing w:val="-2"/>
                <w:highlight w:val="none"/>
                <w:lang w:val="en-US"/>
              </w:rPr>
            </w:pPr>
            <w:r>
              <w:rPr>
                <w:rFonts w:hint="default" w:ascii="Times New Roman" w:hAnsi="Times New Roman" w:eastAsia="Times New Roman" w:cs="Times New Roman"/>
                <w:b/>
                <w:bCs/>
                <w:color w:val="auto"/>
                <w:spacing w:val="-2"/>
                <w:highlight w:val="none"/>
                <w:lang w:val="en-US" w:eastAsia="zh-CN"/>
              </w:rPr>
              <w:t>表9-</w:t>
            </w:r>
            <w:r>
              <w:rPr>
                <w:rFonts w:hint="eastAsia" w:ascii="Times New Roman" w:hAnsi="Times New Roman" w:eastAsia="Times New Roman" w:cs="Times New Roman"/>
                <w:b/>
                <w:bCs/>
                <w:color w:val="auto"/>
                <w:spacing w:val="-2"/>
                <w:highlight w:val="none"/>
                <w:lang w:val="en-US" w:eastAsia="zh-CN"/>
              </w:rPr>
              <w:t>16</w:t>
            </w:r>
            <w:r>
              <w:rPr>
                <w:rFonts w:hint="default" w:ascii="Times New Roman" w:hAnsi="Times New Roman" w:eastAsia="Times New Roman" w:cs="Times New Roman"/>
                <w:b/>
                <w:bCs/>
                <w:color w:val="auto"/>
                <w:spacing w:val="-2"/>
                <w:highlight w:val="none"/>
                <w:lang w:val="en-US" w:eastAsia="zh-CN"/>
              </w:rPr>
              <w:t xml:space="preserve">   核素治疗</w:t>
            </w:r>
            <w:r>
              <w:rPr>
                <w:rFonts w:hint="default" w:ascii="Times New Roman" w:hAnsi="Times New Roman" w:eastAsia="Times New Roman" w:cs="Times New Roman"/>
                <w:b/>
                <w:bCs/>
                <w:color w:val="auto"/>
                <w:spacing w:val="-2"/>
                <w:highlight w:val="none"/>
                <w:vertAlign w:val="baseline"/>
                <w:lang w:val="en-US" w:eastAsia="zh-CN"/>
              </w:rPr>
              <w:t>Ra-223</w:t>
            </w:r>
            <w:r>
              <w:rPr>
                <w:rFonts w:hint="default" w:ascii="Times New Roman" w:hAnsi="Times New Roman" w:eastAsia="Times New Roman" w:cs="Times New Roman"/>
                <w:b/>
                <w:bCs/>
                <w:color w:val="auto"/>
                <w:spacing w:val="-2"/>
                <w:highlight w:val="none"/>
                <w:lang w:val="en-US" w:eastAsia="zh-CN"/>
              </w:rPr>
              <w:t>、</w:t>
            </w:r>
            <w:r>
              <w:rPr>
                <w:rFonts w:hint="default" w:ascii="Times New Roman" w:hAnsi="Times New Roman" w:eastAsia="Times New Roman" w:cs="Times New Roman"/>
                <w:b/>
                <w:bCs/>
                <w:color w:val="auto"/>
                <w:spacing w:val="-2"/>
                <w:highlight w:val="none"/>
                <w:vertAlign w:val="baseline"/>
                <w:lang w:val="en-US" w:eastAsia="zh-CN"/>
              </w:rPr>
              <w:t>Ac-225</w:t>
            </w:r>
            <w:r>
              <w:rPr>
                <w:rFonts w:hint="default" w:ascii="Times New Roman" w:hAnsi="Times New Roman" w:eastAsia="Times New Roman" w:cs="Times New Roman"/>
                <w:b/>
                <w:bCs/>
                <w:color w:val="auto"/>
                <w:spacing w:val="-2"/>
                <w:highlight w:val="none"/>
                <w:lang w:val="en-US" w:eastAsia="zh-CN"/>
              </w:rPr>
              <w:t>使用情况</w:t>
            </w:r>
          </w:p>
          <w:tbl>
            <w:tblPr>
              <w:tblStyle w:val="30"/>
              <w:tblW w:w="9068" w:type="dxa"/>
              <w:tblInd w:w="5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75"/>
              <w:gridCol w:w="1314"/>
              <w:gridCol w:w="1903"/>
              <w:gridCol w:w="1366"/>
              <w:gridCol w:w="1078"/>
              <w:gridCol w:w="1263"/>
              <w:gridCol w:w="1169"/>
            </w:tblGrid>
            <w:tr w14:paraId="4D215D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tcBorders>
                    <w:tl2br w:val="nil"/>
                    <w:tr2bl w:val="nil"/>
                  </w:tcBorders>
                  <w:vAlign w:val="center"/>
                </w:tcPr>
                <w:p w14:paraId="2E5B19A5">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工作场所</w:t>
                  </w:r>
                </w:p>
              </w:tc>
              <w:tc>
                <w:tcPr>
                  <w:tcW w:w="1314" w:type="dxa"/>
                  <w:tcBorders>
                    <w:tl2br w:val="nil"/>
                    <w:tr2bl w:val="nil"/>
                  </w:tcBorders>
                  <w:vAlign w:val="center"/>
                </w:tcPr>
                <w:p w14:paraId="04D2F690">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核素</w:t>
                  </w:r>
                </w:p>
              </w:tc>
              <w:tc>
                <w:tcPr>
                  <w:tcW w:w="1903" w:type="dxa"/>
                  <w:tcBorders>
                    <w:tl2br w:val="nil"/>
                    <w:tr2bl w:val="nil"/>
                  </w:tcBorders>
                  <w:vAlign w:val="center"/>
                </w:tcPr>
                <w:p w14:paraId="6CF1014E">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单人最大用药量</w:t>
                  </w:r>
                </w:p>
                <w:p w14:paraId="27BA2807">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（Bq/人·次）</w:t>
                  </w:r>
                </w:p>
              </w:tc>
              <w:tc>
                <w:tcPr>
                  <w:tcW w:w="1366" w:type="dxa"/>
                  <w:tcBorders>
                    <w:tl2br w:val="nil"/>
                    <w:tr2bl w:val="nil"/>
                  </w:tcBorders>
                  <w:vAlign w:val="center"/>
                </w:tcPr>
                <w:p w14:paraId="101AECAA">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日最大</w:t>
                  </w:r>
                  <w:r>
                    <w:rPr>
                      <w:rFonts w:hint="default" w:ascii="Times New Roman" w:hAnsi="Times New Roman" w:cs="Times New Roman"/>
                      <w:color w:val="auto"/>
                      <w:kern w:val="0"/>
                      <w:sz w:val="18"/>
                      <w:szCs w:val="20"/>
                      <w:highlight w:val="none"/>
                      <w:lang w:val="en-US" w:eastAsia="zh-CN"/>
                    </w:rPr>
                    <w:t>治疗</w:t>
                  </w:r>
                  <w:r>
                    <w:rPr>
                      <w:rFonts w:hint="default" w:ascii="Times New Roman" w:hAnsi="Times New Roman" w:eastAsia="宋体" w:cs="Times New Roman"/>
                      <w:color w:val="auto"/>
                      <w:kern w:val="0"/>
                      <w:sz w:val="18"/>
                      <w:szCs w:val="20"/>
                      <w:highlight w:val="none"/>
                      <w:lang w:val="en-US" w:eastAsia="en-US"/>
                    </w:rPr>
                    <w:t>量（人次）</w:t>
                  </w:r>
                </w:p>
              </w:tc>
              <w:tc>
                <w:tcPr>
                  <w:tcW w:w="1078" w:type="dxa"/>
                  <w:tcBorders>
                    <w:tl2br w:val="nil"/>
                    <w:tr2bl w:val="nil"/>
                  </w:tcBorders>
                  <w:vAlign w:val="center"/>
                </w:tcPr>
                <w:p w14:paraId="6E279AA2">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年工作时间（天）</w:t>
                  </w:r>
                </w:p>
              </w:tc>
              <w:tc>
                <w:tcPr>
                  <w:tcW w:w="1263" w:type="dxa"/>
                  <w:tcBorders>
                    <w:tl2br w:val="nil"/>
                    <w:tr2bl w:val="nil"/>
                  </w:tcBorders>
                  <w:vAlign w:val="center"/>
                </w:tcPr>
                <w:p w14:paraId="26AC7DB9">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日最大操作量</w:t>
                  </w:r>
                </w:p>
                <w:p w14:paraId="0ECD6999">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（Bq）</w:t>
                  </w:r>
                </w:p>
              </w:tc>
              <w:tc>
                <w:tcPr>
                  <w:tcW w:w="1169" w:type="dxa"/>
                  <w:tcBorders>
                    <w:tl2br w:val="nil"/>
                    <w:tr2bl w:val="nil"/>
                  </w:tcBorders>
                  <w:vAlign w:val="center"/>
                </w:tcPr>
                <w:p w14:paraId="52464DC8">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en-US"/>
                    </w:rPr>
                  </w:pPr>
                  <w:r>
                    <w:rPr>
                      <w:rFonts w:hint="default" w:ascii="Times New Roman" w:hAnsi="Times New Roman" w:eastAsia="宋体" w:cs="Times New Roman"/>
                      <w:color w:val="auto"/>
                      <w:kern w:val="0"/>
                      <w:sz w:val="18"/>
                      <w:szCs w:val="20"/>
                      <w:highlight w:val="none"/>
                      <w:lang w:val="en-US" w:eastAsia="en-US"/>
                    </w:rPr>
                    <w:t>年最大使用量（Bq）</w:t>
                  </w:r>
                </w:p>
              </w:tc>
            </w:tr>
            <w:tr w14:paraId="104048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vMerge w:val="restart"/>
                  <w:tcBorders>
                    <w:tl2br w:val="nil"/>
                    <w:tr2bl w:val="nil"/>
                  </w:tcBorders>
                  <w:vAlign w:val="center"/>
                </w:tcPr>
                <w:p w14:paraId="56937E5A">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20"/>
                      <w:highlight w:val="none"/>
                      <w:lang w:val="en-US" w:eastAsia="zh-CN"/>
                    </w:rPr>
                  </w:pPr>
                  <w:r>
                    <w:rPr>
                      <w:rFonts w:hint="default" w:ascii="Times New Roman" w:hAnsi="Times New Roman" w:cs="Times New Roman"/>
                      <w:color w:val="auto"/>
                      <w:kern w:val="0"/>
                      <w:sz w:val="18"/>
                      <w:szCs w:val="20"/>
                      <w:highlight w:val="none"/>
                      <w:lang w:val="en-US" w:eastAsia="zh-CN"/>
                    </w:rPr>
                    <w:t>核素治疗区</w:t>
                  </w:r>
                </w:p>
              </w:tc>
              <w:tc>
                <w:tcPr>
                  <w:tcW w:w="1314" w:type="dxa"/>
                  <w:tcBorders>
                    <w:tl2br w:val="nil"/>
                    <w:tr2bl w:val="nil"/>
                  </w:tcBorders>
                  <w:shd w:val="clear" w:color="auto" w:fill="auto"/>
                  <w:vAlign w:val="center"/>
                </w:tcPr>
                <w:p w14:paraId="325CAB23">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vertAlign w:val="baseline"/>
                      <w:lang w:val="en-US" w:eastAsia="en-US"/>
                    </w:rPr>
                    <w:t>Ra-223</w:t>
                  </w:r>
                  <w:r>
                    <w:rPr>
                      <w:rFonts w:hint="default" w:ascii="Times New Roman" w:hAnsi="Times New Roman" w:eastAsia="宋体" w:cs="Times New Roman"/>
                      <w:color w:val="auto"/>
                      <w:kern w:val="0"/>
                      <w:sz w:val="20"/>
                      <w:szCs w:val="21"/>
                      <w:highlight w:val="none"/>
                      <w:lang w:val="en-US" w:eastAsia="en-US"/>
                    </w:rPr>
                    <w:t>、</w:t>
                  </w:r>
                </w:p>
              </w:tc>
              <w:tc>
                <w:tcPr>
                  <w:tcW w:w="1903" w:type="dxa"/>
                  <w:tcBorders>
                    <w:tl2br w:val="nil"/>
                    <w:tr2bl w:val="nil"/>
                  </w:tcBorders>
                  <w:vAlign w:val="center"/>
                </w:tcPr>
                <w:p w14:paraId="6E96FDB3">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5.50E+06 Bq（0.15mCi）</w:t>
                  </w:r>
                </w:p>
              </w:tc>
              <w:tc>
                <w:tcPr>
                  <w:tcW w:w="1366" w:type="dxa"/>
                  <w:tcBorders>
                    <w:tl2br w:val="nil"/>
                    <w:tr2bl w:val="nil"/>
                  </w:tcBorders>
                  <w:shd w:val="clear" w:color="auto" w:fill="auto"/>
                  <w:vAlign w:val="center"/>
                </w:tcPr>
                <w:p w14:paraId="29EF0A2F">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1</w:t>
                  </w:r>
                </w:p>
              </w:tc>
              <w:tc>
                <w:tcPr>
                  <w:tcW w:w="1078" w:type="dxa"/>
                  <w:tcBorders>
                    <w:tl2br w:val="nil"/>
                    <w:tr2bl w:val="nil"/>
                  </w:tcBorders>
                  <w:shd w:val="clear" w:color="auto" w:fill="auto"/>
                  <w:vAlign w:val="center"/>
                </w:tcPr>
                <w:p w14:paraId="5D116611">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cs="Times New Roman"/>
                      <w:color w:val="auto"/>
                      <w:kern w:val="0"/>
                      <w:sz w:val="20"/>
                      <w:szCs w:val="21"/>
                      <w:highlight w:val="none"/>
                      <w:lang w:val="en-US" w:eastAsia="zh-CN"/>
                    </w:rPr>
                    <w:t>30</w:t>
                  </w:r>
                </w:p>
              </w:tc>
              <w:tc>
                <w:tcPr>
                  <w:tcW w:w="1263" w:type="dxa"/>
                  <w:tcBorders>
                    <w:tl2br w:val="nil"/>
                    <w:tr2bl w:val="nil"/>
                  </w:tcBorders>
                  <w:shd w:val="clear" w:color="auto" w:fill="auto"/>
                  <w:vAlign w:val="center"/>
                </w:tcPr>
                <w:p w14:paraId="2B5D38C5">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lang w:val="en-US" w:eastAsia="zh-CN"/>
                    </w:rPr>
                    <w:t>5.50E+06</w:t>
                  </w:r>
                </w:p>
              </w:tc>
              <w:tc>
                <w:tcPr>
                  <w:tcW w:w="1169" w:type="dxa"/>
                  <w:tcBorders>
                    <w:tl2br w:val="nil"/>
                    <w:tr2bl w:val="nil"/>
                  </w:tcBorders>
                  <w:shd w:val="clear" w:color="auto" w:fill="auto"/>
                  <w:vAlign w:val="center"/>
                </w:tcPr>
                <w:p w14:paraId="5D821A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i w:val="0"/>
                      <w:iCs w:val="0"/>
                      <w:color w:val="auto"/>
                      <w:kern w:val="0"/>
                      <w:sz w:val="20"/>
                      <w:szCs w:val="20"/>
                      <w:highlight w:val="none"/>
                      <w:u w:val="none"/>
                      <w:lang w:val="en-US" w:eastAsia="zh-CN" w:bidi="ar"/>
                    </w:rPr>
                    <w:t>1.65E+08</w:t>
                  </w:r>
                </w:p>
              </w:tc>
            </w:tr>
            <w:tr w14:paraId="283F81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975" w:type="dxa"/>
                  <w:vMerge w:val="continue"/>
                  <w:tcBorders>
                    <w:tl2br w:val="nil"/>
                    <w:tr2bl w:val="nil"/>
                  </w:tcBorders>
                  <w:vAlign w:val="center"/>
                </w:tcPr>
                <w:p w14:paraId="0D7E8832">
                  <w:pPr>
                    <w:pStyle w:val="32"/>
                    <w:keepNext w:val="0"/>
                    <w:keepLines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cs="Times New Roman"/>
                      <w:color w:val="auto"/>
                      <w:kern w:val="0"/>
                      <w:sz w:val="18"/>
                      <w:szCs w:val="20"/>
                      <w:highlight w:val="none"/>
                      <w:lang w:val="en-US" w:eastAsia="zh-CN"/>
                    </w:rPr>
                  </w:pPr>
                </w:p>
              </w:tc>
              <w:tc>
                <w:tcPr>
                  <w:tcW w:w="1314" w:type="dxa"/>
                  <w:tcBorders>
                    <w:tl2br w:val="nil"/>
                    <w:tr2bl w:val="nil"/>
                  </w:tcBorders>
                  <w:shd w:val="clear" w:color="auto" w:fill="auto"/>
                  <w:vAlign w:val="center"/>
                </w:tcPr>
                <w:p w14:paraId="38C745D6">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en-US"/>
                    </w:rPr>
                  </w:pPr>
                  <w:r>
                    <w:rPr>
                      <w:rFonts w:hint="default" w:ascii="Times New Roman" w:hAnsi="Times New Roman" w:eastAsia="宋体" w:cs="Times New Roman"/>
                      <w:color w:val="auto"/>
                      <w:kern w:val="0"/>
                      <w:sz w:val="20"/>
                      <w:szCs w:val="21"/>
                      <w:highlight w:val="none"/>
                      <w:vertAlign w:val="baseline"/>
                      <w:lang w:val="en-US" w:eastAsia="en-US"/>
                    </w:rPr>
                    <w:t>Ac-225</w:t>
                  </w:r>
                </w:p>
              </w:tc>
              <w:tc>
                <w:tcPr>
                  <w:tcW w:w="1903" w:type="dxa"/>
                  <w:tcBorders>
                    <w:tl2br w:val="nil"/>
                    <w:tr2bl w:val="nil"/>
                  </w:tcBorders>
                  <w:vAlign w:val="center"/>
                </w:tcPr>
                <w:p w14:paraId="631EA2EF">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1.00E+07 Bq（0.27mCi）</w:t>
                  </w:r>
                </w:p>
              </w:tc>
              <w:tc>
                <w:tcPr>
                  <w:tcW w:w="1366" w:type="dxa"/>
                  <w:tcBorders>
                    <w:tl2br w:val="nil"/>
                    <w:tr2bl w:val="nil"/>
                  </w:tcBorders>
                  <w:shd w:val="clear" w:color="auto" w:fill="auto"/>
                  <w:vAlign w:val="center"/>
                </w:tcPr>
                <w:p w14:paraId="0DAAB492">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w:t>
                  </w:r>
                </w:p>
              </w:tc>
              <w:tc>
                <w:tcPr>
                  <w:tcW w:w="1078" w:type="dxa"/>
                  <w:tcBorders>
                    <w:tl2br w:val="nil"/>
                    <w:tr2bl w:val="nil"/>
                  </w:tcBorders>
                  <w:shd w:val="clear" w:color="auto" w:fill="auto"/>
                  <w:vAlign w:val="center"/>
                </w:tcPr>
                <w:p w14:paraId="3EC83B89">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cs="Times New Roman"/>
                      <w:color w:val="auto"/>
                      <w:kern w:val="0"/>
                      <w:sz w:val="20"/>
                      <w:szCs w:val="21"/>
                      <w:highlight w:val="none"/>
                      <w:lang w:val="en-US" w:eastAsia="zh-CN"/>
                    </w:rPr>
                    <w:t>30</w:t>
                  </w:r>
                </w:p>
              </w:tc>
              <w:tc>
                <w:tcPr>
                  <w:tcW w:w="1263" w:type="dxa"/>
                  <w:tcBorders>
                    <w:tl2br w:val="nil"/>
                    <w:tr2bl w:val="nil"/>
                  </w:tcBorders>
                  <w:shd w:val="clear" w:color="auto" w:fill="auto"/>
                  <w:vAlign w:val="center"/>
                </w:tcPr>
                <w:p w14:paraId="6D2B3004">
                  <w:pPr>
                    <w:pStyle w:val="32"/>
                    <w:keepNext w:val="0"/>
                    <w:keepLines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color w:val="auto"/>
                      <w:kern w:val="0"/>
                      <w:sz w:val="20"/>
                      <w:szCs w:val="21"/>
                      <w:highlight w:val="none"/>
                      <w:lang w:val="en-US" w:eastAsia="zh-CN"/>
                    </w:rPr>
                    <w:t>1.00E+07</w:t>
                  </w:r>
                </w:p>
              </w:tc>
              <w:tc>
                <w:tcPr>
                  <w:tcW w:w="1169" w:type="dxa"/>
                  <w:tcBorders>
                    <w:tl2br w:val="nil"/>
                    <w:tr2bl w:val="nil"/>
                  </w:tcBorders>
                  <w:shd w:val="clear" w:color="auto" w:fill="auto"/>
                  <w:vAlign w:val="center"/>
                </w:tcPr>
                <w:p w14:paraId="2A77DC5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20"/>
                      <w:szCs w:val="21"/>
                      <w:highlight w:val="none"/>
                      <w:lang w:val="en-US" w:eastAsia="zh-CN"/>
                    </w:rPr>
                  </w:pPr>
                  <w:r>
                    <w:rPr>
                      <w:rFonts w:hint="default" w:ascii="Times New Roman" w:hAnsi="Times New Roman" w:eastAsia="宋体" w:cs="Times New Roman"/>
                      <w:i w:val="0"/>
                      <w:iCs w:val="0"/>
                      <w:color w:val="auto"/>
                      <w:kern w:val="0"/>
                      <w:sz w:val="20"/>
                      <w:szCs w:val="20"/>
                      <w:highlight w:val="none"/>
                      <w:u w:val="none"/>
                      <w:lang w:val="en-US" w:eastAsia="zh-CN" w:bidi="ar"/>
                    </w:rPr>
                    <w:t>3.00E+08</w:t>
                  </w:r>
                </w:p>
              </w:tc>
            </w:tr>
          </w:tbl>
          <w:p w14:paraId="1DA1E887">
            <w:pPr>
              <w:keepNext w:val="0"/>
              <w:keepLines w:val="0"/>
              <w:suppressLineNumbers w:val="0"/>
              <w:spacing w:before="0" w:beforeAutospacing="0" w:after="120" w:afterAutospacing="0" w:line="360" w:lineRule="auto"/>
              <w:ind w:left="0" w:right="0" w:firstLine="480"/>
              <w:jc w:val="both"/>
              <w:rPr>
                <w:rFonts w:hint="eastAsia" w:cs="Times New Roman"/>
                <w:b w:val="0"/>
                <w:bCs w:val="0"/>
                <w:i w:val="0"/>
                <w:iCs w:val="0"/>
                <w:strike w:val="0"/>
                <w:color w:val="auto"/>
                <w:sz w:val="24"/>
                <w:szCs w:val="24"/>
                <w:highlight w:val="none"/>
                <w:vertAlign w:val="baseline"/>
                <w:lang w:eastAsia="zh-CN"/>
              </w:rPr>
            </w:pPr>
            <w:r>
              <w:rPr>
                <w:rFonts w:hint="eastAsia" w:cs="Times New Roman"/>
                <w:b/>
                <w:bCs/>
                <w:i w:val="0"/>
                <w:iCs w:val="0"/>
                <w:strike w:val="0"/>
                <w:color w:val="auto"/>
                <w:sz w:val="24"/>
                <w:szCs w:val="24"/>
                <w:highlight w:val="none"/>
                <w:vertAlign w:val="baseline"/>
                <w:lang w:eastAsia="zh-CN"/>
              </w:rPr>
              <w:t>（</w:t>
            </w:r>
            <w:r>
              <w:rPr>
                <w:rFonts w:hint="eastAsia" w:cs="Times New Roman"/>
                <w:b/>
                <w:bCs/>
                <w:i w:val="0"/>
                <w:iCs w:val="0"/>
                <w:strike w:val="0"/>
                <w:color w:val="auto"/>
                <w:sz w:val="24"/>
                <w:szCs w:val="24"/>
                <w:highlight w:val="none"/>
                <w:vertAlign w:val="baseline"/>
                <w:lang w:val="en-US" w:eastAsia="zh-CN"/>
              </w:rPr>
              <w:t>1</w:t>
            </w:r>
            <w:r>
              <w:rPr>
                <w:rFonts w:hint="eastAsia" w:cs="Times New Roman"/>
                <w:b/>
                <w:bCs/>
                <w:i w:val="0"/>
                <w:iCs w:val="0"/>
                <w:strike w:val="0"/>
                <w:color w:val="auto"/>
                <w:sz w:val="24"/>
                <w:szCs w:val="24"/>
                <w:highlight w:val="none"/>
                <w:vertAlign w:val="baseline"/>
                <w:lang w:eastAsia="zh-CN"/>
              </w:rPr>
              <w:t>）</w:t>
            </w:r>
            <w:r>
              <w:rPr>
                <w:rFonts w:hint="eastAsia" w:cs="Times New Roman"/>
                <w:b/>
                <w:bCs/>
                <w:color w:val="auto"/>
                <w:highlight w:val="none"/>
                <w:vertAlign w:val="baseline"/>
                <w:lang w:val="en-US" w:eastAsia="zh-CN"/>
              </w:rPr>
              <w:t>Ra-223</w:t>
            </w:r>
            <w:r>
              <w:rPr>
                <w:rFonts w:hint="default" w:ascii="Times New Roman" w:hAnsi="Times New Roman" w:cs="Times New Roman"/>
                <w:b/>
                <w:bCs/>
                <w:color w:val="auto"/>
                <w:highlight w:val="none"/>
                <w:lang w:val="en-US" w:eastAsia="zh-CN"/>
              </w:rPr>
              <w:t>、</w:t>
            </w:r>
            <w:r>
              <w:rPr>
                <w:rFonts w:hint="eastAsia" w:cs="Times New Roman"/>
                <w:b/>
                <w:bCs/>
                <w:color w:val="auto"/>
                <w:highlight w:val="none"/>
                <w:vertAlign w:val="baseline"/>
                <w:lang w:val="en-US" w:eastAsia="zh-CN"/>
              </w:rPr>
              <w:t>Ac-225</w:t>
            </w:r>
            <w:r>
              <w:rPr>
                <w:rFonts w:hint="default" w:ascii="Times New Roman" w:hAnsi="Times New Roman" w:eastAsia="宋体" w:cs="Times New Roman"/>
                <w:b/>
                <w:bCs/>
                <w:color w:val="auto"/>
                <w:spacing w:val="-2"/>
                <w:sz w:val="24"/>
                <w:szCs w:val="24"/>
                <w:highlight w:val="none"/>
              </w:rPr>
              <w:t>核素治疗原理</w:t>
            </w:r>
          </w:p>
          <w:p w14:paraId="4362D8A5">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rPr>
            </w:pPr>
            <w:r>
              <w:rPr>
                <w:rFonts w:hint="eastAsia" w:cs="Times New Roman"/>
                <w:b w:val="0"/>
                <w:bCs w:val="0"/>
                <w:i w:val="0"/>
                <w:iCs w:val="0"/>
                <w:strike w:val="0"/>
                <w:color w:val="auto"/>
                <w:sz w:val="24"/>
                <w:szCs w:val="24"/>
                <w:highlight w:val="none"/>
                <w:vertAlign w:val="baseline"/>
                <w:lang w:eastAsia="zh-CN"/>
              </w:rPr>
              <w:t>Ra-223</w:t>
            </w:r>
            <w:r>
              <w:rPr>
                <w:rFonts w:hint="default" w:ascii="Times New Roman" w:hAnsi="Times New Roman" w:eastAsia="宋体" w:cs="Times New Roman"/>
                <w:b w:val="0"/>
                <w:bCs w:val="0"/>
                <w:i w:val="0"/>
                <w:iCs w:val="0"/>
                <w:strike w:val="0"/>
                <w:color w:val="auto"/>
                <w:sz w:val="24"/>
                <w:szCs w:val="24"/>
                <w:highlight w:val="none"/>
              </w:rPr>
              <w:t>、</w:t>
            </w:r>
            <w:r>
              <w:rPr>
                <w:rFonts w:hint="eastAsia" w:cs="Times New Roman"/>
                <w:b w:val="0"/>
                <w:bCs w:val="0"/>
                <w:i w:val="0"/>
                <w:iCs w:val="0"/>
                <w:strike w:val="0"/>
                <w:color w:val="auto"/>
                <w:sz w:val="24"/>
                <w:szCs w:val="24"/>
                <w:highlight w:val="none"/>
                <w:vertAlign w:val="baseline"/>
                <w:lang w:eastAsia="zh-CN"/>
              </w:rPr>
              <w:t>Ac-225</w:t>
            </w:r>
            <w:r>
              <w:rPr>
                <w:rFonts w:hint="default" w:ascii="Times New Roman" w:hAnsi="Times New Roman" w:eastAsia="宋体" w:cs="Times New Roman"/>
                <w:b w:val="0"/>
                <w:bCs w:val="0"/>
                <w:i w:val="0"/>
                <w:iCs w:val="0"/>
                <w:strike w:val="0"/>
                <w:color w:val="auto"/>
                <w:sz w:val="24"/>
                <w:szCs w:val="24"/>
                <w:highlight w:val="none"/>
              </w:rPr>
              <w:t>（</w:t>
            </w:r>
            <w:r>
              <w:rPr>
                <w:rFonts w:hint="default" w:ascii="Times New Roman" w:hAnsi="Times New Roman" w:eastAsia="宋体" w:cs="Times New Roman"/>
                <w:b w:val="0"/>
                <w:bCs w:val="0"/>
                <w:i w:val="0"/>
                <w:iCs w:val="0"/>
                <w:strike w:val="0"/>
                <w:color w:val="auto"/>
                <w:sz w:val="24"/>
                <w:szCs w:val="24"/>
                <w:highlight w:val="none"/>
                <w:vertAlign w:val="baseline"/>
              </w:rPr>
              <w:t>α放射性核素</w:t>
            </w:r>
            <w:r>
              <w:rPr>
                <w:rFonts w:hint="default" w:ascii="Times New Roman" w:hAnsi="Times New Roman" w:eastAsia="宋体" w:cs="Times New Roman"/>
                <w:b w:val="0"/>
                <w:bCs w:val="0"/>
                <w:i w:val="0"/>
                <w:iCs w:val="0"/>
                <w:strike w:val="0"/>
                <w:color w:val="auto"/>
                <w:sz w:val="24"/>
                <w:szCs w:val="24"/>
                <w:highlight w:val="none"/>
              </w:rPr>
              <w:t>）主要用于治疗晚期去势抵抗性且有</w:t>
            </w:r>
            <w:r>
              <w:rPr>
                <w:rFonts w:hint="default" w:ascii="Times New Roman" w:hAnsi="Times New Roman" w:eastAsia="宋体" w:cs="Times New Roman"/>
                <w:b w:val="0"/>
                <w:bCs w:val="0"/>
                <w:i w:val="0"/>
                <w:iCs w:val="0"/>
                <w:strike w:val="0"/>
                <w:color w:val="auto"/>
                <w:sz w:val="24"/>
                <w:szCs w:val="24"/>
                <w:highlight w:val="none"/>
                <w:vertAlign w:val="baseline"/>
              </w:rPr>
              <w:t>骨转移</w:t>
            </w:r>
            <w:r>
              <w:rPr>
                <w:rFonts w:hint="default" w:ascii="Times New Roman" w:hAnsi="Times New Roman" w:eastAsia="宋体" w:cs="Times New Roman"/>
                <w:b w:val="0"/>
                <w:bCs w:val="0"/>
                <w:i w:val="0"/>
                <w:iCs w:val="0"/>
                <w:strike w:val="0"/>
                <w:color w:val="auto"/>
                <w:sz w:val="24"/>
                <w:szCs w:val="24"/>
                <w:highlight w:val="none"/>
              </w:rPr>
              <w:t>的</w:t>
            </w:r>
            <w:r>
              <w:rPr>
                <w:rFonts w:hint="default" w:ascii="Times New Roman" w:hAnsi="Times New Roman" w:eastAsia="宋体" w:cs="Times New Roman"/>
                <w:b w:val="0"/>
                <w:bCs w:val="0"/>
                <w:i w:val="0"/>
                <w:iCs w:val="0"/>
                <w:strike w:val="0"/>
                <w:color w:val="auto"/>
                <w:sz w:val="24"/>
                <w:szCs w:val="24"/>
                <w:highlight w:val="none"/>
                <w:vertAlign w:val="baseline"/>
              </w:rPr>
              <w:t>前列腺癌</w:t>
            </w:r>
            <w:r>
              <w:rPr>
                <w:rFonts w:hint="default" w:ascii="Times New Roman" w:hAnsi="Times New Roman" w:eastAsia="宋体" w:cs="Times New Roman"/>
                <w:b w:val="0"/>
                <w:bCs w:val="0"/>
                <w:i w:val="0"/>
                <w:iCs w:val="0"/>
                <w:strike w:val="0"/>
                <w:color w:val="auto"/>
                <w:sz w:val="24"/>
                <w:szCs w:val="24"/>
                <w:highlight w:val="none"/>
              </w:rPr>
              <w:t>。</w:t>
            </w:r>
            <w:r>
              <w:rPr>
                <w:rFonts w:hint="eastAsia" w:cs="Times New Roman"/>
                <w:b w:val="0"/>
                <w:bCs w:val="0"/>
                <w:i w:val="0"/>
                <w:iCs w:val="0"/>
                <w:strike w:val="0"/>
                <w:color w:val="auto"/>
                <w:sz w:val="24"/>
                <w:szCs w:val="24"/>
                <w:highlight w:val="none"/>
                <w:vertAlign w:val="baseline"/>
                <w:lang w:eastAsia="zh-CN"/>
              </w:rPr>
              <w:t>Ra-223</w:t>
            </w:r>
            <w:r>
              <w:rPr>
                <w:rFonts w:hint="default" w:ascii="Times New Roman" w:hAnsi="Times New Roman" w:eastAsia="宋体" w:cs="Times New Roman"/>
                <w:b w:val="0"/>
                <w:bCs w:val="0"/>
                <w:i w:val="0"/>
                <w:iCs w:val="0"/>
                <w:strike w:val="0"/>
                <w:color w:val="auto"/>
                <w:sz w:val="24"/>
                <w:szCs w:val="24"/>
                <w:highlight w:val="none"/>
              </w:rPr>
              <w:t>核素在</w:t>
            </w:r>
            <w:r>
              <w:rPr>
                <w:rFonts w:hint="default" w:ascii="Times New Roman" w:hAnsi="Times New Roman" w:eastAsia="宋体" w:cs="Times New Roman"/>
                <w:b w:val="0"/>
                <w:bCs w:val="0"/>
                <w:i w:val="0"/>
                <w:iCs w:val="0"/>
                <w:strike w:val="0"/>
                <w:color w:val="auto"/>
                <w:sz w:val="24"/>
                <w:szCs w:val="24"/>
                <w:highlight w:val="none"/>
                <w:vertAlign w:val="baseline"/>
              </w:rPr>
              <w:t>内照射</w:t>
            </w:r>
            <w:r>
              <w:rPr>
                <w:rFonts w:hint="default" w:ascii="Times New Roman" w:hAnsi="Times New Roman" w:eastAsia="宋体" w:cs="Times New Roman"/>
                <w:b w:val="0"/>
                <w:bCs w:val="0"/>
                <w:i w:val="0"/>
                <w:iCs w:val="0"/>
                <w:strike w:val="0"/>
                <w:color w:val="auto"/>
                <w:sz w:val="24"/>
                <w:szCs w:val="24"/>
                <w:highlight w:val="none"/>
              </w:rPr>
              <w:t>时具有极强的</w:t>
            </w:r>
            <w:r>
              <w:rPr>
                <w:rFonts w:hint="default" w:ascii="Times New Roman" w:hAnsi="Times New Roman" w:eastAsia="宋体" w:cs="Times New Roman"/>
                <w:b w:val="0"/>
                <w:bCs w:val="0"/>
                <w:i w:val="0"/>
                <w:iCs w:val="0"/>
                <w:strike w:val="0"/>
                <w:color w:val="auto"/>
                <w:sz w:val="24"/>
                <w:szCs w:val="24"/>
                <w:highlight w:val="none"/>
                <w:vertAlign w:val="baseline"/>
              </w:rPr>
              <w:t>细胞毒性</w:t>
            </w:r>
            <w:r>
              <w:rPr>
                <w:rFonts w:hint="default" w:ascii="Times New Roman" w:hAnsi="Times New Roman" w:eastAsia="宋体" w:cs="Times New Roman"/>
                <w:b w:val="0"/>
                <w:bCs w:val="0"/>
                <w:i w:val="0"/>
                <w:iCs w:val="0"/>
                <w:strike w:val="0"/>
                <w:color w:val="auto"/>
                <w:sz w:val="24"/>
                <w:szCs w:val="24"/>
                <w:highlight w:val="none"/>
              </w:rPr>
              <w:t>，对肿瘤细胞具有较强的杀灭作用，而其短射程对正常组织影响较小（α粒子的射程仅43微米），并能够模拟钙的作用，并与羟基磷灰石形成复合物以加快一些部位骨质更新，例如</w:t>
            </w:r>
            <w:r>
              <w:rPr>
                <w:rFonts w:hint="default" w:ascii="Times New Roman" w:hAnsi="Times New Roman" w:eastAsia="宋体" w:cs="Times New Roman"/>
                <w:b w:val="0"/>
                <w:bCs w:val="0"/>
                <w:i w:val="0"/>
                <w:iCs w:val="0"/>
                <w:strike w:val="0"/>
                <w:color w:val="auto"/>
                <w:sz w:val="24"/>
                <w:szCs w:val="24"/>
                <w:highlight w:val="none"/>
                <w:vertAlign w:val="baseline"/>
              </w:rPr>
              <w:t>骨转移</w:t>
            </w:r>
            <w:r>
              <w:rPr>
                <w:rFonts w:hint="default" w:ascii="Times New Roman" w:hAnsi="Times New Roman" w:eastAsia="宋体" w:cs="Times New Roman"/>
                <w:b w:val="0"/>
                <w:bCs w:val="0"/>
                <w:i w:val="0"/>
                <w:iCs w:val="0"/>
                <w:strike w:val="0"/>
                <w:color w:val="auto"/>
                <w:sz w:val="24"/>
                <w:szCs w:val="24"/>
                <w:highlight w:val="none"/>
              </w:rPr>
              <w:t>灶部位。这种强有力的药物的α粒子的穿透范围短，不会伤害附近的健康组织和关键的骨髓。对工作人员和患者周围公众外照射影响轻微。</w:t>
            </w:r>
          </w:p>
          <w:p w14:paraId="0F541B8A">
            <w:pPr>
              <w:keepNext w:val="0"/>
              <w:keepLines w:val="0"/>
              <w:suppressLineNumbers w:val="0"/>
              <w:spacing w:before="5" w:beforeAutospacing="0" w:after="0" w:afterAutospacing="0" w:line="219" w:lineRule="auto"/>
              <w:ind w:left="128" w:right="0" w:firstLine="466"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4"/>
                <w:sz w:val="24"/>
                <w:szCs w:val="24"/>
                <w:highlight w:val="none"/>
              </w:rPr>
              <w:t>（</w:t>
            </w:r>
            <w:r>
              <w:rPr>
                <w:rFonts w:hint="default" w:ascii="Times New Roman" w:hAnsi="Times New Roman" w:eastAsia="Times New Roman" w:cs="Times New Roman"/>
                <w:b/>
                <w:bCs/>
                <w:color w:val="auto"/>
                <w:spacing w:val="-4"/>
                <w:sz w:val="24"/>
                <w:szCs w:val="24"/>
                <w:highlight w:val="none"/>
              </w:rPr>
              <w:t>2</w:t>
            </w:r>
            <w:r>
              <w:rPr>
                <w:rFonts w:hint="default" w:ascii="Times New Roman" w:hAnsi="Times New Roman" w:eastAsia="宋体" w:cs="Times New Roman"/>
                <w:b/>
                <w:bCs/>
                <w:color w:val="auto"/>
                <w:spacing w:val="-4"/>
                <w:sz w:val="24"/>
                <w:szCs w:val="24"/>
                <w:highlight w:val="none"/>
              </w:rPr>
              <w:t>）工艺流程及产污环节分析</w:t>
            </w:r>
          </w:p>
          <w:p w14:paraId="6DBC8279">
            <w:pPr>
              <w:keepNext w:val="0"/>
              <w:keepLines w:val="0"/>
              <w:suppressLineNumbers w:val="0"/>
              <w:spacing w:before="216" w:beforeAutospacing="0" w:after="0" w:afterAutospacing="0" w:line="347" w:lineRule="auto"/>
              <w:ind w:left="117" w:right="45" w:firstLine="488"/>
              <w:jc w:val="both"/>
              <w:rPr>
                <w:rFonts w:hint="default" w:ascii="Times New Roman" w:hAnsi="Times New Roman" w:eastAsia="宋体" w:cs="Times New Roman"/>
                <w:color w:val="auto"/>
                <w:sz w:val="24"/>
                <w:szCs w:val="24"/>
                <w:highlight w:val="none"/>
              </w:rPr>
            </w:pPr>
            <w:r>
              <w:rPr>
                <w:rFonts w:hint="eastAsia" w:cs="Times New Roman"/>
                <w:b w:val="0"/>
                <w:bCs w:val="0"/>
                <w:color w:val="auto"/>
                <w:highlight w:val="none"/>
                <w:vertAlign w:val="baseline"/>
                <w:lang w:val="en-US" w:eastAsia="zh-CN"/>
              </w:rPr>
              <w:t>Ra-223</w:t>
            </w:r>
            <w:r>
              <w:rPr>
                <w:rFonts w:hint="default" w:ascii="Times New Roman" w:hAnsi="Times New Roman" w:cs="Times New Roman"/>
                <w:b w:val="0"/>
                <w:bCs w:val="0"/>
                <w:color w:val="auto"/>
                <w:highlight w:val="none"/>
                <w:lang w:val="en-US" w:eastAsia="zh-CN"/>
              </w:rPr>
              <w:t>、</w:t>
            </w:r>
            <w:r>
              <w:rPr>
                <w:rFonts w:hint="eastAsia" w:cs="Times New Roman"/>
                <w:b w:val="0"/>
                <w:bCs w:val="0"/>
                <w:color w:val="auto"/>
                <w:highlight w:val="none"/>
                <w:vertAlign w:val="baseline"/>
                <w:lang w:val="en-US" w:eastAsia="zh-CN"/>
              </w:rPr>
              <w:t>Ac-225</w:t>
            </w:r>
            <w:r>
              <w:rPr>
                <w:rFonts w:hint="default" w:ascii="Times New Roman" w:hAnsi="Times New Roman" w:eastAsia="宋体" w:cs="Times New Roman"/>
                <w:b w:val="0"/>
                <w:bCs w:val="0"/>
                <w:color w:val="auto"/>
                <w:spacing w:val="-3"/>
                <w:sz w:val="24"/>
                <w:szCs w:val="24"/>
                <w:highlight w:val="none"/>
              </w:rPr>
              <w:t>治</w:t>
            </w:r>
            <w:r>
              <w:rPr>
                <w:rFonts w:hint="default" w:ascii="Times New Roman" w:hAnsi="Times New Roman" w:eastAsia="宋体" w:cs="Times New Roman"/>
                <w:color w:val="auto"/>
                <w:spacing w:val="-3"/>
                <w:sz w:val="24"/>
                <w:szCs w:val="24"/>
                <w:highlight w:val="none"/>
              </w:rPr>
              <w:t>疗的患者进入核医学科</w:t>
            </w:r>
            <w:r>
              <w:rPr>
                <w:rFonts w:hint="eastAsia" w:cs="Times New Roman"/>
                <w:color w:val="auto"/>
                <w:spacing w:val="-3"/>
                <w:sz w:val="24"/>
                <w:szCs w:val="24"/>
                <w:highlight w:val="none"/>
                <w:lang w:val="en-US" w:eastAsia="zh-CN"/>
              </w:rPr>
              <w:t>三层</w:t>
            </w:r>
            <w:r>
              <w:rPr>
                <w:rFonts w:hint="default" w:ascii="Times New Roman" w:hAnsi="Times New Roman" w:eastAsia="宋体" w:cs="Times New Roman"/>
                <w:color w:val="auto"/>
                <w:spacing w:val="-3"/>
                <w:sz w:val="24"/>
                <w:szCs w:val="24"/>
                <w:highlight w:val="none"/>
              </w:rPr>
              <w:t>注射</w:t>
            </w:r>
            <w:r>
              <w:rPr>
                <w:rFonts w:hint="eastAsia" w:cs="Times New Roman"/>
                <w:color w:val="auto"/>
                <w:spacing w:val="-3"/>
                <w:sz w:val="24"/>
                <w:szCs w:val="24"/>
                <w:highlight w:val="none"/>
                <w:lang w:val="en-US" w:eastAsia="zh-CN"/>
              </w:rPr>
              <w:t>室</w:t>
            </w:r>
            <w:r>
              <w:rPr>
                <w:rFonts w:hint="default" w:ascii="Times New Roman" w:hAnsi="Times New Roman" w:eastAsia="宋体" w:cs="Times New Roman"/>
                <w:color w:val="auto"/>
                <w:spacing w:val="-3"/>
                <w:sz w:val="24"/>
                <w:szCs w:val="24"/>
                <w:highlight w:val="none"/>
              </w:rPr>
              <w:t>，注射医务人员配戴个人剂量计，穿戴好个人</w:t>
            </w:r>
            <w:r>
              <w:rPr>
                <w:rFonts w:hint="default" w:ascii="Times New Roman" w:hAnsi="Times New Roman" w:eastAsia="宋体" w:cs="Times New Roman"/>
                <w:color w:val="auto"/>
                <w:spacing w:val="-5"/>
                <w:sz w:val="24"/>
                <w:szCs w:val="24"/>
                <w:highlight w:val="none"/>
              </w:rPr>
              <w:t>防护用品，从包装容器内用一次性注射器汲取计划的药量，在注射台前为患者注</w:t>
            </w:r>
            <w:r>
              <w:rPr>
                <w:rFonts w:hint="default" w:ascii="Times New Roman" w:hAnsi="Times New Roman" w:eastAsia="宋体" w:cs="Times New Roman"/>
                <w:color w:val="auto"/>
                <w:spacing w:val="-6"/>
                <w:sz w:val="24"/>
                <w:szCs w:val="24"/>
                <w:highlight w:val="none"/>
              </w:rPr>
              <w:t>射药物，</w:t>
            </w:r>
            <w:r>
              <w:rPr>
                <w:rFonts w:hint="default" w:ascii="Times New Roman" w:hAnsi="Times New Roman" w:eastAsia="宋体" w:cs="Times New Roman"/>
                <w:color w:val="auto"/>
                <w:sz w:val="24"/>
                <w:szCs w:val="24"/>
                <w:highlight w:val="none"/>
              </w:rPr>
              <w:t>注射时间平均约</w:t>
            </w:r>
            <w:r>
              <w:rPr>
                <w:rFonts w:hint="default" w:ascii="Times New Roman" w:hAnsi="Times New Roman" w:eastAsia="Times New Roman" w:cs="Times New Roman"/>
                <w:color w:val="auto"/>
                <w:sz w:val="24"/>
                <w:szCs w:val="24"/>
                <w:highlight w:val="none"/>
              </w:rPr>
              <w:t>1min/</w:t>
            </w:r>
            <w:r>
              <w:rPr>
                <w:rFonts w:hint="default" w:ascii="Times New Roman" w:hAnsi="Times New Roman" w:eastAsia="宋体" w:cs="Times New Roman"/>
                <w:color w:val="auto"/>
                <w:sz w:val="24"/>
                <w:szCs w:val="24"/>
                <w:highlight w:val="none"/>
              </w:rPr>
              <w:t>人，注射或服用了放射性药物的患者短暂留观后，可直接从专用</w:t>
            </w:r>
            <w:r>
              <w:rPr>
                <w:rFonts w:hint="default" w:ascii="Times New Roman" w:hAnsi="Times New Roman" w:eastAsia="宋体" w:cs="Times New Roman"/>
                <w:color w:val="auto"/>
                <w:spacing w:val="-1"/>
                <w:sz w:val="24"/>
                <w:szCs w:val="24"/>
                <w:highlight w:val="none"/>
              </w:rPr>
              <w:t>通道离开核医学治疗区。</w:t>
            </w:r>
          </w:p>
          <w:p w14:paraId="25A23472">
            <w:pPr>
              <w:keepNext w:val="0"/>
              <w:keepLines w:val="0"/>
              <w:suppressLineNumbers w:val="0"/>
              <w:spacing w:before="0" w:beforeAutospacing="0" w:after="120" w:afterAutospacing="0" w:line="360" w:lineRule="auto"/>
              <w:ind w:left="0" w:right="0"/>
              <w:jc w:val="both"/>
              <w:rPr>
                <w:rFonts w:hint="default" w:ascii="Times New Roman" w:hAnsi="Times New Roman" w:eastAsia="宋体" w:cs="Times New Roman"/>
                <w:b w:val="0"/>
                <w:bCs w:val="0"/>
                <w:i w:val="0"/>
                <w:iCs w:val="0"/>
                <w:strike w:val="0"/>
                <w:color w:val="auto"/>
                <w:sz w:val="24"/>
                <w:szCs w:val="24"/>
                <w:highlight w:val="none"/>
                <w:vertAlign w:val="superscript"/>
              </w:rPr>
            </w:pPr>
          </w:p>
          <w:p w14:paraId="7178A02D">
            <w:pPr>
              <w:keepNext w:val="0"/>
              <w:keepLines w:val="0"/>
              <w:widowControl/>
              <w:suppressLineNumbers w:val="0"/>
              <w:spacing w:before="0" w:beforeAutospacing="0" w:after="0" w:afterAutospacing="0"/>
              <w:ind w:left="0" w:right="0"/>
              <w:jc w:val="center"/>
              <w:rPr>
                <w:rFonts w:hint="default"/>
                <w:b/>
                <w:bCs/>
                <w:color w:val="auto"/>
                <w:sz w:val="24"/>
                <w:szCs w:val="24"/>
                <w:highlight w:val="none"/>
              </w:rPr>
            </w:pPr>
            <w:r>
              <w:rPr>
                <w:rFonts w:hint="eastAsia" w:cs="Times New Roman"/>
                <w:b/>
                <w:bCs/>
                <w:color w:val="auto"/>
                <w:spacing w:val="-2"/>
                <w:sz w:val="24"/>
                <w:szCs w:val="24"/>
                <w:highlight w:val="none"/>
                <w:lang w:eastAsia="zh-CN"/>
              </w:rPr>
              <w:t>图9</w:t>
            </w:r>
            <w:r>
              <w:rPr>
                <w:rFonts w:hint="eastAsia" w:eastAsia="宋体" w:cs="Times New Roman"/>
                <w:b/>
                <w:bCs/>
                <w:color w:val="auto"/>
                <w:spacing w:val="-2"/>
                <w:sz w:val="24"/>
                <w:szCs w:val="24"/>
                <w:highlight w:val="none"/>
                <w:lang w:val="en-US" w:eastAsia="zh-CN"/>
              </w:rPr>
              <w:t>-11</w:t>
            </w:r>
            <w:r>
              <w:rPr>
                <w:rFonts w:hint="eastAsia" w:ascii="Times New Roman" w:hAnsi="Times New Roman" w:cs="Times New Roman"/>
                <w:b/>
                <w:bCs/>
                <w:color w:val="auto"/>
                <w:sz w:val="24"/>
                <w:szCs w:val="24"/>
                <w:highlight w:val="none"/>
                <w:vertAlign w:val="superscript"/>
                <w:lang w:val="en-US" w:eastAsia="zh-CN"/>
              </w:rPr>
              <w:t xml:space="preserve">  </w:t>
            </w:r>
            <w:r>
              <w:rPr>
                <w:rFonts w:hint="eastAsia" w:cs="Times New Roman"/>
                <w:b/>
                <w:bCs/>
                <w:color w:val="auto"/>
                <w:sz w:val="24"/>
                <w:szCs w:val="24"/>
                <w:highlight w:val="none"/>
                <w:vertAlign w:val="baseline"/>
                <w:lang w:val="en-US" w:eastAsia="zh-CN"/>
              </w:rPr>
              <w:t>Ra-223</w:t>
            </w:r>
            <w:r>
              <w:rPr>
                <w:rFonts w:hint="default" w:ascii="Times New Roman" w:hAnsi="Times New Roman" w:cs="Times New Roman"/>
                <w:b/>
                <w:bCs/>
                <w:color w:val="auto"/>
                <w:sz w:val="24"/>
                <w:szCs w:val="24"/>
                <w:highlight w:val="none"/>
                <w:lang w:val="en-US" w:eastAsia="zh-CN"/>
              </w:rPr>
              <w:t>、</w:t>
            </w:r>
            <w:r>
              <w:rPr>
                <w:rFonts w:hint="eastAsia" w:cs="Times New Roman"/>
                <w:b/>
                <w:bCs/>
                <w:color w:val="auto"/>
                <w:sz w:val="24"/>
                <w:szCs w:val="24"/>
                <w:highlight w:val="none"/>
                <w:vertAlign w:val="baseline"/>
                <w:lang w:val="en-US" w:eastAsia="zh-CN"/>
              </w:rPr>
              <w:t>Ac-225</w:t>
            </w:r>
            <w:r>
              <w:rPr>
                <w:rFonts w:hint="default" w:ascii="Times New Roman" w:hAnsi="Times New Roman" w:eastAsia="宋体" w:cs="Times New Roman"/>
                <w:b/>
                <w:bCs/>
                <w:color w:val="auto"/>
                <w:kern w:val="0"/>
                <w:sz w:val="24"/>
                <w:szCs w:val="24"/>
                <w:highlight w:val="none"/>
                <w:lang w:val="en-US" w:eastAsia="zh-CN" w:bidi="ar"/>
              </w:rPr>
              <w:t>核素治疗项目工作流程及产污环节分析示意图</w:t>
            </w:r>
          </w:p>
          <w:p w14:paraId="7B275A1B">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val="0"/>
                <w:bCs w:val="0"/>
                <w:i w:val="0"/>
                <w:iCs w:val="0"/>
                <w:strike w:val="0"/>
                <w:color w:val="auto"/>
                <w:sz w:val="10"/>
                <w:szCs w:val="10"/>
                <w:highlight w:val="none"/>
                <w:vertAlign w:val="superscript"/>
              </w:rPr>
            </w:pPr>
          </w:p>
          <w:p w14:paraId="650F9659">
            <w:pPr>
              <w:keepNext w:val="0"/>
              <w:keepLines w:val="0"/>
              <w:suppressLineNumbers w:val="0"/>
              <w:spacing w:before="0" w:beforeAutospacing="0" w:after="0" w:afterAutospacing="0" w:line="360" w:lineRule="auto"/>
              <w:ind w:left="0" w:right="0" w:firstLine="466" w:firstLineChars="200"/>
              <w:jc w:val="both"/>
              <w:rPr>
                <w:rFonts w:hint="default" w:ascii="Times New Roman" w:hAnsi="Times New Roman" w:cs="Times New Roman"/>
                <w:color w:val="auto"/>
                <w:highlight w:val="none"/>
                <w:lang w:val="en-US" w:eastAsia="zh-CN"/>
              </w:rPr>
            </w:pPr>
            <w:r>
              <w:rPr>
                <w:rFonts w:hint="default" w:ascii="Times New Roman" w:hAnsi="Times New Roman" w:eastAsia="宋体" w:cs="Times New Roman"/>
                <w:b/>
                <w:bCs/>
                <w:color w:val="auto"/>
                <w:spacing w:val="-4"/>
                <w:sz w:val="24"/>
                <w:szCs w:val="24"/>
                <w:highlight w:val="none"/>
              </w:rPr>
              <w:t>（</w:t>
            </w:r>
            <w:r>
              <w:rPr>
                <w:rFonts w:hint="default" w:ascii="Times New Roman" w:hAnsi="Times New Roman" w:eastAsia="Times New Roman" w:cs="Times New Roman"/>
                <w:b/>
                <w:bCs/>
                <w:color w:val="auto"/>
                <w:spacing w:val="-4"/>
                <w:sz w:val="24"/>
                <w:szCs w:val="24"/>
                <w:highlight w:val="none"/>
              </w:rPr>
              <w:t>3</w:t>
            </w:r>
            <w:r>
              <w:rPr>
                <w:rFonts w:hint="default" w:ascii="Times New Roman" w:hAnsi="Times New Roman" w:eastAsia="宋体" w:cs="Times New Roman"/>
                <w:b/>
                <w:bCs/>
                <w:color w:val="auto"/>
                <w:spacing w:val="-4"/>
                <w:sz w:val="24"/>
                <w:szCs w:val="24"/>
                <w:highlight w:val="none"/>
              </w:rPr>
              <w:t>）人流和物流路径规划</w:t>
            </w:r>
          </w:p>
          <w:p w14:paraId="79ED9D67">
            <w:pPr>
              <w:keepNext w:val="0"/>
              <w:keepLines w:val="0"/>
              <w:suppressLineNumbers w:val="0"/>
              <w:spacing w:before="200" w:beforeAutospacing="0" w:after="0" w:afterAutospacing="0" w:line="217" w:lineRule="auto"/>
              <w:ind w:left="596"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4"/>
                <w:sz w:val="24"/>
                <w:szCs w:val="24"/>
                <w:highlight w:val="none"/>
              </w:rPr>
              <w:t>①药物路线</w:t>
            </w:r>
          </w:p>
          <w:p w14:paraId="7C0220C5">
            <w:pPr>
              <w:keepNext w:val="0"/>
              <w:keepLines w:val="0"/>
              <w:suppressLineNumbers w:val="0"/>
              <w:spacing w:before="216" w:beforeAutospacing="0" w:after="0" w:afterAutospacing="0" w:line="385" w:lineRule="auto"/>
              <w:ind w:left="119" w:right="107" w:firstLine="478"/>
              <w:jc w:val="both"/>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pacing w:val="1"/>
                <w:sz w:val="24"/>
                <w:szCs w:val="24"/>
                <w:highlight w:val="none"/>
              </w:rPr>
              <w:t>放射性药物</w:t>
            </w:r>
            <w:r>
              <w:rPr>
                <w:rFonts w:hint="default" w:ascii="Times New Roman" w:hAnsi="Times New Roman" w:eastAsia="宋体" w:cs="Times New Roman"/>
                <w:color w:val="auto"/>
                <w:spacing w:val="1"/>
                <w:sz w:val="24"/>
                <w:szCs w:val="24"/>
                <w:highlight w:val="none"/>
                <w:lang w:val="en-US" w:eastAsia="zh-CN"/>
              </w:rPr>
              <w:t xml:space="preserve"> </w:t>
            </w:r>
            <w:r>
              <w:rPr>
                <w:rFonts w:hint="eastAsia" w:cs="Times New Roman"/>
                <w:b w:val="0"/>
                <w:bCs w:val="0"/>
                <w:i w:val="0"/>
                <w:iCs w:val="0"/>
                <w:strike w:val="0"/>
                <w:color w:val="auto"/>
                <w:sz w:val="24"/>
                <w:szCs w:val="24"/>
                <w:highlight w:val="none"/>
                <w:vertAlign w:val="baseline"/>
                <w:lang w:eastAsia="zh-CN"/>
              </w:rPr>
              <w:t>Ra-223</w:t>
            </w:r>
            <w:r>
              <w:rPr>
                <w:rFonts w:hint="default" w:ascii="Times New Roman" w:hAnsi="Times New Roman" w:eastAsia="宋体" w:cs="Times New Roman"/>
                <w:b w:val="0"/>
                <w:bCs w:val="0"/>
                <w:i w:val="0"/>
                <w:iCs w:val="0"/>
                <w:strike w:val="0"/>
                <w:color w:val="auto"/>
                <w:sz w:val="24"/>
                <w:szCs w:val="24"/>
                <w:highlight w:val="none"/>
              </w:rPr>
              <w:t>、</w:t>
            </w:r>
            <w:r>
              <w:rPr>
                <w:rFonts w:hint="eastAsia" w:cs="Times New Roman"/>
                <w:b w:val="0"/>
                <w:bCs w:val="0"/>
                <w:i w:val="0"/>
                <w:iCs w:val="0"/>
                <w:strike w:val="0"/>
                <w:color w:val="auto"/>
                <w:sz w:val="24"/>
                <w:szCs w:val="24"/>
                <w:highlight w:val="none"/>
                <w:vertAlign w:val="baseline"/>
                <w:lang w:eastAsia="zh-CN"/>
              </w:rPr>
              <w:t>Ac-225</w:t>
            </w:r>
            <w:r>
              <w:rPr>
                <w:rFonts w:hint="default" w:ascii="Times New Roman" w:hAnsi="Times New Roman" w:eastAsia="宋体" w:cs="Times New Roman"/>
                <w:color w:val="auto"/>
                <w:spacing w:val="1"/>
                <w:sz w:val="24"/>
                <w:szCs w:val="24"/>
                <w:highlight w:val="none"/>
              </w:rPr>
              <w:t>由医院与供药商提前预约，根据约定</w:t>
            </w:r>
            <w:r>
              <w:rPr>
                <w:rFonts w:hint="default" w:ascii="Times New Roman" w:hAnsi="Times New Roman" w:eastAsia="宋体" w:cs="Times New Roman"/>
                <w:color w:val="auto"/>
                <w:sz w:val="24"/>
                <w:szCs w:val="24"/>
                <w:highlight w:val="none"/>
              </w:rPr>
              <w:t>时间，在上班之前，由专用</w:t>
            </w:r>
            <w:r>
              <w:rPr>
                <w:rFonts w:hint="default" w:ascii="Times New Roman" w:hAnsi="Times New Roman" w:eastAsia="宋体" w:cs="Times New Roman"/>
                <w:color w:val="auto"/>
                <w:spacing w:val="-1"/>
                <w:sz w:val="24"/>
                <w:szCs w:val="24"/>
                <w:highlight w:val="none"/>
              </w:rPr>
              <w:t>路线进入核医学</w:t>
            </w:r>
            <w:r>
              <w:rPr>
                <w:rFonts w:hint="default" w:ascii="Times New Roman" w:hAnsi="Times New Roman" w:eastAsia="宋体" w:cs="Times New Roman"/>
                <w:color w:val="auto"/>
                <w:spacing w:val="-1"/>
                <w:sz w:val="24"/>
                <w:szCs w:val="24"/>
                <w:highlight w:val="none"/>
                <w:lang w:val="en-US" w:eastAsia="zh-CN"/>
              </w:rPr>
              <w:t>楼</w:t>
            </w:r>
            <w:r>
              <w:rPr>
                <w:rFonts w:hint="eastAsia" w:cs="Times New Roman"/>
                <w:color w:val="auto"/>
                <w:spacing w:val="-1"/>
                <w:sz w:val="24"/>
                <w:szCs w:val="24"/>
                <w:highlight w:val="none"/>
                <w:lang w:val="en-US" w:eastAsia="zh-CN"/>
              </w:rPr>
              <w:t>三</w:t>
            </w:r>
            <w:r>
              <w:rPr>
                <w:rFonts w:hint="default" w:ascii="Times New Roman" w:hAnsi="Times New Roman" w:eastAsia="宋体" w:cs="Times New Roman"/>
                <w:color w:val="auto"/>
                <w:spacing w:val="-1"/>
                <w:sz w:val="24"/>
                <w:szCs w:val="24"/>
                <w:highlight w:val="none"/>
              </w:rPr>
              <w:t>层</w:t>
            </w:r>
            <w:r>
              <w:rPr>
                <w:rFonts w:hint="eastAsia" w:cs="Times New Roman"/>
                <w:color w:val="auto"/>
                <w:spacing w:val="-1"/>
                <w:sz w:val="24"/>
                <w:szCs w:val="24"/>
                <w:highlight w:val="none"/>
                <w:lang w:val="en-US" w:eastAsia="zh-CN"/>
              </w:rPr>
              <w:t>储源室</w:t>
            </w:r>
            <w:r>
              <w:rPr>
                <w:rFonts w:hint="default" w:ascii="Times New Roman" w:hAnsi="Times New Roman" w:eastAsia="宋体" w:cs="Times New Roman"/>
                <w:color w:val="auto"/>
                <w:spacing w:val="-1"/>
                <w:sz w:val="24"/>
                <w:szCs w:val="24"/>
                <w:highlight w:val="none"/>
              </w:rPr>
              <w:t>，经专人接收</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lang w:val="en-US" w:eastAsia="zh-CN"/>
              </w:rPr>
              <w:t>核对药物信息、妥善存储</w:t>
            </w:r>
            <w:r>
              <w:rPr>
                <w:rFonts w:hint="eastAsia" w:cs="Times New Roman"/>
                <w:color w:val="auto"/>
                <w:spacing w:val="-1"/>
                <w:sz w:val="24"/>
                <w:szCs w:val="24"/>
                <w:highlight w:val="none"/>
                <w:lang w:val="en-US" w:eastAsia="zh-CN"/>
              </w:rPr>
              <w:t>，使用前由辐射工作人员将药物转移至</w:t>
            </w:r>
            <w:r>
              <w:rPr>
                <w:rFonts w:hint="default" w:ascii="Times New Roman" w:hAnsi="Times New Roman" w:eastAsia="宋体" w:cs="Times New Roman"/>
                <w:color w:val="auto"/>
                <w:spacing w:val="-1"/>
                <w:sz w:val="24"/>
                <w:szCs w:val="24"/>
                <w:highlight w:val="none"/>
              </w:rPr>
              <w:t>核医学</w:t>
            </w:r>
            <w:r>
              <w:rPr>
                <w:rFonts w:hint="default" w:ascii="Times New Roman" w:hAnsi="Times New Roman" w:eastAsia="宋体" w:cs="Times New Roman"/>
                <w:color w:val="auto"/>
                <w:spacing w:val="-1"/>
                <w:sz w:val="24"/>
                <w:szCs w:val="24"/>
                <w:highlight w:val="none"/>
                <w:lang w:val="en-US" w:eastAsia="zh-CN"/>
              </w:rPr>
              <w:t>楼</w:t>
            </w:r>
            <w:r>
              <w:rPr>
                <w:rFonts w:hint="default" w:ascii="Times New Roman" w:hAnsi="Times New Roman" w:eastAsia="宋体" w:cs="Times New Roman"/>
                <w:color w:val="auto"/>
                <w:spacing w:val="-2"/>
                <w:sz w:val="24"/>
                <w:szCs w:val="24"/>
                <w:highlight w:val="none"/>
              </w:rPr>
              <w:t>三层</w:t>
            </w:r>
            <w:r>
              <w:rPr>
                <w:rFonts w:hint="eastAsia" w:cs="Times New Roman"/>
                <w:color w:val="auto"/>
                <w:spacing w:val="-2"/>
                <w:sz w:val="24"/>
                <w:szCs w:val="24"/>
                <w:highlight w:val="none"/>
                <w:lang w:val="en-US" w:eastAsia="zh-CN"/>
              </w:rPr>
              <w:t>注射室</w:t>
            </w:r>
            <w:r>
              <w:rPr>
                <w:rFonts w:hint="default" w:ascii="Times New Roman" w:hAnsi="Times New Roman" w:eastAsia="宋体" w:cs="Times New Roman"/>
                <w:color w:val="auto"/>
                <w:spacing w:val="-2"/>
                <w:sz w:val="24"/>
                <w:szCs w:val="24"/>
                <w:highlight w:val="none"/>
              </w:rPr>
              <w:t>内。</w:t>
            </w:r>
          </w:p>
          <w:p w14:paraId="3F0E8D76">
            <w:pPr>
              <w:keepNext w:val="0"/>
              <w:keepLines w:val="0"/>
              <w:suppressLineNumbers w:val="0"/>
              <w:spacing w:before="0" w:beforeAutospacing="0" w:after="0" w:afterAutospacing="0" w:line="217" w:lineRule="auto"/>
              <w:ind w:left="595"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4"/>
                <w:sz w:val="24"/>
                <w:szCs w:val="24"/>
                <w:highlight w:val="none"/>
              </w:rPr>
              <w:t>②患者路线</w:t>
            </w:r>
          </w:p>
          <w:p w14:paraId="71EE2A39">
            <w:pPr>
              <w:keepNext w:val="0"/>
              <w:keepLines w:val="0"/>
              <w:suppressLineNumbers w:val="0"/>
              <w:spacing w:before="215" w:beforeAutospacing="0" w:after="0" w:afterAutospacing="0" w:line="385" w:lineRule="auto"/>
              <w:ind w:left="116" w:right="76" w:firstLine="489"/>
              <w:jc w:val="both"/>
              <w:rPr>
                <w:rFonts w:hint="default" w:ascii="Times New Roman" w:hAnsi="Times New Roman" w:eastAsia="宋体" w:cs="Times New Roman"/>
                <w:color w:val="auto"/>
                <w:sz w:val="24"/>
                <w:szCs w:val="24"/>
                <w:highlight w:val="none"/>
              </w:rPr>
            </w:pPr>
            <w:r>
              <w:rPr>
                <w:rFonts w:hint="eastAsia" w:cs="Times New Roman"/>
                <w:b w:val="0"/>
                <w:bCs w:val="0"/>
                <w:i w:val="0"/>
                <w:iCs w:val="0"/>
                <w:strike w:val="0"/>
                <w:color w:val="auto"/>
                <w:sz w:val="24"/>
                <w:szCs w:val="24"/>
                <w:highlight w:val="none"/>
                <w:vertAlign w:val="baseline"/>
                <w:lang w:eastAsia="zh-CN"/>
              </w:rPr>
              <w:t>Ra-223</w:t>
            </w:r>
            <w:r>
              <w:rPr>
                <w:rFonts w:hint="default" w:ascii="Times New Roman" w:hAnsi="Times New Roman" w:eastAsia="宋体" w:cs="Times New Roman"/>
                <w:b w:val="0"/>
                <w:bCs w:val="0"/>
                <w:i w:val="0"/>
                <w:iCs w:val="0"/>
                <w:strike w:val="0"/>
                <w:color w:val="auto"/>
                <w:sz w:val="24"/>
                <w:szCs w:val="24"/>
                <w:highlight w:val="none"/>
              </w:rPr>
              <w:t>、</w:t>
            </w:r>
            <w:r>
              <w:rPr>
                <w:rFonts w:hint="eastAsia" w:cs="Times New Roman"/>
                <w:b w:val="0"/>
                <w:bCs w:val="0"/>
                <w:i w:val="0"/>
                <w:iCs w:val="0"/>
                <w:strike w:val="0"/>
                <w:color w:val="auto"/>
                <w:sz w:val="24"/>
                <w:szCs w:val="24"/>
                <w:highlight w:val="none"/>
                <w:vertAlign w:val="baseline"/>
                <w:lang w:eastAsia="zh-CN"/>
              </w:rPr>
              <w:t>Ac-225</w:t>
            </w:r>
            <w:r>
              <w:rPr>
                <w:rFonts w:hint="default" w:ascii="Times New Roman" w:hAnsi="Times New Roman" w:eastAsia="Times New Roman" w:cs="Times New Roman"/>
                <w:color w:val="auto"/>
                <w:spacing w:val="17"/>
                <w:w w:val="101"/>
                <w:sz w:val="24"/>
                <w:szCs w:val="24"/>
                <w:highlight w:val="none"/>
              </w:rPr>
              <w:t xml:space="preserve"> </w:t>
            </w:r>
            <w:r>
              <w:rPr>
                <w:rFonts w:hint="default" w:ascii="Times New Roman" w:hAnsi="Times New Roman" w:eastAsia="宋体" w:cs="Times New Roman"/>
                <w:color w:val="auto"/>
                <w:spacing w:val="-2"/>
                <w:sz w:val="24"/>
                <w:szCs w:val="24"/>
                <w:highlight w:val="none"/>
              </w:rPr>
              <w:t>治疗患者由核医学</w:t>
            </w:r>
            <w:r>
              <w:rPr>
                <w:rFonts w:hint="default" w:ascii="Times New Roman" w:hAnsi="Times New Roman" w:eastAsia="宋体" w:cs="Times New Roman"/>
                <w:color w:val="auto"/>
                <w:spacing w:val="-2"/>
                <w:sz w:val="24"/>
                <w:szCs w:val="24"/>
                <w:highlight w:val="none"/>
                <w:lang w:val="en-US" w:eastAsia="zh-CN"/>
              </w:rPr>
              <w:t>楼</w:t>
            </w:r>
            <w:r>
              <w:rPr>
                <w:rFonts w:hint="eastAsia" w:cs="Times New Roman"/>
                <w:color w:val="auto"/>
                <w:spacing w:val="-2"/>
                <w:sz w:val="24"/>
                <w:szCs w:val="24"/>
                <w:highlight w:val="none"/>
                <w:lang w:val="en-US" w:eastAsia="zh-CN"/>
              </w:rPr>
              <w:t>西侧</w:t>
            </w:r>
            <w:r>
              <w:rPr>
                <w:rFonts w:hint="default" w:ascii="Times New Roman" w:hAnsi="Times New Roman" w:eastAsia="宋体" w:cs="Times New Roman"/>
                <w:color w:val="auto"/>
                <w:spacing w:val="-2"/>
                <w:sz w:val="24"/>
                <w:szCs w:val="24"/>
                <w:highlight w:val="none"/>
              </w:rPr>
              <w:t>入口进入，通过</w:t>
            </w:r>
            <w:r>
              <w:rPr>
                <w:rFonts w:hint="eastAsia" w:cs="Times New Roman"/>
                <w:color w:val="auto"/>
                <w:spacing w:val="-2"/>
                <w:sz w:val="24"/>
                <w:szCs w:val="24"/>
                <w:highlight w:val="none"/>
                <w:lang w:val="en-US" w:eastAsia="zh-CN"/>
              </w:rPr>
              <w:t>西侧</w:t>
            </w:r>
            <w:r>
              <w:rPr>
                <w:rFonts w:hint="default" w:ascii="Times New Roman" w:hAnsi="Times New Roman" w:eastAsia="宋体" w:cs="Times New Roman"/>
                <w:color w:val="auto"/>
                <w:spacing w:val="-2"/>
                <w:sz w:val="24"/>
                <w:szCs w:val="24"/>
                <w:highlight w:val="none"/>
              </w:rPr>
              <w:t>楼</w:t>
            </w:r>
            <w:r>
              <w:rPr>
                <w:rFonts w:hint="default" w:ascii="Times New Roman" w:hAnsi="Times New Roman" w:eastAsia="宋体" w:cs="Times New Roman"/>
                <w:color w:val="auto"/>
                <w:spacing w:val="-3"/>
                <w:sz w:val="24"/>
                <w:szCs w:val="24"/>
                <w:highlight w:val="none"/>
              </w:rPr>
              <w:t>梯到达三层，</w:t>
            </w:r>
            <w:r>
              <w:rPr>
                <w:rFonts w:hint="default" w:ascii="Times New Roman" w:hAnsi="Times New Roman" w:eastAsia="宋体" w:cs="Times New Roman"/>
                <w:color w:val="auto"/>
                <w:spacing w:val="-1"/>
                <w:sz w:val="24"/>
                <w:szCs w:val="24"/>
                <w:highlight w:val="none"/>
              </w:rPr>
              <w:t>在候诊大厅候诊，通过患者入口进入核医学</w:t>
            </w:r>
            <w:r>
              <w:rPr>
                <w:rFonts w:hint="default" w:ascii="Times New Roman" w:hAnsi="Times New Roman" w:eastAsia="宋体" w:cs="Times New Roman"/>
                <w:color w:val="auto"/>
                <w:spacing w:val="-1"/>
                <w:sz w:val="24"/>
                <w:szCs w:val="24"/>
                <w:highlight w:val="none"/>
                <w:lang w:val="en-US" w:eastAsia="zh-CN"/>
              </w:rPr>
              <w:t>楼</w:t>
            </w:r>
            <w:r>
              <w:rPr>
                <w:rFonts w:hint="default" w:ascii="Times New Roman" w:hAnsi="Times New Roman" w:eastAsia="宋体" w:cs="Times New Roman"/>
                <w:color w:val="auto"/>
                <w:spacing w:val="-1"/>
                <w:sz w:val="24"/>
                <w:szCs w:val="24"/>
                <w:highlight w:val="none"/>
              </w:rPr>
              <w:t>三层</w:t>
            </w:r>
            <w:r>
              <w:rPr>
                <w:rFonts w:hint="eastAsia" w:cs="Times New Roman"/>
                <w:color w:val="auto"/>
                <w:spacing w:val="-1"/>
                <w:sz w:val="24"/>
                <w:szCs w:val="24"/>
                <w:highlight w:val="none"/>
                <w:lang w:val="en-US" w:eastAsia="zh-CN"/>
              </w:rPr>
              <w:t>注射室</w:t>
            </w:r>
            <w:r>
              <w:rPr>
                <w:rFonts w:hint="default" w:ascii="Times New Roman" w:hAnsi="Times New Roman" w:eastAsia="宋体" w:cs="Times New Roman"/>
                <w:color w:val="auto"/>
                <w:spacing w:val="-1"/>
                <w:sz w:val="24"/>
                <w:szCs w:val="24"/>
                <w:highlight w:val="none"/>
              </w:rPr>
              <w:t>完成给药后，</w:t>
            </w:r>
            <w:r>
              <w:rPr>
                <w:rFonts w:hint="default" w:ascii="Times New Roman" w:hAnsi="Times New Roman" w:eastAsia="宋体" w:cs="Times New Roman"/>
                <w:color w:val="auto"/>
                <w:spacing w:val="-1"/>
                <w:sz w:val="24"/>
                <w:szCs w:val="24"/>
                <w:highlight w:val="none"/>
                <w:lang w:val="en-US" w:eastAsia="zh-CN"/>
              </w:rPr>
              <w:t>患者随治随走，不需要留观，治疗完成后随即经核医学楼三层</w:t>
            </w:r>
            <w:r>
              <w:rPr>
                <w:rFonts w:hint="eastAsia" w:cs="Times New Roman"/>
                <w:color w:val="auto"/>
                <w:spacing w:val="-1"/>
                <w:sz w:val="24"/>
                <w:szCs w:val="24"/>
                <w:highlight w:val="none"/>
                <w:lang w:val="en-US" w:eastAsia="zh-CN"/>
              </w:rPr>
              <w:t>东侧楼梯</w:t>
            </w:r>
            <w:r>
              <w:rPr>
                <w:rFonts w:hint="default" w:ascii="Times New Roman" w:hAnsi="Times New Roman" w:eastAsia="宋体" w:cs="Times New Roman"/>
                <w:color w:val="auto"/>
                <w:spacing w:val="-1"/>
                <w:sz w:val="24"/>
                <w:szCs w:val="24"/>
                <w:highlight w:val="none"/>
                <w:lang w:val="en-US" w:eastAsia="zh-CN"/>
              </w:rPr>
              <w:t>患者出口离开</w:t>
            </w:r>
            <w:r>
              <w:rPr>
                <w:rFonts w:hint="default" w:ascii="Times New Roman" w:hAnsi="Times New Roman" w:eastAsia="宋体" w:cs="Times New Roman"/>
                <w:color w:val="auto"/>
                <w:spacing w:val="-1"/>
                <w:sz w:val="24"/>
                <w:szCs w:val="24"/>
                <w:highlight w:val="none"/>
              </w:rPr>
              <w:t>。</w:t>
            </w:r>
          </w:p>
          <w:p w14:paraId="526E8970">
            <w:pPr>
              <w:keepNext w:val="0"/>
              <w:keepLines w:val="0"/>
              <w:suppressLineNumbers w:val="0"/>
              <w:spacing w:before="0" w:beforeAutospacing="0" w:after="0" w:afterAutospacing="0" w:line="217" w:lineRule="auto"/>
              <w:ind w:left="595"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3"/>
                <w:sz w:val="24"/>
                <w:szCs w:val="24"/>
                <w:highlight w:val="none"/>
              </w:rPr>
              <w:t>③医务人员路线</w:t>
            </w:r>
          </w:p>
          <w:p w14:paraId="601ADC02">
            <w:pPr>
              <w:keepNext w:val="0"/>
              <w:keepLines w:val="0"/>
              <w:suppressLineNumbers w:val="0"/>
              <w:spacing w:before="216" w:beforeAutospacing="0" w:after="0" w:afterAutospacing="0" w:line="385" w:lineRule="auto"/>
              <w:ind w:left="117" w:right="106" w:firstLine="482"/>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药物操作工作人员通过</w:t>
            </w:r>
            <w:r>
              <w:rPr>
                <w:rFonts w:hint="default" w:ascii="Times New Roman" w:hAnsi="Times New Roman" w:eastAsia="宋体" w:cs="Times New Roman"/>
                <w:color w:val="auto"/>
                <w:spacing w:val="-1"/>
                <w:sz w:val="24"/>
                <w:szCs w:val="24"/>
                <w:highlight w:val="none"/>
                <w:lang w:val="en-US" w:eastAsia="zh-CN"/>
              </w:rPr>
              <w:t>西侧医梯到达</w:t>
            </w:r>
            <w:r>
              <w:rPr>
                <w:rFonts w:hint="default" w:ascii="Times New Roman" w:hAnsi="Times New Roman" w:eastAsia="宋体" w:cs="Times New Roman"/>
                <w:color w:val="auto"/>
                <w:spacing w:val="-1"/>
                <w:sz w:val="24"/>
                <w:szCs w:val="24"/>
                <w:highlight w:val="none"/>
              </w:rPr>
              <w:t>核医学科</w:t>
            </w:r>
            <w:r>
              <w:rPr>
                <w:rFonts w:hint="default" w:ascii="Times New Roman" w:hAnsi="Times New Roman" w:eastAsia="宋体" w:cs="Times New Roman"/>
                <w:color w:val="auto"/>
                <w:spacing w:val="-1"/>
                <w:sz w:val="24"/>
                <w:szCs w:val="24"/>
                <w:highlight w:val="none"/>
                <w:lang w:val="en-US" w:eastAsia="zh-CN"/>
              </w:rPr>
              <w:t>三</w:t>
            </w:r>
            <w:r>
              <w:rPr>
                <w:rFonts w:hint="default" w:ascii="Times New Roman" w:hAnsi="Times New Roman" w:eastAsia="宋体" w:cs="Times New Roman"/>
                <w:color w:val="auto"/>
                <w:spacing w:val="-1"/>
                <w:sz w:val="24"/>
                <w:szCs w:val="24"/>
                <w:highlight w:val="none"/>
              </w:rPr>
              <w:t>层</w:t>
            </w:r>
            <w:r>
              <w:rPr>
                <w:rFonts w:hint="eastAsia" w:cs="Times New Roman"/>
                <w:color w:val="auto"/>
                <w:spacing w:val="-1"/>
                <w:sz w:val="24"/>
                <w:szCs w:val="24"/>
                <w:highlight w:val="none"/>
                <w:lang w:eastAsia="zh-CN"/>
              </w:rPr>
              <w:t>，</w:t>
            </w:r>
            <w:r>
              <w:rPr>
                <w:rFonts w:hint="eastAsia" w:cs="Times New Roman"/>
                <w:color w:val="auto"/>
                <w:spacing w:val="-1"/>
                <w:sz w:val="24"/>
                <w:szCs w:val="24"/>
                <w:highlight w:val="none"/>
                <w:lang w:val="en-US" w:eastAsia="zh-CN"/>
              </w:rPr>
              <w:t>沿医护通道进入</w:t>
            </w:r>
            <w:r>
              <w:rPr>
                <w:rFonts w:hint="default" w:ascii="Times New Roman" w:hAnsi="Times New Roman" w:eastAsia="宋体" w:cs="Times New Roman"/>
                <w:color w:val="auto"/>
                <w:spacing w:val="-1"/>
                <w:sz w:val="24"/>
                <w:szCs w:val="24"/>
                <w:highlight w:val="none"/>
              </w:rPr>
              <w:t>注射室内，通过注射窗口给患者注射，完成后通过去污、表污检测达标后原路返回离开核医学</w:t>
            </w:r>
            <w:r>
              <w:rPr>
                <w:rFonts w:hint="default" w:ascii="Times New Roman" w:hAnsi="Times New Roman" w:eastAsia="宋体" w:cs="Times New Roman"/>
                <w:color w:val="auto"/>
                <w:spacing w:val="-1"/>
                <w:sz w:val="24"/>
                <w:szCs w:val="24"/>
                <w:highlight w:val="none"/>
                <w:lang w:val="en-US" w:eastAsia="zh-CN"/>
              </w:rPr>
              <w:t>楼</w:t>
            </w:r>
            <w:r>
              <w:rPr>
                <w:rFonts w:hint="default" w:ascii="Times New Roman" w:hAnsi="Times New Roman" w:eastAsia="宋体" w:cs="Times New Roman"/>
                <w:color w:val="auto"/>
                <w:spacing w:val="-1"/>
                <w:sz w:val="24"/>
                <w:szCs w:val="24"/>
                <w:highlight w:val="none"/>
              </w:rPr>
              <w:t>。</w:t>
            </w:r>
          </w:p>
          <w:p w14:paraId="256292D8">
            <w:pPr>
              <w:keepNext w:val="0"/>
              <w:keepLines w:val="0"/>
              <w:suppressLineNumbers w:val="0"/>
              <w:spacing w:before="1" w:beforeAutospacing="0" w:after="0" w:afterAutospacing="0" w:line="219" w:lineRule="auto"/>
              <w:ind w:left="128"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5"/>
                <w:sz w:val="24"/>
                <w:szCs w:val="24"/>
                <w:highlight w:val="none"/>
              </w:rPr>
              <w:t>（</w:t>
            </w:r>
            <w:r>
              <w:rPr>
                <w:rFonts w:hint="default" w:ascii="Times New Roman" w:hAnsi="Times New Roman" w:eastAsia="Times New Roman" w:cs="Times New Roman"/>
                <w:b/>
                <w:bCs/>
                <w:color w:val="auto"/>
                <w:spacing w:val="-5"/>
                <w:sz w:val="24"/>
                <w:szCs w:val="24"/>
                <w:highlight w:val="none"/>
              </w:rPr>
              <w:t>4</w:t>
            </w:r>
            <w:r>
              <w:rPr>
                <w:rFonts w:hint="default" w:ascii="Times New Roman" w:hAnsi="Times New Roman" w:eastAsia="宋体" w:cs="Times New Roman"/>
                <w:b/>
                <w:bCs/>
                <w:color w:val="auto"/>
                <w:spacing w:val="-5"/>
                <w:sz w:val="24"/>
                <w:szCs w:val="24"/>
                <w:highlight w:val="none"/>
              </w:rPr>
              <w:t>）诊断规划</w:t>
            </w:r>
          </w:p>
          <w:p w14:paraId="57920389">
            <w:pPr>
              <w:keepNext w:val="0"/>
              <w:keepLines w:val="0"/>
              <w:suppressLineNumbers w:val="0"/>
              <w:spacing w:before="55" w:beforeAutospacing="0" w:after="0" w:afterAutospacing="0" w:line="359" w:lineRule="auto"/>
              <w:ind w:left="117" w:right="106" w:firstLine="488"/>
              <w:jc w:val="both"/>
              <w:rPr>
                <w:rFonts w:hint="default" w:ascii="Times New Roman" w:hAnsi="Times New Roman" w:eastAsia="宋体" w:cs="Times New Roman"/>
                <w:color w:val="auto"/>
                <w:spacing w:val="-4"/>
                <w:sz w:val="24"/>
                <w:szCs w:val="24"/>
                <w:highlight w:val="none"/>
              </w:rPr>
            </w:pPr>
            <w:r>
              <w:rPr>
                <w:rFonts w:hint="eastAsia" w:eastAsia="宋体" w:cs="Times New Roman"/>
                <w:color w:val="auto"/>
                <w:spacing w:val="15"/>
                <w:sz w:val="24"/>
                <w:szCs w:val="24"/>
                <w:highlight w:val="none"/>
                <w:vertAlign w:val="baseline"/>
                <w:lang w:eastAsia="zh-CN"/>
              </w:rPr>
              <w:t>Ra-223</w:t>
            </w:r>
            <w:r>
              <w:rPr>
                <w:rFonts w:hint="default" w:ascii="Times New Roman" w:hAnsi="Times New Roman" w:eastAsia="Times New Roman" w:cs="Times New Roman"/>
                <w:color w:val="auto"/>
                <w:spacing w:val="15"/>
                <w:sz w:val="24"/>
                <w:szCs w:val="24"/>
                <w:highlight w:val="none"/>
              </w:rPr>
              <w:t>、</w:t>
            </w:r>
            <w:r>
              <w:rPr>
                <w:rFonts w:hint="eastAsia" w:eastAsia="宋体" w:cs="Times New Roman"/>
                <w:color w:val="auto"/>
                <w:spacing w:val="15"/>
                <w:sz w:val="24"/>
                <w:szCs w:val="24"/>
                <w:highlight w:val="none"/>
                <w:vertAlign w:val="baseline"/>
                <w:lang w:eastAsia="zh-CN"/>
              </w:rPr>
              <w:t>Ac-225</w:t>
            </w:r>
            <w:r>
              <w:rPr>
                <w:rFonts w:hint="default" w:ascii="Times New Roman" w:hAnsi="Times New Roman" w:eastAsia="宋体" w:cs="Times New Roman"/>
                <w:color w:val="auto"/>
                <w:spacing w:val="-3"/>
                <w:sz w:val="24"/>
                <w:szCs w:val="24"/>
                <w:highlight w:val="none"/>
              </w:rPr>
              <w:t>核素治疗工作量：每日最大接诊</w:t>
            </w:r>
            <w:r>
              <w:rPr>
                <w:rFonts w:hint="default" w:ascii="Times New Roman" w:hAnsi="Times New Roman" w:eastAsia="宋体" w:cs="Times New Roman"/>
                <w:color w:val="auto"/>
                <w:spacing w:val="-4"/>
                <w:sz w:val="24"/>
                <w:szCs w:val="24"/>
                <w:highlight w:val="none"/>
              </w:rPr>
              <w:t>量为</w:t>
            </w:r>
            <w:r>
              <w:rPr>
                <w:rFonts w:hint="default" w:ascii="Times New Roman" w:hAnsi="Times New Roman" w:eastAsia="宋体" w:cs="Times New Roman"/>
                <w:color w:val="auto"/>
                <w:spacing w:val="-4"/>
                <w:sz w:val="24"/>
                <w:szCs w:val="24"/>
                <w:highlight w:val="none"/>
                <w:lang w:val="en-US" w:eastAsia="zh-CN"/>
              </w:rPr>
              <w:t>各</w:t>
            </w:r>
            <w:r>
              <w:rPr>
                <w:rFonts w:hint="default" w:ascii="Times New Roman" w:hAnsi="Times New Roman" w:eastAsia="Times New Roman" w:cs="Times New Roman"/>
                <w:color w:val="auto"/>
                <w:spacing w:val="-4"/>
                <w:sz w:val="24"/>
                <w:szCs w:val="24"/>
                <w:highlight w:val="none"/>
              </w:rPr>
              <w:t>1</w:t>
            </w:r>
            <w:r>
              <w:rPr>
                <w:rFonts w:hint="default" w:ascii="Times New Roman" w:hAnsi="Times New Roman" w:eastAsia="宋体" w:cs="Times New Roman"/>
                <w:color w:val="auto"/>
                <w:spacing w:val="-4"/>
                <w:sz w:val="24"/>
                <w:szCs w:val="24"/>
                <w:highlight w:val="none"/>
              </w:rPr>
              <w:t>人，</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Ra-223日最大操作量至5.50E+06Bq，合计0.15mCi，Ac-225日最大操作量为1.00E+07Bq，合计0.27mCi</w:t>
            </w:r>
          </w:p>
          <w:p w14:paraId="1C220763">
            <w:pPr>
              <w:keepNext w:val="0"/>
              <w:keepLines w:val="0"/>
              <w:suppressLineNumbers w:val="0"/>
              <w:spacing w:before="55" w:beforeAutospacing="0" w:after="0" w:afterAutospacing="0" w:line="359" w:lineRule="auto"/>
              <w:ind w:left="117" w:right="106" w:firstLine="488"/>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相关放射性属性</w:t>
            </w:r>
            <w:r>
              <w:rPr>
                <w:rFonts w:hint="eastAsia" w:cs="Times New Roman"/>
                <w:color w:val="auto"/>
                <w:spacing w:val="-1"/>
                <w:sz w:val="24"/>
                <w:szCs w:val="24"/>
                <w:highlight w:val="none"/>
                <w:lang w:val="en-US" w:eastAsia="zh-CN"/>
              </w:rPr>
              <w:t>下表</w:t>
            </w:r>
            <w:r>
              <w:rPr>
                <w:rFonts w:hint="default" w:ascii="Times New Roman" w:hAnsi="Times New Roman" w:eastAsia="宋体" w:cs="Times New Roman"/>
                <w:color w:val="auto"/>
                <w:spacing w:val="-2"/>
                <w:sz w:val="24"/>
                <w:szCs w:val="24"/>
                <w:highlight w:val="none"/>
              </w:rPr>
              <w:t>。</w:t>
            </w:r>
          </w:p>
          <w:p w14:paraId="7F1521F3">
            <w:pPr>
              <w:keepNext w:val="0"/>
              <w:keepLines w:val="0"/>
              <w:suppressLineNumbers w:val="0"/>
              <w:spacing w:before="1" w:beforeAutospacing="0" w:after="0" w:afterAutospacing="0" w:line="219" w:lineRule="auto"/>
              <w:ind w:left="2741"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2"/>
                <w:sz w:val="24"/>
                <w:szCs w:val="24"/>
                <w:highlight w:val="none"/>
              </w:rPr>
              <w:t>表</w:t>
            </w:r>
            <w:r>
              <w:rPr>
                <w:rFonts w:hint="default" w:ascii="Times New Roman" w:hAnsi="Times New Roman" w:eastAsia="Times New Roman" w:cs="Times New Roman"/>
                <w:b/>
                <w:bCs/>
                <w:color w:val="auto"/>
                <w:spacing w:val="-2"/>
                <w:sz w:val="24"/>
                <w:szCs w:val="24"/>
                <w:highlight w:val="none"/>
              </w:rPr>
              <w:t>9</w:t>
            </w:r>
            <w:r>
              <w:rPr>
                <w:rFonts w:hint="eastAsia" w:eastAsia="宋体" w:cs="Times New Roman"/>
                <w:b/>
                <w:bCs/>
                <w:color w:val="auto"/>
                <w:spacing w:val="-2"/>
                <w:sz w:val="24"/>
                <w:szCs w:val="24"/>
                <w:highlight w:val="none"/>
                <w:lang w:val="en-US" w:eastAsia="zh-CN"/>
              </w:rPr>
              <w:t>-1</w:t>
            </w:r>
            <w:r>
              <w:rPr>
                <w:rFonts w:hint="eastAsia" w:cs="Times New Roman"/>
                <w:b/>
                <w:bCs/>
                <w:color w:val="auto"/>
                <w:spacing w:val="-2"/>
                <w:sz w:val="24"/>
                <w:szCs w:val="24"/>
                <w:highlight w:val="none"/>
                <w:lang w:val="en-US" w:eastAsia="zh-CN"/>
              </w:rPr>
              <w:t>7</w:t>
            </w:r>
            <w:r>
              <w:rPr>
                <w:rFonts w:hint="default" w:ascii="Times New Roman" w:hAnsi="Times New Roman" w:eastAsia="宋体" w:cs="Times New Roman"/>
                <w:b/>
                <w:bCs/>
                <w:color w:val="auto"/>
                <w:spacing w:val="-2"/>
                <w:sz w:val="24"/>
                <w:szCs w:val="24"/>
                <w:highlight w:val="none"/>
                <w:lang w:val="en-US" w:eastAsia="zh-CN"/>
              </w:rPr>
              <w:t xml:space="preserve"> </w:t>
            </w:r>
            <w:r>
              <w:rPr>
                <w:rFonts w:hint="default" w:ascii="Times New Roman" w:hAnsi="Times New Roman" w:eastAsia="宋体" w:cs="Times New Roman"/>
                <w:b/>
                <w:bCs/>
                <w:color w:val="auto"/>
                <w:spacing w:val="-2"/>
                <w:sz w:val="24"/>
                <w:szCs w:val="24"/>
                <w:highlight w:val="none"/>
                <w:vertAlign w:val="baseline"/>
                <w:lang w:val="en-US" w:eastAsia="zh-CN"/>
              </w:rPr>
              <w:t xml:space="preserve"> </w:t>
            </w:r>
            <w:r>
              <w:rPr>
                <w:rFonts w:hint="eastAsia" w:ascii="Times New Roman" w:hAnsi="Times New Roman" w:eastAsia="宋体" w:cs="Times New Roman"/>
                <w:b/>
                <w:bCs/>
                <w:color w:val="auto"/>
                <w:spacing w:val="-2"/>
                <w:sz w:val="24"/>
                <w:szCs w:val="24"/>
                <w:highlight w:val="none"/>
                <w:lang w:eastAsia="zh-CN"/>
              </w:rPr>
              <w:t>Ra-223</w:t>
            </w:r>
            <w:r>
              <w:rPr>
                <w:rFonts w:hint="default" w:ascii="Times New Roman" w:hAnsi="Times New Roman" w:eastAsia="宋体" w:cs="Times New Roman"/>
                <w:b/>
                <w:bCs/>
                <w:color w:val="auto"/>
                <w:spacing w:val="-2"/>
                <w:sz w:val="24"/>
                <w:szCs w:val="24"/>
                <w:highlight w:val="none"/>
              </w:rPr>
              <w:t>、</w:t>
            </w:r>
            <w:r>
              <w:rPr>
                <w:rFonts w:hint="eastAsia" w:ascii="Times New Roman" w:hAnsi="Times New Roman" w:eastAsia="宋体" w:cs="Times New Roman"/>
                <w:b/>
                <w:bCs/>
                <w:color w:val="auto"/>
                <w:spacing w:val="-2"/>
                <w:sz w:val="24"/>
                <w:szCs w:val="24"/>
                <w:highlight w:val="none"/>
                <w:lang w:eastAsia="zh-CN"/>
              </w:rPr>
              <w:t>Ac-225</w:t>
            </w:r>
            <w:r>
              <w:rPr>
                <w:rFonts w:hint="default" w:ascii="Times New Roman" w:hAnsi="Times New Roman" w:eastAsia="宋体" w:cs="Times New Roman"/>
                <w:b/>
                <w:bCs/>
                <w:color w:val="auto"/>
                <w:spacing w:val="-2"/>
                <w:sz w:val="24"/>
                <w:szCs w:val="24"/>
                <w:highlight w:val="none"/>
              </w:rPr>
              <w:t>治疗用核素相关放射性属性</w:t>
            </w:r>
          </w:p>
          <w:p w14:paraId="10192AA3">
            <w:pPr>
              <w:keepNext w:val="0"/>
              <w:keepLines w:val="0"/>
              <w:suppressLineNumbers w:val="0"/>
              <w:spacing w:before="0" w:beforeAutospacing="0" w:after="0" w:afterAutospacing="0" w:line="147" w:lineRule="exact"/>
              <w:ind w:left="0" w:right="0"/>
              <w:jc w:val="both"/>
              <w:rPr>
                <w:rFonts w:hint="default" w:ascii="Times New Roman" w:hAnsi="Times New Roman" w:cs="Times New Roman"/>
                <w:color w:val="auto"/>
                <w:highlight w:val="none"/>
              </w:rPr>
            </w:pPr>
          </w:p>
          <w:tbl>
            <w:tblPr>
              <w:tblStyle w:val="30"/>
              <w:tblW w:w="9057" w:type="dxa"/>
              <w:tblInd w:w="97"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0"/>
              <w:gridCol w:w="846"/>
              <w:gridCol w:w="846"/>
              <w:gridCol w:w="1127"/>
              <w:gridCol w:w="1127"/>
              <w:gridCol w:w="1554"/>
              <w:gridCol w:w="2417"/>
            </w:tblGrid>
            <w:tr w14:paraId="58DD05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1140" w:type="dxa"/>
                  <w:tcBorders>
                    <w:tl2br w:val="nil"/>
                    <w:tr2bl w:val="nil"/>
                  </w:tcBorders>
                  <w:vAlign w:val="center"/>
                </w:tcPr>
                <w:p w14:paraId="3290B465">
                  <w:pPr>
                    <w:keepNext w:val="0"/>
                    <w:keepLines w:val="0"/>
                    <w:suppressLineNumbers w:val="0"/>
                    <w:spacing w:before="169" w:beforeAutospacing="0" w:after="0" w:afterAutospacing="0" w:line="228" w:lineRule="auto"/>
                    <w:ind w:left="159"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5"/>
                      <w:sz w:val="20"/>
                      <w:szCs w:val="20"/>
                      <w:highlight w:val="none"/>
                    </w:rPr>
                    <w:t>核素名称</w:t>
                  </w:r>
                </w:p>
              </w:tc>
              <w:tc>
                <w:tcPr>
                  <w:tcW w:w="846" w:type="dxa"/>
                  <w:tcBorders>
                    <w:tl2br w:val="nil"/>
                    <w:tr2bl w:val="nil"/>
                  </w:tcBorders>
                  <w:vAlign w:val="center"/>
                </w:tcPr>
                <w:p w14:paraId="044BF164">
                  <w:pPr>
                    <w:keepNext w:val="0"/>
                    <w:keepLines w:val="0"/>
                    <w:suppressLineNumbers w:val="0"/>
                    <w:spacing w:before="169" w:beforeAutospacing="0" w:after="0" w:afterAutospacing="0" w:line="228" w:lineRule="auto"/>
                    <w:ind w:left="217"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3"/>
                      <w:sz w:val="20"/>
                      <w:szCs w:val="20"/>
                      <w:highlight w:val="none"/>
                    </w:rPr>
                    <w:t>状态</w:t>
                  </w:r>
                </w:p>
              </w:tc>
              <w:tc>
                <w:tcPr>
                  <w:tcW w:w="846" w:type="dxa"/>
                  <w:tcBorders>
                    <w:tl2br w:val="nil"/>
                    <w:tr2bl w:val="nil"/>
                  </w:tcBorders>
                  <w:vAlign w:val="center"/>
                </w:tcPr>
                <w:p w14:paraId="200DD861">
                  <w:pPr>
                    <w:keepNext w:val="0"/>
                    <w:keepLines w:val="0"/>
                    <w:suppressLineNumbers w:val="0"/>
                    <w:spacing w:before="170" w:beforeAutospacing="0" w:after="0" w:afterAutospacing="0" w:line="228" w:lineRule="auto"/>
                    <w:ind w:left="116"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4"/>
                      <w:sz w:val="20"/>
                      <w:szCs w:val="20"/>
                      <w:highlight w:val="none"/>
                    </w:rPr>
                    <w:t>半衰期</w:t>
                  </w:r>
                </w:p>
              </w:tc>
              <w:tc>
                <w:tcPr>
                  <w:tcW w:w="1127" w:type="dxa"/>
                  <w:tcBorders>
                    <w:tl2br w:val="nil"/>
                    <w:tr2bl w:val="nil"/>
                  </w:tcBorders>
                  <w:vAlign w:val="center"/>
                </w:tcPr>
                <w:p w14:paraId="34DFB89A">
                  <w:pPr>
                    <w:keepNext w:val="0"/>
                    <w:keepLines w:val="0"/>
                    <w:suppressLineNumbers w:val="0"/>
                    <w:spacing w:before="169" w:beforeAutospacing="0" w:after="0" w:afterAutospacing="0" w:line="228" w:lineRule="auto"/>
                    <w:ind w:left="150"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毒性组别</w:t>
                  </w:r>
                </w:p>
              </w:tc>
              <w:tc>
                <w:tcPr>
                  <w:tcW w:w="1127" w:type="dxa"/>
                  <w:tcBorders>
                    <w:tl2br w:val="nil"/>
                    <w:tr2bl w:val="nil"/>
                  </w:tcBorders>
                  <w:vAlign w:val="center"/>
                </w:tcPr>
                <w:p w14:paraId="50DCE229">
                  <w:pPr>
                    <w:keepNext w:val="0"/>
                    <w:keepLines w:val="0"/>
                    <w:suppressLineNumbers w:val="0"/>
                    <w:spacing w:before="170" w:beforeAutospacing="0" w:after="0" w:afterAutospacing="0" w:line="228" w:lineRule="auto"/>
                    <w:ind w:left="151"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衰变方式</w:t>
                  </w:r>
                </w:p>
              </w:tc>
              <w:tc>
                <w:tcPr>
                  <w:tcW w:w="1554" w:type="dxa"/>
                  <w:tcBorders>
                    <w:tl2br w:val="nil"/>
                    <w:tr2bl w:val="nil"/>
                  </w:tcBorders>
                  <w:vAlign w:val="center"/>
                </w:tcPr>
                <w:p w14:paraId="7B73B5D9">
                  <w:pPr>
                    <w:keepNext w:val="0"/>
                    <w:keepLines w:val="0"/>
                    <w:suppressLineNumbers w:val="0"/>
                    <w:spacing w:before="36" w:beforeAutospacing="0" w:after="0" w:afterAutospacing="0" w:line="233" w:lineRule="auto"/>
                    <w:ind w:left="0" w:right="147"/>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主要射线和能</w:t>
                  </w:r>
                  <w:r>
                    <w:rPr>
                      <w:rFonts w:hint="default" w:ascii="Times New Roman" w:hAnsi="Times New Roman" w:eastAsia="宋体" w:cs="Times New Roman"/>
                      <w:b/>
                      <w:bCs/>
                      <w:color w:val="auto"/>
                      <w:spacing w:val="8"/>
                      <w:sz w:val="20"/>
                      <w:szCs w:val="20"/>
                      <w:highlight w:val="none"/>
                    </w:rPr>
                    <w:t>量（</w:t>
                  </w:r>
                  <w:r>
                    <w:rPr>
                      <w:rFonts w:hint="default" w:ascii="Times New Roman" w:hAnsi="Times New Roman" w:eastAsia="Times New Roman" w:cs="Times New Roman"/>
                      <w:b/>
                      <w:bCs/>
                      <w:color w:val="auto"/>
                      <w:sz w:val="20"/>
                      <w:szCs w:val="20"/>
                      <w:highlight w:val="none"/>
                    </w:rPr>
                    <w:t>MeV</w:t>
                  </w:r>
                  <w:r>
                    <w:rPr>
                      <w:rFonts w:hint="default" w:ascii="Times New Roman" w:hAnsi="Times New Roman" w:eastAsia="宋体" w:cs="Times New Roman"/>
                      <w:b/>
                      <w:bCs/>
                      <w:color w:val="auto"/>
                      <w:spacing w:val="8"/>
                      <w:sz w:val="20"/>
                      <w:szCs w:val="20"/>
                      <w:highlight w:val="none"/>
                    </w:rPr>
                    <w:t>）</w:t>
                  </w:r>
                </w:p>
              </w:tc>
              <w:tc>
                <w:tcPr>
                  <w:tcW w:w="2417" w:type="dxa"/>
                  <w:tcBorders>
                    <w:tl2br w:val="nil"/>
                    <w:tr2bl w:val="nil"/>
                  </w:tcBorders>
                  <w:vAlign w:val="center"/>
                </w:tcPr>
                <w:p w14:paraId="37C16AAB">
                  <w:pPr>
                    <w:keepNext w:val="0"/>
                    <w:keepLines w:val="0"/>
                    <w:suppressLineNumbers w:val="0"/>
                    <w:spacing w:before="36" w:beforeAutospacing="0" w:after="0" w:afterAutospacing="0" w:line="233" w:lineRule="auto"/>
                    <w:ind w:left="0" w:right="131"/>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空气比释动能率常数</w:t>
                  </w:r>
                  <w:r>
                    <w:rPr>
                      <w:rFonts w:hint="default" w:ascii="Times New Roman" w:hAnsi="Times New Roman" w:eastAsia="宋体" w:cs="Times New Roman"/>
                      <w:b/>
                      <w:bCs/>
                      <w:color w:val="auto"/>
                      <w:spacing w:val="-2"/>
                      <w:sz w:val="20"/>
                      <w:szCs w:val="20"/>
                      <w:highlight w:val="none"/>
                    </w:rPr>
                    <w:t>(</w:t>
                  </w:r>
                  <w:r>
                    <w:rPr>
                      <w:rFonts w:hint="default" w:ascii="Times New Roman" w:hAnsi="Times New Roman" w:eastAsia="Times New Roman" w:cs="Times New Roman"/>
                      <w:b/>
                      <w:bCs/>
                      <w:color w:val="auto"/>
                      <w:spacing w:val="-2"/>
                      <w:sz w:val="20"/>
                      <w:szCs w:val="20"/>
                      <w:highlight w:val="none"/>
                    </w:rPr>
                    <w:t>μGy·m</w:t>
                  </w:r>
                  <w:r>
                    <w:rPr>
                      <w:rFonts w:hint="default" w:ascii="Times New Roman" w:hAnsi="Times New Roman" w:eastAsia="Times New Roman" w:cs="Times New Roman"/>
                      <w:b/>
                      <w:bCs/>
                      <w:color w:val="auto"/>
                      <w:spacing w:val="-2"/>
                      <w:position w:val="6"/>
                      <w:sz w:val="20"/>
                      <w:szCs w:val="20"/>
                      <w:highlight w:val="none"/>
                      <w:vertAlign w:val="superscript"/>
                    </w:rPr>
                    <w:t>2</w:t>
                  </w:r>
                  <w:r>
                    <w:rPr>
                      <w:rFonts w:hint="default" w:ascii="Times New Roman" w:hAnsi="Times New Roman" w:eastAsia="Times New Roman" w:cs="Times New Roman"/>
                      <w:b/>
                      <w:bCs/>
                      <w:color w:val="auto"/>
                      <w:spacing w:val="-2"/>
                      <w:sz w:val="20"/>
                      <w:szCs w:val="20"/>
                      <w:highlight w:val="none"/>
                    </w:rPr>
                    <w:t>·MBq</w:t>
                  </w:r>
                  <w:r>
                    <w:rPr>
                      <w:rFonts w:hint="default" w:ascii="Times New Roman" w:hAnsi="Times New Roman" w:eastAsia="Times New Roman" w:cs="Times New Roman"/>
                      <w:b/>
                      <w:bCs/>
                      <w:color w:val="auto"/>
                      <w:spacing w:val="-2"/>
                      <w:position w:val="6"/>
                      <w:sz w:val="20"/>
                      <w:szCs w:val="20"/>
                      <w:highlight w:val="none"/>
                      <w:vertAlign w:val="superscript"/>
                    </w:rPr>
                    <w:t>-1</w:t>
                  </w:r>
                  <w:r>
                    <w:rPr>
                      <w:rFonts w:hint="default" w:ascii="Times New Roman" w:hAnsi="Times New Roman" w:eastAsia="宋体" w:cs="Times New Roman"/>
                      <w:b/>
                      <w:bCs/>
                      <w:color w:val="auto"/>
                      <w:spacing w:val="-2"/>
                      <w:sz w:val="20"/>
                      <w:szCs w:val="20"/>
                      <w:highlight w:val="none"/>
                    </w:rPr>
                    <w:t>·</w:t>
                  </w:r>
                  <w:r>
                    <w:rPr>
                      <w:rFonts w:hint="default" w:ascii="Times New Roman" w:hAnsi="Times New Roman" w:eastAsia="Times New Roman" w:cs="Times New Roman"/>
                      <w:b/>
                      <w:bCs/>
                      <w:color w:val="auto"/>
                      <w:spacing w:val="-2"/>
                      <w:sz w:val="20"/>
                      <w:szCs w:val="20"/>
                      <w:highlight w:val="none"/>
                    </w:rPr>
                    <w:t>h</w:t>
                  </w:r>
                  <w:r>
                    <w:rPr>
                      <w:rFonts w:hint="default" w:ascii="Times New Roman" w:hAnsi="Times New Roman" w:eastAsia="Times New Roman" w:cs="Times New Roman"/>
                      <w:b/>
                      <w:bCs/>
                      <w:color w:val="auto"/>
                      <w:spacing w:val="-2"/>
                      <w:position w:val="6"/>
                      <w:sz w:val="20"/>
                      <w:szCs w:val="20"/>
                      <w:highlight w:val="none"/>
                      <w:vertAlign w:val="superscript"/>
                    </w:rPr>
                    <w:t>-1</w:t>
                  </w:r>
                  <w:r>
                    <w:rPr>
                      <w:rFonts w:hint="default" w:ascii="Times New Roman" w:hAnsi="Times New Roman" w:eastAsia="宋体" w:cs="Times New Roman"/>
                      <w:b/>
                      <w:bCs/>
                      <w:color w:val="auto"/>
                      <w:spacing w:val="-2"/>
                      <w:sz w:val="20"/>
                      <w:szCs w:val="20"/>
                      <w:highlight w:val="none"/>
                    </w:rPr>
                    <w:t>）</w:t>
                  </w:r>
                </w:p>
              </w:tc>
            </w:tr>
            <w:tr w14:paraId="658D46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140" w:type="dxa"/>
                  <w:tcBorders>
                    <w:tl2br w:val="nil"/>
                    <w:tr2bl w:val="nil"/>
                  </w:tcBorders>
                  <w:vAlign w:val="center"/>
                </w:tcPr>
                <w:p w14:paraId="2F9A36F5">
                  <w:pPr>
                    <w:keepNext w:val="0"/>
                    <w:keepLines w:val="0"/>
                    <w:suppressLineNumbers w:val="0"/>
                    <w:spacing w:before="142" w:beforeAutospacing="0" w:after="0" w:afterAutospacing="0" w:line="209" w:lineRule="auto"/>
                    <w:ind w:left="339" w:right="0"/>
                    <w:jc w:val="center"/>
                    <w:rPr>
                      <w:rFonts w:hint="eastAsia" w:ascii="Times New Roman" w:hAnsi="Times New Roman" w:eastAsia="宋体" w:cs="Times New Roman"/>
                      <w:color w:val="auto"/>
                      <w:sz w:val="20"/>
                      <w:szCs w:val="20"/>
                      <w:highlight w:val="none"/>
                      <w:lang w:eastAsia="zh-CN"/>
                    </w:rPr>
                  </w:pPr>
                  <w:r>
                    <w:rPr>
                      <w:rFonts w:hint="eastAsia" w:eastAsia="宋体" w:cs="Times New Roman"/>
                      <w:color w:val="auto"/>
                      <w:spacing w:val="15"/>
                      <w:sz w:val="20"/>
                      <w:szCs w:val="20"/>
                      <w:highlight w:val="none"/>
                      <w:vertAlign w:val="baseline"/>
                      <w:lang w:eastAsia="zh-CN"/>
                    </w:rPr>
                    <w:t>Ra-223</w:t>
                  </w:r>
                </w:p>
              </w:tc>
              <w:tc>
                <w:tcPr>
                  <w:tcW w:w="846" w:type="dxa"/>
                  <w:tcBorders>
                    <w:tl2br w:val="nil"/>
                    <w:tr2bl w:val="nil"/>
                  </w:tcBorders>
                  <w:vAlign w:val="center"/>
                </w:tcPr>
                <w:p w14:paraId="2700D096">
                  <w:pPr>
                    <w:keepNext w:val="0"/>
                    <w:keepLines w:val="0"/>
                    <w:suppressLineNumbers w:val="0"/>
                    <w:spacing w:before="140" w:beforeAutospacing="0" w:after="0" w:afterAutospacing="0" w:line="228" w:lineRule="auto"/>
                    <w:ind w:left="219"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3"/>
                      <w:sz w:val="20"/>
                      <w:szCs w:val="20"/>
                      <w:highlight w:val="none"/>
                    </w:rPr>
                    <w:t>液态</w:t>
                  </w:r>
                </w:p>
              </w:tc>
              <w:tc>
                <w:tcPr>
                  <w:tcW w:w="846" w:type="dxa"/>
                  <w:tcBorders>
                    <w:tl2br w:val="nil"/>
                    <w:tr2bl w:val="nil"/>
                  </w:tcBorders>
                  <w:vAlign w:val="center"/>
                </w:tcPr>
                <w:p w14:paraId="6E7BC0B1">
                  <w:pPr>
                    <w:keepNext w:val="0"/>
                    <w:keepLines w:val="0"/>
                    <w:suppressLineNumbers w:val="0"/>
                    <w:spacing w:before="171" w:beforeAutospacing="0" w:after="0" w:afterAutospacing="0" w:line="199" w:lineRule="auto"/>
                    <w:ind w:left="193" w:right="0"/>
                    <w:jc w:val="center"/>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color w:val="auto"/>
                      <w:spacing w:val="2"/>
                      <w:sz w:val="20"/>
                      <w:szCs w:val="20"/>
                      <w:highlight w:val="none"/>
                      <w:lang w:val="en-US" w:eastAsia="zh-CN"/>
                    </w:rPr>
                    <w:t>11.44d</w:t>
                  </w:r>
                </w:p>
              </w:tc>
              <w:tc>
                <w:tcPr>
                  <w:tcW w:w="1127" w:type="dxa"/>
                  <w:tcBorders>
                    <w:tl2br w:val="nil"/>
                    <w:tr2bl w:val="nil"/>
                  </w:tcBorders>
                  <w:vAlign w:val="center"/>
                </w:tcPr>
                <w:p w14:paraId="07F7ED6F">
                  <w:pPr>
                    <w:keepNext w:val="0"/>
                    <w:keepLines w:val="0"/>
                    <w:suppressLineNumbers w:val="0"/>
                    <w:spacing w:before="139" w:beforeAutospacing="0" w:after="0" w:afterAutospacing="0" w:line="228" w:lineRule="auto"/>
                    <w:ind w:left="379" w:right="0"/>
                    <w:jc w:val="both"/>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5"/>
                      <w:sz w:val="20"/>
                      <w:szCs w:val="20"/>
                      <w:highlight w:val="none"/>
                      <w:lang w:val="en-US" w:eastAsia="zh-CN"/>
                    </w:rPr>
                    <w:t>极毒</w:t>
                  </w:r>
                </w:p>
              </w:tc>
              <w:tc>
                <w:tcPr>
                  <w:tcW w:w="1127" w:type="dxa"/>
                  <w:tcBorders>
                    <w:tl2br w:val="nil"/>
                    <w:tr2bl w:val="nil"/>
                  </w:tcBorders>
                  <w:vAlign w:val="center"/>
                </w:tcPr>
                <w:p w14:paraId="4818C2C9">
                  <w:pPr>
                    <w:keepNext w:val="0"/>
                    <w:keepLines w:val="0"/>
                    <w:suppressLineNumbers w:val="0"/>
                    <w:spacing w:before="172" w:beforeAutospacing="0" w:after="0" w:afterAutospacing="0" w:line="200" w:lineRule="auto"/>
                    <w:ind w:left="499" w:right="0"/>
                    <w:jc w:val="both"/>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color w:val="auto"/>
                      <w:spacing w:val="-1"/>
                      <w:sz w:val="20"/>
                      <w:szCs w:val="20"/>
                      <w:highlight w:val="none"/>
                      <w:lang w:val="en-US" w:eastAsia="zh-CN"/>
                    </w:rPr>
                    <w:t>α</w:t>
                  </w:r>
                </w:p>
              </w:tc>
              <w:tc>
                <w:tcPr>
                  <w:tcW w:w="1554" w:type="dxa"/>
                  <w:tcBorders>
                    <w:tl2br w:val="nil"/>
                    <w:tr2bl w:val="nil"/>
                  </w:tcBorders>
                  <w:vAlign w:val="center"/>
                </w:tcPr>
                <w:p w14:paraId="66411791">
                  <w:pPr>
                    <w:keepNext w:val="0"/>
                    <w:keepLines w:val="0"/>
                    <w:suppressLineNumbers w:val="0"/>
                    <w:spacing w:before="139" w:beforeAutospacing="0" w:after="0" w:afterAutospacing="0" w:line="221" w:lineRule="auto"/>
                    <w:ind w:left="211" w:right="0"/>
                    <w:jc w:val="center"/>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color w:val="auto"/>
                      <w:spacing w:val="3"/>
                      <w:sz w:val="20"/>
                      <w:szCs w:val="20"/>
                      <w:highlight w:val="none"/>
                      <w:lang w:val="en-US" w:eastAsia="zh-CN"/>
                    </w:rPr>
                    <w:t>α射线 5.71642</w:t>
                  </w:r>
                </w:p>
              </w:tc>
              <w:tc>
                <w:tcPr>
                  <w:tcW w:w="2417" w:type="dxa"/>
                  <w:tcBorders>
                    <w:tl2br w:val="nil"/>
                    <w:tr2bl w:val="nil"/>
                  </w:tcBorders>
                  <w:vAlign w:val="center"/>
                </w:tcPr>
                <w:p w14:paraId="3081ECA7">
                  <w:pPr>
                    <w:keepNext w:val="0"/>
                    <w:keepLines w:val="0"/>
                    <w:suppressLineNumbers w:val="0"/>
                    <w:spacing w:before="238" w:beforeAutospacing="0" w:after="0" w:afterAutospacing="0" w:line="136" w:lineRule="exact"/>
                    <w:ind w:left="1114" w:right="0"/>
                    <w:jc w:val="both"/>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2"/>
                      <w:position w:val="-3"/>
                      <w:sz w:val="20"/>
                      <w:szCs w:val="20"/>
                      <w:highlight w:val="none"/>
                    </w:rPr>
                    <w:t>—</w:t>
                  </w:r>
                </w:p>
              </w:tc>
            </w:tr>
            <w:tr w14:paraId="0A76BB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140" w:type="dxa"/>
                  <w:tcBorders>
                    <w:tl2br w:val="nil"/>
                    <w:tr2bl w:val="nil"/>
                  </w:tcBorders>
                  <w:vAlign w:val="center"/>
                </w:tcPr>
                <w:p w14:paraId="5EC4A924">
                  <w:pPr>
                    <w:keepNext w:val="0"/>
                    <w:keepLines w:val="0"/>
                    <w:suppressLineNumbers w:val="0"/>
                    <w:bidi w:val="0"/>
                    <w:spacing w:before="0" w:beforeAutospacing="0" w:after="0" w:afterAutospacing="0"/>
                    <w:ind w:left="0" w:right="0" w:firstLine="400" w:firstLineChars="200"/>
                    <w:jc w:val="center"/>
                    <w:rPr>
                      <w:rFonts w:hint="eastAsia" w:ascii="Times New Roman" w:hAnsi="Times New Roman" w:eastAsia="宋体" w:cs="Times New Roman"/>
                      <w:color w:val="auto"/>
                      <w:sz w:val="20"/>
                      <w:szCs w:val="20"/>
                      <w:highlight w:val="none"/>
                      <w:lang w:eastAsia="zh-CN"/>
                    </w:rPr>
                  </w:pPr>
                  <w:r>
                    <w:rPr>
                      <w:rFonts w:hint="eastAsia" w:cs="Times New Roman"/>
                      <w:color w:val="auto"/>
                      <w:sz w:val="20"/>
                      <w:szCs w:val="20"/>
                      <w:highlight w:val="none"/>
                      <w:vertAlign w:val="baseline"/>
                      <w:lang w:eastAsia="zh-CN"/>
                    </w:rPr>
                    <w:t>Ac-225</w:t>
                  </w:r>
                </w:p>
              </w:tc>
              <w:tc>
                <w:tcPr>
                  <w:tcW w:w="846" w:type="dxa"/>
                  <w:tcBorders>
                    <w:tl2br w:val="nil"/>
                    <w:tr2bl w:val="nil"/>
                  </w:tcBorders>
                  <w:vAlign w:val="center"/>
                </w:tcPr>
                <w:p w14:paraId="0779E5F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lang w:val="en-US" w:eastAsia="zh-CN"/>
                    </w:rPr>
                    <w:t>液态</w:t>
                  </w:r>
                </w:p>
              </w:tc>
              <w:tc>
                <w:tcPr>
                  <w:tcW w:w="846" w:type="dxa"/>
                  <w:tcBorders>
                    <w:tl2br w:val="nil"/>
                    <w:tr2bl w:val="nil"/>
                  </w:tcBorders>
                  <w:vAlign w:val="center"/>
                </w:tcPr>
                <w:p w14:paraId="055D22F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lang w:val="en-US" w:eastAsia="zh-CN"/>
                    </w:rPr>
                    <w:t>10.0d</w:t>
                  </w:r>
                </w:p>
              </w:tc>
              <w:tc>
                <w:tcPr>
                  <w:tcW w:w="1127" w:type="dxa"/>
                  <w:tcBorders>
                    <w:tl2br w:val="nil"/>
                    <w:tr2bl w:val="nil"/>
                  </w:tcBorders>
                  <w:vAlign w:val="center"/>
                </w:tcPr>
                <w:p w14:paraId="0D0A7B90">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lang w:val="en-US" w:eastAsia="zh-CN"/>
                    </w:rPr>
                    <w:t>极毒</w:t>
                  </w:r>
                </w:p>
              </w:tc>
              <w:tc>
                <w:tcPr>
                  <w:tcW w:w="1127" w:type="dxa"/>
                  <w:tcBorders>
                    <w:tl2br w:val="nil"/>
                    <w:tr2bl w:val="nil"/>
                  </w:tcBorders>
                  <w:vAlign w:val="center"/>
                </w:tcPr>
                <w:p w14:paraId="552428D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lang w:val="en-US" w:eastAsia="zh-CN"/>
                    </w:rPr>
                    <w:t>α</w:t>
                  </w:r>
                </w:p>
              </w:tc>
              <w:tc>
                <w:tcPr>
                  <w:tcW w:w="1554" w:type="dxa"/>
                  <w:tcBorders>
                    <w:tl2br w:val="nil"/>
                    <w:tr2bl w:val="nil"/>
                  </w:tcBorders>
                  <w:vAlign w:val="center"/>
                </w:tcPr>
                <w:p w14:paraId="0D2C0B3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lang w:val="en-US" w:eastAsia="zh-CN"/>
                    </w:rPr>
                    <w:t>α射线 5.8300</w:t>
                  </w:r>
                </w:p>
              </w:tc>
              <w:tc>
                <w:tcPr>
                  <w:tcW w:w="2417" w:type="dxa"/>
                  <w:tcBorders>
                    <w:tl2br w:val="nil"/>
                    <w:tr2bl w:val="nil"/>
                  </w:tcBorders>
                  <w:vAlign w:val="center"/>
                </w:tcPr>
                <w:p w14:paraId="6FF2E2C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w:t>
                  </w:r>
                </w:p>
              </w:tc>
            </w:tr>
          </w:tbl>
          <w:p w14:paraId="2DA9175D">
            <w:pPr>
              <w:keepNext w:val="0"/>
              <w:keepLines w:val="0"/>
              <w:suppressLineNumbers w:val="0"/>
              <w:spacing w:before="1" w:beforeAutospacing="0" w:after="0" w:afterAutospacing="0" w:line="219" w:lineRule="auto"/>
              <w:ind w:left="2741" w:right="0"/>
              <w:jc w:val="both"/>
              <w:rPr>
                <w:rFonts w:hint="default" w:ascii="Times New Roman" w:hAnsi="Times New Roman" w:eastAsia="宋体" w:cs="Times New Roman"/>
                <w:b/>
                <w:bCs/>
                <w:color w:val="auto"/>
                <w:spacing w:val="-2"/>
                <w:sz w:val="24"/>
                <w:szCs w:val="24"/>
                <w:highlight w:val="none"/>
              </w:rPr>
            </w:pPr>
          </w:p>
          <w:p w14:paraId="504EA360">
            <w:pPr>
              <w:keepNext w:val="0"/>
              <w:keepLines w:val="0"/>
              <w:suppressLineNumbers w:val="0"/>
              <w:spacing w:before="0" w:beforeAutospacing="0" w:after="0" w:afterAutospacing="0" w:line="360" w:lineRule="auto"/>
              <w:ind w:left="0" w:right="0" w:firstLine="476" w:firstLineChars="200"/>
              <w:jc w:val="both"/>
              <w:rPr>
                <w:rFonts w:hint="default" w:ascii="Times New Roman" w:hAnsi="Times New Roman" w:eastAsia="Times New Roman" w:cs="Times New Roman"/>
                <w:b/>
                <w:bCs/>
                <w:color w:val="auto"/>
                <w:spacing w:val="-1"/>
                <w:sz w:val="24"/>
                <w:szCs w:val="24"/>
                <w:highlight w:val="none"/>
                <w:lang w:val="en-US" w:eastAsia="zh-CN"/>
              </w:rPr>
            </w:pPr>
            <w:r>
              <w:rPr>
                <w:rFonts w:hint="default" w:ascii="Times New Roman" w:hAnsi="Times New Roman" w:eastAsia="Times New Roman" w:cs="Times New Roman"/>
                <w:b/>
                <w:bCs/>
                <w:color w:val="auto"/>
                <w:spacing w:val="-1"/>
                <w:sz w:val="24"/>
                <w:szCs w:val="24"/>
                <w:highlight w:val="none"/>
                <w:lang w:val="en-US" w:eastAsia="zh-CN"/>
              </w:rPr>
              <w:t>9.1.3.4 Y-90 树脂微球介入治疗</w:t>
            </w:r>
          </w:p>
          <w:p w14:paraId="447EFBE2">
            <w:pPr>
              <w:keepNext w:val="0"/>
              <w:keepLines w:val="0"/>
              <w:suppressLineNumbers w:val="0"/>
              <w:bidi w:val="0"/>
              <w:spacing w:before="0" w:beforeAutospacing="0" w:after="0" w:afterAutospacing="0" w:line="360" w:lineRule="auto"/>
              <w:ind w:left="0" w:right="0" w:firstLine="482" w:firstLineChars="200"/>
              <w:jc w:val="both"/>
              <w:rPr>
                <w:rFonts w:hint="eastAsia"/>
                <w:b/>
                <w:bCs/>
                <w:color w:val="auto"/>
                <w:highlight w:val="none"/>
                <w:lang w:eastAsia="zh-CN"/>
              </w:rPr>
            </w:pPr>
            <w:r>
              <w:rPr>
                <w:rFonts w:hint="eastAsia"/>
                <w:b/>
                <w:bCs/>
                <w:color w:val="auto"/>
                <w:highlight w:val="none"/>
                <w:lang w:eastAsia="zh-CN"/>
              </w:rPr>
              <w:t>（</w:t>
            </w:r>
            <w:r>
              <w:rPr>
                <w:rFonts w:hint="eastAsia"/>
                <w:b/>
                <w:bCs/>
                <w:color w:val="auto"/>
                <w:highlight w:val="none"/>
                <w:lang w:val="en-US" w:eastAsia="zh-CN"/>
              </w:rPr>
              <w:t>1</w:t>
            </w:r>
            <w:r>
              <w:rPr>
                <w:rFonts w:hint="eastAsia"/>
                <w:b/>
                <w:bCs/>
                <w:color w:val="auto"/>
                <w:highlight w:val="none"/>
                <w:lang w:eastAsia="zh-CN"/>
              </w:rPr>
              <w:t>）</w:t>
            </w:r>
            <w:r>
              <w:rPr>
                <w:rFonts w:hint="default"/>
                <w:b/>
                <w:bCs/>
                <w:color w:val="auto"/>
                <w:highlight w:val="none"/>
                <w:lang w:val="en-US" w:eastAsia="zh-CN"/>
              </w:rPr>
              <w:t>Y-90 树脂微球介入治疗</w:t>
            </w:r>
            <w:r>
              <w:rPr>
                <w:rFonts w:hint="default"/>
                <w:b/>
                <w:bCs/>
                <w:color w:val="auto"/>
                <w:highlight w:val="none"/>
              </w:rPr>
              <w:t>原理</w:t>
            </w:r>
          </w:p>
          <w:p w14:paraId="5FB27B51">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Y-90微球是一款靶向放射治疗产品，由含有钇的生物相容性树脂微球组成，直径为20-60μm。该产品被广泛应用于肝癌的选择性体内放射治疗（SIRT）中，即在肝脏病灶处，通过靶向的大剂量高能量β辐射起到杀死癌症细胞的目的，同时不伤害健康肝脏组织。被广泛用于手术治疗不可切除的肝癌，包括结直肠癌肝脏转移癌症、原发性肝癌、胆管癌、神经内分泌细胞瘤、乳腺癌肝脏转移癌症等。</w:t>
            </w:r>
          </w:p>
          <w:p w14:paraId="35D92907">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Y-90半衰期为2.67天，是通过化学方法从Sr-90中提取，将其离子键结合在树脂微球上制成的微小颗粒，药物为悬浮液形式，通过选择性动脉插管的方法将载有Y-90放射性核素的颗粒注入肿瘤血管，使Y-90滞留于肿瘤组织内达到足够剂量杀死人体中的肿瘤细胞，此微球具有不能通过毛细血管网，且不被巨噬细胞所吞噬，生物相容性好、无毒、核素衰变基本完成后，微球开始生物降解而不再栓塞血管的特点。Y-90发出的β射线最大能量为2.284MeV，在人体组织中的最大射程为11mm。</w:t>
            </w:r>
          </w:p>
          <w:p w14:paraId="7FA3E3B3">
            <w:pPr>
              <w:keepNext w:val="0"/>
              <w:keepLines w:val="0"/>
              <w:suppressLineNumbers w:val="0"/>
              <w:bidi w:val="0"/>
              <w:spacing w:before="0" w:beforeAutospacing="0" w:after="0" w:afterAutospacing="0" w:line="360" w:lineRule="auto"/>
              <w:ind w:left="0" w:right="0" w:firstLine="482" w:firstLineChars="200"/>
              <w:jc w:val="both"/>
              <w:rPr>
                <w:rFonts w:hint="default"/>
                <w:b/>
                <w:bCs/>
                <w:color w:val="auto"/>
                <w:highlight w:val="none"/>
                <w:lang w:val="en-US" w:eastAsia="zh-CN"/>
              </w:rPr>
            </w:pPr>
            <w:r>
              <w:rPr>
                <w:rFonts w:hint="default"/>
                <w:b/>
                <w:bCs/>
                <w:color w:val="auto"/>
                <w:highlight w:val="none"/>
                <w:lang w:val="en-US" w:eastAsia="zh-CN"/>
              </w:rPr>
              <w:t>（</w:t>
            </w:r>
            <w:r>
              <w:rPr>
                <w:rFonts w:hint="eastAsia"/>
                <w:b/>
                <w:bCs/>
                <w:color w:val="auto"/>
                <w:highlight w:val="none"/>
                <w:lang w:val="en-US" w:eastAsia="zh-CN"/>
              </w:rPr>
              <w:t>2</w:t>
            </w:r>
            <w:r>
              <w:rPr>
                <w:rFonts w:hint="default"/>
                <w:b/>
                <w:bCs/>
                <w:color w:val="auto"/>
                <w:highlight w:val="none"/>
                <w:lang w:val="en-US" w:eastAsia="zh-CN"/>
              </w:rPr>
              <w:t>）工作流程及产污环节</w:t>
            </w:r>
          </w:p>
          <w:p w14:paraId="69C44D31">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Y-90肿瘤治疗分为第一阶段和第二阶段，其中第一阶段用于判断患者是否能够进行Y-90肿瘤治疗，第二阶段对符合Y-90肿瘤治疗条件的患者开展Y-90肿瘤治疗。</w:t>
            </w:r>
          </w:p>
          <w:p w14:paraId="3C8BB715">
            <w:pPr>
              <w:keepNext w:val="0"/>
              <w:keepLines w:val="0"/>
              <w:suppressLineNumbers w:val="0"/>
              <w:bidi w:val="0"/>
              <w:spacing w:before="0" w:beforeAutospacing="0" w:after="0" w:afterAutospacing="0" w:line="360" w:lineRule="auto"/>
              <w:ind w:left="0" w:right="0"/>
              <w:jc w:val="both"/>
              <w:rPr>
                <w:rFonts w:hint="default"/>
                <w:color w:val="auto"/>
                <w:highlight w:val="none"/>
                <w:lang w:val="en-US" w:eastAsia="zh-CN"/>
              </w:rPr>
            </w:pPr>
            <w:r>
              <w:rPr>
                <w:rFonts w:hint="default"/>
                <w:color w:val="auto"/>
                <w:highlight w:val="none"/>
                <w:lang w:val="en-US" w:eastAsia="zh-CN"/>
              </w:rPr>
              <w:t>第一阶段具体步骤如下：</w:t>
            </w:r>
          </w:p>
          <w:p w14:paraId="7C7E561C">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第一阶段：术前Tc-99m模拟治疗，以评估患者是否适合此项治疗。Tc-99m放射性核素单人次使用量</w:t>
            </w:r>
            <w:r>
              <w:rPr>
                <w:rFonts w:hint="eastAsia"/>
                <w:color w:val="auto"/>
                <w:highlight w:val="none"/>
                <w:lang w:val="en-US" w:eastAsia="zh-CN"/>
              </w:rPr>
              <w:t>4</w:t>
            </w:r>
            <w:r>
              <w:rPr>
                <w:rFonts w:hint="default"/>
                <w:color w:val="auto"/>
                <w:highlight w:val="none"/>
                <w:lang w:val="en-US" w:eastAsia="zh-CN"/>
              </w:rPr>
              <w:t>mCi。Tc-99m</w:t>
            </w:r>
            <w:r>
              <w:rPr>
                <w:rFonts w:hint="eastAsia"/>
                <w:color w:val="auto"/>
                <w:highlight w:val="none"/>
                <w:lang w:val="en-US" w:eastAsia="zh-CN"/>
              </w:rPr>
              <w:t>从北院区核医学楼负一楼单光子药物生产车间封装好后，专人运至老院区综合楼一层介入手术2室，进行模拟治疗</w:t>
            </w:r>
            <w:r>
              <w:rPr>
                <w:rFonts w:hint="default"/>
                <w:color w:val="auto"/>
                <w:highlight w:val="none"/>
                <w:lang w:val="en-US" w:eastAsia="zh-CN"/>
              </w:rPr>
              <w:t>，核医学科医生进行治疗评估，若患者符合治疗条件，预约第二阶段。评估使用的4mCi的Tc-99m相对于学楼负一楼单光子药物生产车间日最大操作量，占比非常小。Y-90 树脂微球介入治疗全年治疗量为30人，故开展Y-90 树脂微球介入治疗</w:t>
            </w:r>
            <w:r>
              <w:rPr>
                <w:rFonts w:hint="eastAsia"/>
                <w:color w:val="auto"/>
                <w:highlight w:val="none"/>
                <w:lang w:val="en-US" w:eastAsia="zh-CN"/>
              </w:rPr>
              <w:t>，核医学楼不再</w:t>
            </w:r>
            <w:r>
              <w:rPr>
                <w:rFonts w:hint="default"/>
                <w:color w:val="auto"/>
                <w:highlight w:val="none"/>
                <w:lang w:val="en-US" w:eastAsia="zh-CN"/>
              </w:rPr>
              <w:t>额外申请Tc-99m的操作量。</w:t>
            </w:r>
          </w:p>
          <w:p w14:paraId="6C0BBB20">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第二阶段具体步骤如下：</w:t>
            </w:r>
          </w:p>
          <w:p w14:paraId="779A2FB5">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通过第一阶段注射</w:t>
            </w:r>
            <w:r>
              <w:rPr>
                <w:rFonts w:hint="default"/>
                <w:color w:val="auto"/>
                <w:highlight w:val="none"/>
                <w:vertAlign w:val="superscript"/>
                <w:lang w:val="en-US" w:eastAsia="zh-CN"/>
              </w:rPr>
              <w:t>99m</w:t>
            </w:r>
            <w:r>
              <w:rPr>
                <w:rFonts w:hint="default"/>
                <w:color w:val="auto"/>
                <w:highlight w:val="none"/>
                <w:lang w:val="en-US" w:eastAsia="zh-CN"/>
              </w:rPr>
              <w:t>Tc并进行</w:t>
            </w:r>
            <w:r>
              <w:rPr>
                <w:rFonts w:hint="eastAsia"/>
                <w:color w:val="auto"/>
                <w:highlight w:val="none"/>
                <w:lang w:val="en-US" w:eastAsia="zh-CN"/>
              </w:rPr>
              <w:t>介入诊断</w:t>
            </w:r>
            <w:r>
              <w:rPr>
                <w:rFonts w:hint="default"/>
                <w:color w:val="auto"/>
                <w:highlight w:val="none"/>
                <w:lang w:val="en-US" w:eastAsia="zh-CN"/>
              </w:rPr>
              <w:t>判断患者可以进行Y-90手术治疗，医护人员通知患者7-10天后住院，准备进行第二阶段Y-90微球体输注。</w:t>
            </w:r>
          </w:p>
          <w:p w14:paraId="5019513B">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①前一天进行术前准备，患者于当天手术前排空尿液。</w:t>
            </w:r>
          </w:p>
          <w:p w14:paraId="6EE78FF5">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②治疗当天，先将患者麻醉，并转移患者去DSA机房做血管造影，由医护人员经由股动脉置入肝动脉导管，通过导管注入Y-90微球体。</w:t>
            </w:r>
          </w:p>
          <w:p w14:paraId="53D8ECFB">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Y-90树脂微球盛装于西林瓶内，总活度约 2.5 GBq，溶液体积约 5 mL；单例患者Y-90树脂微球最大使用活度为 2.5 GBq，若药品使用后存在剩余，剩余Y-90树脂微球按放射性固体废物处置。</w:t>
            </w:r>
          </w:p>
          <w:p w14:paraId="4446C687">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Y-90微球体输注步骤如下：医护人员手持内置Y-90微球体的西林瓶防护罐进行摇晃，持续时间大约30s/例。摇匀后，迅速打开防护罐盖子，使用长柄镊子夹取含Y-90微球体的西林瓶放置在活度计测井内，测量Y-90微球体总活度并进行记录。然后使用注射器扎入西林瓶底部，快速抽压数次，使西林瓶中Y-90微球体混合均匀，抽取一定量的Y-90微球体注入无菌V瓶，将剩余放射性药物放置在活度计测井中测量，直至抽取完成患者所需的合适的活度为止。注入结束后，拔出注射器，并装好针管，将无菌V瓶屏蔽罐的顶部塞盖好。本</w:t>
            </w:r>
            <w:r>
              <w:rPr>
                <w:rFonts w:hint="eastAsia"/>
                <w:color w:val="auto"/>
                <w:highlight w:val="none"/>
                <w:lang w:val="en-US" w:eastAsia="zh-CN"/>
              </w:rPr>
              <w:t>项目</w:t>
            </w:r>
            <w:r>
              <w:rPr>
                <w:rFonts w:hint="default"/>
                <w:color w:val="auto"/>
                <w:highlight w:val="none"/>
                <w:lang w:val="en-US" w:eastAsia="zh-CN"/>
              </w:rPr>
              <w:t>每日仅开展1例Y</w:t>
            </w:r>
            <w:r>
              <w:rPr>
                <w:rFonts w:hint="default"/>
                <w:color w:val="auto"/>
                <w:highlight w:val="none"/>
                <w:lang w:val="en-US" w:eastAsia="zh-CN"/>
              </w:rPr>
              <w:noBreakHyphen/>
            </w:r>
            <w:r>
              <w:rPr>
                <w:rFonts w:hint="default"/>
                <w:color w:val="auto"/>
                <w:highlight w:val="none"/>
                <w:lang w:val="en-US" w:eastAsia="zh-CN"/>
              </w:rPr>
              <w:t>90治疗，Y</w:t>
            </w:r>
            <w:r>
              <w:rPr>
                <w:rFonts w:hint="default"/>
                <w:color w:val="auto"/>
                <w:highlight w:val="none"/>
                <w:lang w:val="en-US" w:eastAsia="zh-CN"/>
              </w:rPr>
              <w:noBreakHyphen/>
            </w:r>
            <w:r>
              <w:rPr>
                <w:rFonts w:hint="default"/>
                <w:color w:val="auto"/>
                <w:highlight w:val="none"/>
                <w:lang w:val="en-US" w:eastAsia="zh-CN"/>
              </w:rPr>
              <w:t>90药物不进行分装；如产生剩余药物，按放射性废物处置，不予暂存</w:t>
            </w:r>
            <w:r>
              <w:rPr>
                <w:rFonts w:hint="eastAsia"/>
                <w:color w:val="auto"/>
                <w:highlight w:val="none"/>
                <w:lang w:val="en-US" w:eastAsia="zh-CN"/>
              </w:rPr>
              <w:t>。</w:t>
            </w:r>
          </w:p>
          <w:p w14:paraId="5B844FC6">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Y-90微球体的活度测量﹑抽取过程大概持续5min。</w:t>
            </w:r>
          </w:p>
          <w:p w14:paraId="31B18557">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医护人员将测量完活度的含Y-90微球体的无菌V瓶放置于注射防护盒内，</w:t>
            </w:r>
            <w:r>
              <w:rPr>
                <w:rFonts w:hint="eastAsia"/>
                <w:color w:val="auto"/>
                <w:highlight w:val="none"/>
                <w:lang w:val="en-US" w:eastAsia="zh-CN"/>
              </w:rPr>
              <w:t>连入</w:t>
            </w:r>
            <w:r>
              <w:rPr>
                <w:rFonts w:hint="default"/>
                <w:color w:val="auto"/>
                <w:highlight w:val="none"/>
                <w:lang w:val="en-US" w:eastAsia="zh-CN"/>
              </w:rPr>
              <w:t>无菌水或5%右旋糖酐和造影剂等辅助材料。配制完成后，先注入造影剂复查导管位置；然后注入无菌水或5%右旋糖酐冲洗导管，避免导管中造影剂与Y-90微球体混合；将Y-90微球通过患者体内的导管注入患者体内，直达病灶。将微球分小剂量多次注入，注入过程大概持续20min。最后，将无菌水或5%右旋糖酐注入导管，避免微球滞留在导管内。完成后，将导管从患者体内取出，将无菌V瓶、导管等放置于放射性废物桶内。</w:t>
            </w:r>
          </w:p>
          <w:p w14:paraId="0537AD47">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③同血管摄影检查流程执行术后调理。</w:t>
            </w:r>
          </w:p>
          <w:p w14:paraId="0F07EA23">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color w:val="auto"/>
                <w:highlight w:val="none"/>
                <w:lang w:val="en-US" w:eastAsia="zh-CN"/>
              </w:rPr>
              <w:t>④完成治疗后30h内医护人员安排患者至核医学科核素诊断场所进行SPECT/CT扫描，确定Y-90微球体植入位置是否正确。</w:t>
            </w:r>
          </w:p>
          <w:p w14:paraId="6E6F5E00">
            <w:pPr>
              <w:keepNext w:val="0"/>
              <w:keepLines w:val="0"/>
              <w:numPr>
                <w:ilvl w:val="0"/>
                <w:numId w:val="0"/>
              </w:numPr>
              <w:suppressLineNumbers w:val="0"/>
              <w:spacing w:before="0" w:beforeAutospacing="0" w:after="120" w:afterAutospacing="0" w:line="360" w:lineRule="auto"/>
              <w:ind w:left="0" w:right="0" w:firstLine="476" w:firstLineChars="200"/>
              <w:jc w:val="both"/>
              <w:rPr>
                <w:rFonts w:hint="default" w:ascii="Times New Roman" w:hAnsi="Times New Roman" w:eastAsia="宋体" w:cs="Times New Roman"/>
                <w:b w:val="0"/>
                <w:bCs w:val="0"/>
                <w:i w:val="0"/>
                <w:iCs w:val="0"/>
                <w:strike w:val="0"/>
                <w:color w:val="auto"/>
                <w:sz w:val="24"/>
                <w:szCs w:val="24"/>
                <w:highlight w:val="none"/>
              </w:rPr>
            </w:pPr>
            <w:r>
              <w:rPr>
                <w:rFonts w:hint="default" w:ascii="Times New Roman" w:hAnsi="Times New Roman" w:eastAsia="宋体" w:cs="Times New Roman"/>
                <w:color w:val="auto"/>
                <w:spacing w:val="-1"/>
                <w:sz w:val="24"/>
                <w:szCs w:val="24"/>
                <w:highlight w:val="none"/>
                <w:lang w:val="en-US" w:eastAsia="zh-CN"/>
              </w:rPr>
              <w:t>据此，本项目需将老院区综合楼一层介入手术2室设置为1个</w:t>
            </w:r>
            <w:r>
              <w:rPr>
                <w:rFonts w:hint="default" w:ascii="Times New Roman" w:hAnsi="Times New Roman" w:cs="Times New Roman"/>
                <w:color w:val="auto"/>
                <w:spacing w:val="-1"/>
                <w:sz w:val="24"/>
                <w:szCs w:val="24"/>
                <w:highlight w:val="none"/>
                <w:lang w:val="en-US" w:eastAsia="zh-CN"/>
              </w:rPr>
              <w:t>乙</w:t>
            </w:r>
            <w:r>
              <w:rPr>
                <w:rFonts w:hint="default" w:ascii="Times New Roman" w:hAnsi="Times New Roman" w:eastAsia="宋体" w:cs="Times New Roman"/>
                <w:color w:val="auto"/>
                <w:spacing w:val="-1"/>
                <w:sz w:val="24"/>
                <w:szCs w:val="24"/>
                <w:highlight w:val="none"/>
                <w:lang w:val="en-US" w:eastAsia="zh-CN"/>
              </w:rPr>
              <w:t>级非密封放射性物质工作场所。老院区综合楼一层介入手术2室内的血管造影用X射线装置（场所：综合楼一层介入手术2室，型号：Alphenix INFX-9000V）已许可，项目不新增射线装置，不对DSA的工艺流程进行评价。</w:t>
            </w:r>
          </w:p>
          <w:p w14:paraId="43F9043F">
            <w:pPr>
              <w:keepNext w:val="0"/>
              <w:keepLines w:val="0"/>
              <w:suppressLineNumbers w:val="0"/>
              <w:spacing w:before="0" w:beforeAutospacing="0" w:after="120" w:afterAutospacing="0" w:line="360" w:lineRule="auto"/>
              <w:ind w:left="0" w:right="0" w:firstLine="480"/>
              <w:jc w:val="center"/>
              <w:rPr>
                <w:rFonts w:hint="default" w:ascii="Times New Roman" w:hAnsi="Times New Roman" w:eastAsia="宋体" w:cs="Times New Roman"/>
                <w:b w:val="0"/>
                <w:bCs w:val="0"/>
                <w:i w:val="0"/>
                <w:iCs w:val="0"/>
                <w:strike w:val="0"/>
                <w:color w:val="auto"/>
                <w:sz w:val="24"/>
                <w:szCs w:val="24"/>
                <w:highlight w:val="none"/>
              </w:rPr>
            </w:pPr>
          </w:p>
          <w:p w14:paraId="48DFCDE7">
            <w:pPr>
              <w:keepNext w:val="0"/>
              <w:keepLines w:val="0"/>
              <w:suppressLineNumbers w:val="0"/>
              <w:spacing w:before="0" w:beforeAutospacing="0" w:after="120" w:afterAutospacing="0" w:line="360" w:lineRule="auto"/>
              <w:ind w:left="0" w:right="0" w:firstLine="480"/>
              <w:jc w:val="center"/>
              <w:rPr>
                <w:rFonts w:hint="default" w:ascii="Times New Roman" w:hAnsi="Times New Roman" w:eastAsia="宋体" w:cs="Times New Roman"/>
                <w:b/>
                <w:bCs/>
                <w:i w:val="0"/>
                <w:iCs w:val="0"/>
                <w:strike w:val="0"/>
                <w:color w:val="auto"/>
                <w:sz w:val="24"/>
                <w:szCs w:val="24"/>
                <w:highlight w:val="none"/>
                <w:lang w:val="en-US" w:eastAsia="zh-CN"/>
              </w:rPr>
            </w:pPr>
            <w:r>
              <w:rPr>
                <w:rFonts w:hint="default" w:ascii="Times New Roman" w:hAnsi="Times New Roman" w:eastAsia="宋体" w:cs="Times New Roman"/>
                <w:b/>
                <w:bCs/>
                <w:i w:val="0"/>
                <w:iCs w:val="0"/>
                <w:strike w:val="0"/>
                <w:color w:val="auto"/>
                <w:sz w:val="24"/>
                <w:szCs w:val="24"/>
                <w:highlight w:val="none"/>
                <w:lang w:val="en-US" w:eastAsia="zh-CN"/>
              </w:rPr>
              <w:t>图9-1</w:t>
            </w:r>
            <w:r>
              <w:rPr>
                <w:rFonts w:hint="eastAsia" w:cs="Times New Roman"/>
                <w:b/>
                <w:bCs/>
                <w:i w:val="0"/>
                <w:iCs w:val="0"/>
                <w:strike w:val="0"/>
                <w:color w:val="auto"/>
                <w:sz w:val="24"/>
                <w:szCs w:val="24"/>
                <w:highlight w:val="none"/>
                <w:lang w:val="en-US" w:eastAsia="zh-CN"/>
              </w:rPr>
              <w:t>2</w:t>
            </w:r>
            <w:r>
              <w:rPr>
                <w:rFonts w:hint="default" w:ascii="Times New Roman" w:hAnsi="Times New Roman" w:eastAsia="宋体" w:cs="Times New Roman"/>
                <w:b/>
                <w:bCs/>
                <w:i w:val="0"/>
                <w:iCs w:val="0"/>
                <w:strike w:val="0"/>
                <w:color w:val="auto"/>
                <w:sz w:val="24"/>
                <w:szCs w:val="24"/>
                <w:highlight w:val="none"/>
                <w:lang w:val="en-US" w:eastAsia="zh-CN"/>
              </w:rPr>
              <w:t xml:space="preserve">  Y-90 树脂微球治疗流程及产污环节示意图</w:t>
            </w:r>
          </w:p>
          <w:p w14:paraId="1C003EE2">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bCs/>
                <w:i w:val="0"/>
                <w:iCs w:val="0"/>
                <w:strike w:val="0"/>
                <w:color w:val="auto"/>
                <w:sz w:val="24"/>
                <w:szCs w:val="24"/>
                <w:highlight w:val="none"/>
                <w:lang w:val="en-US" w:eastAsia="zh-CN"/>
              </w:rPr>
            </w:pPr>
            <w:r>
              <w:rPr>
                <w:rFonts w:hint="default" w:ascii="Times New Roman" w:hAnsi="Times New Roman" w:eastAsia="宋体" w:cs="Times New Roman"/>
                <w:b/>
                <w:bCs/>
                <w:i w:val="0"/>
                <w:iCs w:val="0"/>
                <w:strike w:val="0"/>
                <w:color w:val="auto"/>
                <w:sz w:val="24"/>
                <w:szCs w:val="24"/>
                <w:highlight w:val="none"/>
                <w:lang w:val="en-US" w:eastAsia="zh-CN"/>
              </w:rPr>
              <w:t>（3）人流和物流路径规划</w:t>
            </w:r>
          </w:p>
          <w:p w14:paraId="296EB91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36" w:lineRule="auto"/>
              <w:ind w:left="0" w:right="0" w:firstLine="482" w:firstLineChars="200"/>
              <w:jc w:val="both"/>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①药物路线</w:t>
            </w:r>
          </w:p>
          <w:p w14:paraId="5576DC7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36"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Y</w:t>
            </w:r>
            <w:r>
              <w:rPr>
                <w:rFonts w:hint="default" w:ascii="Times New Roman" w:hAnsi="Times New Roman" w:cs="Times New Roman"/>
                <w:color w:val="auto"/>
                <w:highlight w:val="none"/>
                <w:lang w:val="en-US" w:eastAsia="zh-CN"/>
              </w:rPr>
              <w:noBreakHyphen/>
            </w:r>
            <w:r>
              <w:rPr>
                <w:rFonts w:hint="default" w:ascii="Times New Roman" w:hAnsi="Times New Roman" w:cs="Times New Roman"/>
                <w:color w:val="auto"/>
                <w:highlight w:val="none"/>
                <w:lang w:val="en-US" w:eastAsia="zh-CN"/>
              </w:rPr>
              <w:t>90 为外购成品单支放射性药物。核医学人员根据临床用药需求提前向供货单位订购，供货单位按约定将成品药物送至综合楼一层；由专人接收并逐项核对药物信息，核验合格后存放至介入 2 室铅罐，用于介入手术。术后放射性废物收集于铅垃圾桶，随患者转运至核医学楼一层放射性废物库暂存。Tc</w:t>
            </w:r>
            <w:r>
              <w:rPr>
                <w:rFonts w:hint="default" w:ascii="Times New Roman" w:hAnsi="Times New Roman" w:cs="Times New Roman"/>
                <w:color w:val="auto"/>
                <w:highlight w:val="none"/>
                <w:lang w:val="en-US" w:eastAsia="zh-CN"/>
              </w:rPr>
              <w:noBreakHyphen/>
            </w:r>
            <w:r>
              <w:rPr>
                <w:rFonts w:hint="default" w:ascii="Times New Roman" w:hAnsi="Times New Roman" w:cs="Times New Roman"/>
                <w:color w:val="auto"/>
                <w:highlight w:val="none"/>
                <w:lang w:val="en-US" w:eastAsia="zh-CN"/>
              </w:rPr>
              <w:t>99m 在单光子药物生产车间分装完毕后，经传药电梯送至核医学楼一层，专人使用铅桶转运至介入2室铅罐备用。</w:t>
            </w:r>
          </w:p>
          <w:p w14:paraId="404F371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36" w:lineRule="auto"/>
              <w:ind w:left="0" w:right="0" w:firstLine="482" w:firstLineChars="200"/>
              <w:jc w:val="both"/>
              <w:textAlignment w:val="auto"/>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②患者路线</w:t>
            </w:r>
          </w:p>
          <w:p w14:paraId="22DB931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36"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患者从</w:t>
            </w:r>
            <w:r>
              <w:rPr>
                <w:rFonts w:hint="eastAsia" w:ascii="Times New Roman" w:hAnsi="Times New Roman" w:cs="Times New Roman"/>
                <w:color w:val="auto"/>
                <w:highlight w:val="none"/>
                <w:lang w:val="en-US" w:eastAsia="zh-CN"/>
              </w:rPr>
              <w:t>西</w:t>
            </w:r>
            <w:r>
              <w:rPr>
                <w:rFonts w:hint="default" w:ascii="Times New Roman" w:hAnsi="Times New Roman" w:cs="Times New Roman"/>
                <w:color w:val="auto"/>
                <w:highlight w:val="none"/>
                <w:lang w:val="en-US" w:eastAsia="zh-CN"/>
              </w:rPr>
              <w:t>侧</w:t>
            </w:r>
            <w:r>
              <w:rPr>
                <w:rFonts w:hint="eastAsia" w:ascii="Times New Roman" w:hAnsi="Times New Roman" w:cs="Times New Roman"/>
                <w:color w:val="auto"/>
                <w:highlight w:val="none"/>
                <w:lang w:val="en-US" w:eastAsia="zh-CN"/>
              </w:rPr>
              <w:t>候诊区</w:t>
            </w:r>
            <w:r>
              <w:rPr>
                <w:rFonts w:hint="default" w:ascii="Times New Roman" w:hAnsi="Times New Roman" w:cs="Times New Roman"/>
                <w:color w:val="auto"/>
                <w:highlight w:val="none"/>
                <w:lang w:val="en-US" w:eastAsia="zh-CN"/>
              </w:rPr>
              <w:t>由工作人员推床沿</w:t>
            </w:r>
            <w:r>
              <w:rPr>
                <w:rFonts w:hint="eastAsia" w:ascii="Times New Roman" w:hAnsi="Times New Roman" w:cs="Times New Roman"/>
                <w:color w:val="auto"/>
                <w:highlight w:val="none"/>
                <w:lang w:val="en-US" w:eastAsia="zh-CN"/>
              </w:rPr>
              <w:t>患者通道</w:t>
            </w:r>
            <w:r>
              <w:rPr>
                <w:rFonts w:hint="default" w:ascii="Times New Roman" w:hAnsi="Times New Roman" w:cs="Times New Roman"/>
                <w:color w:val="auto"/>
                <w:highlight w:val="none"/>
                <w:lang w:val="en-US" w:eastAsia="zh-CN"/>
              </w:rPr>
              <w:t>进入介入2室内部进行手术。手术完成后，</w:t>
            </w:r>
            <w:r>
              <w:rPr>
                <w:rFonts w:hint="eastAsia" w:ascii="Times New Roman" w:hAnsi="Times New Roman" w:cs="Times New Roman"/>
                <w:color w:val="auto"/>
                <w:highlight w:val="none"/>
                <w:lang w:val="en-US" w:eastAsia="zh-CN"/>
              </w:rPr>
              <w:t>原路返回，在综合楼一层大厅乘救护车到核医学楼一层留观室进行留观。完成留观后，治疗完成后随即经患者出口离开</w:t>
            </w:r>
          </w:p>
          <w:p w14:paraId="35E750B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36" w:lineRule="auto"/>
              <w:ind w:left="0" w:right="0" w:firstLine="482" w:firstLineChars="200"/>
              <w:jc w:val="both"/>
              <w:textAlignment w:val="auto"/>
              <w:rPr>
                <w:rFonts w:hint="default" w:ascii="Times New Roman" w:hAnsi="Times New Roman" w:cs="Times New Roman"/>
                <w:b/>
                <w:bCs/>
                <w:color w:val="auto"/>
                <w:highlight w:val="none"/>
                <w:lang w:val="en-US" w:eastAsia="zh-CN"/>
              </w:rPr>
            </w:pPr>
            <w:r>
              <w:rPr>
                <w:rFonts w:hint="eastAsia" w:ascii="Times New Roman" w:hAnsi="Times New Roman" w:cs="Times New Roman"/>
                <w:b/>
                <w:bCs/>
                <w:color w:val="auto"/>
                <w:highlight w:val="none"/>
                <w:lang w:val="en-US" w:eastAsia="zh-CN"/>
              </w:rPr>
              <w:t>③医务人员路线</w:t>
            </w:r>
          </w:p>
          <w:p w14:paraId="76F315E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36"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DSA医护人员、技师</w:t>
            </w:r>
            <w:r>
              <w:rPr>
                <w:rFonts w:hint="eastAsia" w:ascii="Times New Roman" w:hAnsi="Times New Roman" w:cs="Times New Roman"/>
                <w:color w:val="auto"/>
                <w:highlight w:val="none"/>
                <w:lang w:val="en-US" w:eastAsia="zh-CN"/>
              </w:rPr>
              <w:t>、核素操作人员从西侧医护通道进入更衣室，完成洗消更衣后</w:t>
            </w:r>
            <w:r>
              <w:rPr>
                <w:rFonts w:hint="default" w:ascii="Times New Roman" w:hAnsi="Times New Roman" w:cs="Times New Roman"/>
                <w:color w:val="auto"/>
                <w:highlight w:val="none"/>
                <w:lang w:val="en-US" w:eastAsia="zh-CN"/>
              </w:rPr>
              <w:t>，并分别进入DSA控制室和介入2室，技师在控制室内进行设备操作，医生经机房</w:t>
            </w:r>
            <w:r>
              <w:rPr>
                <w:rFonts w:hint="eastAsia" w:ascii="Times New Roman" w:hAnsi="Times New Roman" w:cs="Times New Roman"/>
                <w:color w:val="auto"/>
                <w:highlight w:val="none"/>
                <w:lang w:val="en-US" w:eastAsia="zh-CN"/>
              </w:rPr>
              <w:t>东</w:t>
            </w:r>
            <w:r>
              <w:rPr>
                <w:rFonts w:hint="default" w:ascii="Times New Roman" w:hAnsi="Times New Roman" w:cs="Times New Roman"/>
                <w:color w:val="auto"/>
                <w:highlight w:val="none"/>
                <w:lang w:val="en-US" w:eastAsia="zh-CN"/>
              </w:rPr>
              <w:t>侧防护门进入介入2室内部进行手术，工作结束后在缓冲间进行表面污染测定，测定无误后原路返回。</w:t>
            </w:r>
          </w:p>
          <w:p w14:paraId="0B30B3E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36" w:lineRule="auto"/>
              <w:ind w:left="0" w:right="0" w:firstLine="482" w:firstLineChars="200"/>
              <w:jc w:val="both"/>
              <w:textAlignment w:val="auto"/>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④放射性固体废物路线</w:t>
            </w:r>
          </w:p>
          <w:p w14:paraId="7E7438A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36" w:lineRule="auto"/>
              <w:ind w:left="0" w:right="0" w:firstLine="480" w:firstLineChars="20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医院拟将放射性固体废物收集存于</w:t>
            </w:r>
            <w:r>
              <w:rPr>
                <w:rFonts w:hint="default" w:ascii="Times New Roman" w:hAnsi="Times New Roman" w:cs="Times New Roman"/>
                <w:color w:val="auto"/>
                <w:highlight w:val="none"/>
                <w:lang w:val="en-US" w:eastAsia="zh-CN"/>
              </w:rPr>
              <w:t>核医学楼</w:t>
            </w:r>
            <w:r>
              <w:rPr>
                <w:rFonts w:hint="eastAsia" w:ascii="Times New Roman" w:hAnsi="Times New Roman" w:cs="Times New Roman"/>
                <w:color w:val="auto"/>
                <w:highlight w:val="none"/>
                <w:lang w:val="en-US" w:eastAsia="zh-CN"/>
              </w:rPr>
              <w:t>一层注射室放射性</w:t>
            </w:r>
            <w:r>
              <w:rPr>
                <w:rFonts w:hint="default" w:ascii="Times New Roman" w:hAnsi="Times New Roman" w:cs="Times New Roman"/>
                <w:color w:val="auto"/>
                <w:highlight w:val="none"/>
              </w:rPr>
              <w:t>废物桶中，每天下班前将当天产生的放射性废物及时转移至</w:t>
            </w:r>
            <w:r>
              <w:rPr>
                <w:rFonts w:hint="default" w:ascii="Times New Roman" w:hAnsi="Times New Roman" w:cs="Times New Roman"/>
                <w:color w:val="auto"/>
                <w:highlight w:val="none"/>
                <w:lang w:val="en-US" w:eastAsia="zh-CN"/>
              </w:rPr>
              <w:t>核医学楼三层</w:t>
            </w:r>
            <w:r>
              <w:rPr>
                <w:rFonts w:hint="eastAsia" w:ascii="Times New Roman" w:hAnsi="Times New Roman" w:cs="Times New Roman"/>
                <w:color w:val="auto"/>
                <w:highlight w:val="none"/>
                <w:lang w:val="en-US" w:eastAsia="zh-CN"/>
              </w:rPr>
              <w:t>放射性</w:t>
            </w:r>
            <w:r>
              <w:rPr>
                <w:rFonts w:hint="default" w:ascii="Times New Roman" w:hAnsi="Times New Roman" w:cs="Times New Roman"/>
                <w:color w:val="auto"/>
                <w:highlight w:val="none"/>
              </w:rPr>
              <w:t>废物库内，暂存于废物衰变箱内衰变。待 10 个以上半衰期后衰变至符合清洁解控水平后，转移至院区的医疗污物暂存间，按照医疗废物交由有资质单位进行处置。</w:t>
            </w:r>
            <w:r>
              <w:rPr>
                <w:rFonts w:hint="eastAsia" w:cs="Times New Roman"/>
                <w:color w:val="auto"/>
                <w:highlight w:val="none"/>
                <w:lang w:val="en-US" w:eastAsia="zh-CN"/>
              </w:rPr>
              <w:t>项目人流物流路径图见附图3。</w:t>
            </w:r>
          </w:p>
          <w:p w14:paraId="58DAD35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120" w:afterAutospacing="0" w:line="336" w:lineRule="auto"/>
              <w:ind w:left="0" w:right="0" w:firstLine="480"/>
              <w:jc w:val="both"/>
              <w:textAlignment w:val="auto"/>
              <w:rPr>
                <w:rFonts w:hint="default" w:ascii="Times New Roman" w:hAnsi="Times New Roman" w:eastAsia="宋体" w:cs="Times New Roman"/>
                <w:b/>
                <w:bCs/>
                <w:i w:val="0"/>
                <w:iCs w:val="0"/>
                <w:strike w:val="0"/>
                <w:color w:val="auto"/>
                <w:sz w:val="24"/>
                <w:szCs w:val="24"/>
                <w:highlight w:val="none"/>
                <w:lang w:val="en-US" w:eastAsia="zh-CN"/>
              </w:rPr>
            </w:pPr>
            <w:r>
              <w:rPr>
                <w:rFonts w:hint="default" w:ascii="Times New Roman" w:hAnsi="Times New Roman" w:eastAsia="宋体" w:cs="Times New Roman"/>
                <w:b/>
                <w:bCs/>
                <w:i w:val="0"/>
                <w:iCs w:val="0"/>
                <w:strike w:val="0"/>
                <w:color w:val="auto"/>
                <w:sz w:val="24"/>
                <w:szCs w:val="24"/>
                <w:highlight w:val="none"/>
                <w:lang w:val="en-US" w:eastAsia="zh-CN"/>
              </w:rPr>
              <w:t>（4）诊断规划</w:t>
            </w:r>
          </w:p>
          <w:p w14:paraId="69177268">
            <w:pPr>
              <w:keepNext w:val="0"/>
              <w:keepLines w:val="0"/>
              <w:pageBreakBefore w:val="0"/>
              <w:widowControl w:val="0"/>
              <w:suppressLineNumbers w:val="0"/>
              <w:kinsoku/>
              <w:wordWrap/>
              <w:overflowPunct/>
              <w:topLinePunct w:val="0"/>
              <w:autoSpaceDE w:val="0"/>
              <w:autoSpaceDN w:val="0"/>
              <w:bidi w:val="0"/>
              <w:adjustRightInd/>
              <w:snapToGrid/>
              <w:spacing w:before="55" w:beforeAutospacing="0" w:after="0" w:afterAutospacing="0" w:line="336" w:lineRule="auto"/>
              <w:ind w:left="117" w:right="106" w:firstLine="488"/>
              <w:jc w:val="both"/>
              <w:textAlignment w:val="auto"/>
              <w:rPr>
                <w:rFonts w:hint="default" w:ascii="Times New Roman" w:hAnsi="Times New Roman" w:eastAsia="宋体" w:cs="Times New Roman"/>
                <w:color w:val="auto"/>
                <w:spacing w:val="-4"/>
                <w:sz w:val="24"/>
                <w:szCs w:val="24"/>
                <w:highlight w:val="none"/>
              </w:rPr>
            </w:pPr>
            <w:r>
              <w:rPr>
                <w:rFonts w:hint="eastAsia" w:eastAsia="宋体" w:cs="Times New Roman"/>
                <w:color w:val="auto"/>
                <w:spacing w:val="15"/>
                <w:sz w:val="24"/>
                <w:szCs w:val="24"/>
                <w:highlight w:val="none"/>
                <w:vertAlign w:val="baseline"/>
                <w:lang w:val="en-US" w:eastAsia="zh-CN"/>
              </w:rPr>
              <w:t>Y-90</w:t>
            </w:r>
            <w:r>
              <w:rPr>
                <w:rFonts w:hint="default" w:ascii="Times New Roman" w:hAnsi="Times New Roman" w:eastAsia="宋体" w:cs="Times New Roman"/>
                <w:color w:val="auto"/>
                <w:spacing w:val="-3"/>
                <w:sz w:val="24"/>
                <w:szCs w:val="24"/>
                <w:highlight w:val="none"/>
              </w:rPr>
              <w:t>核素治疗工作量：每日最大接诊</w:t>
            </w:r>
            <w:r>
              <w:rPr>
                <w:rFonts w:hint="default" w:ascii="Times New Roman" w:hAnsi="Times New Roman" w:eastAsia="宋体" w:cs="Times New Roman"/>
                <w:color w:val="auto"/>
                <w:spacing w:val="-4"/>
                <w:sz w:val="24"/>
                <w:szCs w:val="24"/>
                <w:highlight w:val="none"/>
              </w:rPr>
              <w:t>量为</w:t>
            </w:r>
            <w:r>
              <w:rPr>
                <w:rFonts w:hint="default" w:ascii="Times New Roman" w:hAnsi="Times New Roman" w:eastAsia="Times New Roman" w:cs="Times New Roman"/>
                <w:color w:val="auto"/>
                <w:spacing w:val="-4"/>
                <w:sz w:val="24"/>
                <w:szCs w:val="24"/>
                <w:highlight w:val="none"/>
              </w:rPr>
              <w:t>1</w:t>
            </w:r>
            <w:r>
              <w:rPr>
                <w:rFonts w:hint="default" w:ascii="Times New Roman" w:hAnsi="Times New Roman" w:eastAsia="宋体" w:cs="Times New Roman"/>
                <w:color w:val="auto"/>
                <w:spacing w:val="-4"/>
                <w:sz w:val="24"/>
                <w:szCs w:val="24"/>
                <w:highlight w:val="none"/>
              </w:rPr>
              <w:t>人</w:t>
            </w:r>
            <w:r>
              <w:rPr>
                <w:rFonts w:hint="eastAsia" w:cs="Times New Roman"/>
                <w:color w:val="auto"/>
                <w:spacing w:val="-4"/>
                <w:sz w:val="24"/>
                <w:szCs w:val="24"/>
                <w:highlight w:val="none"/>
                <w:lang w:eastAsia="zh-CN"/>
              </w:rPr>
              <w:t>，</w:t>
            </w:r>
            <w:r>
              <w:rPr>
                <w:rFonts w:hint="eastAsia" w:cs="Times New Roman"/>
                <w:color w:val="auto"/>
                <w:spacing w:val="-4"/>
                <w:sz w:val="24"/>
                <w:szCs w:val="24"/>
                <w:highlight w:val="none"/>
                <w:lang w:val="en-US" w:eastAsia="zh-CN"/>
              </w:rPr>
              <w:t>全年接诊量30人</w:t>
            </w:r>
            <w:r>
              <w:rPr>
                <w:rFonts w:hint="default" w:ascii="Times New Roman" w:hAnsi="Times New Roman" w:eastAsia="宋体" w:cs="Times New Roman"/>
                <w:color w:val="auto"/>
                <w:spacing w:val="-4"/>
                <w:sz w:val="24"/>
                <w:szCs w:val="24"/>
                <w:highlight w:val="none"/>
              </w:rPr>
              <w:t>，</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Y-90</w:t>
            </w:r>
            <w:r>
              <w:rPr>
                <w:rFonts w:hint="eastAsia" w:cs="Times New Roman"/>
                <w:b w:val="0"/>
                <w:bCs w:val="0"/>
                <w:i w:val="0"/>
                <w:iCs w:val="0"/>
                <w:strike w:val="0"/>
                <w:color w:val="auto"/>
                <w:sz w:val="24"/>
                <w:szCs w:val="24"/>
                <w:highlight w:val="none"/>
                <w:vertAlign w:val="baseline"/>
                <w:lang w:val="en-US" w:eastAsia="zh-CN"/>
              </w:rPr>
              <w:t>在核医学楼</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单光子药物生产车间</w:t>
            </w:r>
            <w:r>
              <w:rPr>
                <w:rFonts w:hint="eastAsia" w:cs="Times New Roman"/>
                <w:b w:val="0"/>
                <w:bCs w:val="0"/>
                <w:i w:val="0"/>
                <w:iCs w:val="0"/>
                <w:strike w:val="0"/>
                <w:color w:val="auto"/>
                <w:sz w:val="24"/>
                <w:szCs w:val="24"/>
                <w:highlight w:val="none"/>
                <w:vertAlign w:val="baseline"/>
                <w:lang w:val="en-US" w:eastAsia="zh-CN"/>
              </w:rPr>
              <w:t>内</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日最大操作量</w:t>
            </w:r>
            <w:r>
              <w:rPr>
                <w:rFonts w:hint="eastAsia" w:cs="Times New Roman"/>
                <w:b w:val="0"/>
                <w:bCs w:val="0"/>
                <w:i w:val="0"/>
                <w:iCs w:val="0"/>
                <w:strike w:val="0"/>
                <w:color w:val="auto"/>
                <w:sz w:val="24"/>
                <w:szCs w:val="24"/>
                <w:highlight w:val="none"/>
                <w:vertAlign w:val="baseline"/>
                <w:lang w:val="en-US" w:eastAsia="zh-CN"/>
              </w:rPr>
              <w:t>为3.00</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E+09Bq，</w:t>
            </w:r>
            <w:r>
              <w:rPr>
                <w:rFonts w:hint="eastAsia" w:cs="Times New Roman"/>
                <w:b w:val="0"/>
                <w:bCs w:val="0"/>
                <w:i w:val="0"/>
                <w:iCs w:val="0"/>
                <w:strike w:val="0"/>
                <w:color w:val="auto"/>
                <w:sz w:val="24"/>
                <w:szCs w:val="24"/>
                <w:highlight w:val="none"/>
                <w:vertAlign w:val="baseline"/>
                <w:lang w:val="en-US" w:eastAsia="zh-CN"/>
              </w:rPr>
              <w:t>合计81mCi；在介入2室内日最大操作量为2.50E+09Bq，合计67.57mCi。</w:t>
            </w:r>
          </w:p>
          <w:p w14:paraId="65B929CD">
            <w:pPr>
              <w:keepNext w:val="0"/>
              <w:keepLines w:val="0"/>
              <w:pageBreakBefore w:val="0"/>
              <w:widowControl w:val="0"/>
              <w:suppressLineNumbers w:val="0"/>
              <w:kinsoku/>
              <w:wordWrap/>
              <w:overflowPunct/>
              <w:topLinePunct w:val="0"/>
              <w:autoSpaceDE w:val="0"/>
              <w:autoSpaceDN w:val="0"/>
              <w:bidi w:val="0"/>
              <w:adjustRightInd/>
              <w:snapToGrid/>
              <w:spacing w:before="55" w:beforeAutospacing="0" w:after="0" w:afterAutospacing="0" w:line="336" w:lineRule="auto"/>
              <w:ind w:left="117" w:right="106" w:firstLine="488"/>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相关放射性属性</w:t>
            </w:r>
            <w:r>
              <w:rPr>
                <w:rFonts w:hint="eastAsia" w:cs="Times New Roman"/>
                <w:color w:val="auto"/>
                <w:spacing w:val="-1"/>
                <w:sz w:val="24"/>
                <w:szCs w:val="24"/>
                <w:highlight w:val="none"/>
                <w:lang w:val="en-US" w:eastAsia="zh-CN"/>
              </w:rPr>
              <w:t>下表</w:t>
            </w:r>
            <w:r>
              <w:rPr>
                <w:rFonts w:hint="default" w:ascii="Times New Roman" w:hAnsi="Times New Roman" w:eastAsia="宋体" w:cs="Times New Roman"/>
                <w:color w:val="auto"/>
                <w:spacing w:val="-2"/>
                <w:sz w:val="24"/>
                <w:szCs w:val="24"/>
                <w:highlight w:val="none"/>
              </w:rPr>
              <w:t>。</w:t>
            </w:r>
          </w:p>
          <w:p w14:paraId="57D7217E">
            <w:pPr>
              <w:keepNext w:val="0"/>
              <w:keepLines w:val="0"/>
              <w:suppressLineNumbers w:val="0"/>
              <w:spacing w:before="1" w:beforeAutospacing="0" w:after="0" w:afterAutospacing="0" w:line="219" w:lineRule="auto"/>
              <w:ind w:left="2741"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2"/>
                <w:sz w:val="24"/>
                <w:szCs w:val="24"/>
                <w:highlight w:val="none"/>
              </w:rPr>
              <w:t>表</w:t>
            </w:r>
            <w:r>
              <w:rPr>
                <w:rFonts w:hint="default" w:ascii="Times New Roman" w:hAnsi="Times New Roman" w:eastAsia="Times New Roman" w:cs="Times New Roman"/>
                <w:b/>
                <w:bCs/>
                <w:color w:val="auto"/>
                <w:spacing w:val="-2"/>
                <w:sz w:val="24"/>
                <w:szCs w:val="24"/>
                <w:highlight w:val="none"/>
              </w:rPr>
              <w:t>9</w:t>
            </w:r>
            <w:r>
              <w:rPr>
                <w:rFonts w:hint="eastAsia" w:eastAsia="宋体" w:cs="Times New Roman"/>
                <w:b/>
                <w:bCs/>
                <w:color w:val="auto"/>
                <w:spacing w:val="-2"/>
                <w:sz w:val="24"/>
                <w:szCs w:val="24"/>
                <w:highlight w:val="none"/>
                <w:lang w:val="en-US" w:eastAsia="zh-CN"/>
              </w:rPr>
              <w:t>-1</w:t>
            </w:r>
            <w:r>
              <w:rPr>
                <w:rFonts w:hint="eastAsia" w:cs="Times New Roman"/>
                <w:b/>
                <w:bCs/>
                <w:color w:val="auto"/>
                <w:spacing w:val="-2"/>
                <w:sz w:val="24"/>
                <w:szCs w:val="24"/>
                <w:highlight w:val="none"/>
                <w:lang w:val="en-US" w:eastAsia="zh-CN"/>
              </w:rPr>
              <w:t>8</w:t>
            </w:r>
            <w:r>
              <w:rPr>
                <w:rFonts w:hint="default" w:ascii="Times New Roman" w:hAnsi="Times New Roman" w:eastAsia="宋体" w:cs="Times New Roman"/>
                <w:b/>
                <w:bCs/>
                <w:color w:val="auto"/>
                <w:spacing w:val="-2"/>
                <w:sz w:val="24"/>
                <w:szCs w:val="24"/>
                <w:highlight w:val="none"/>
                <w:lang w:val="en-US" w:eastAsia="zh-CN"/>
              </w:rPr>
              <w:t xml:space="preserve"> </w:t>
            </w:r>
            <w:r>
              <w:rPr>
                <w:rFonts w:hint="default" w:ascii="Times New Roman" w:hAnsi="Times New Roman" w:eastAsia="宋体" w:cs="Times New Roman"/>
                <w:b/>
                <w:bCs/>
                <w:color w:val="auto"/>
                <w:spacing w:val="-2"/>
                <w:sz w:val="24"/>
                <w:szCs w:val="24"/>
                <w:highlight w:val="none"/>
                <w:vertAlign w:val="baseline"/>
                <w:lang w:val="en-US" w:eastAsia="zh-CN"/>
              </w:rPr>
              <w:t xml:space="preserve"> </w:t>
            </w:r>
            <w:r>
              <w:rPr>
                <w:rFonts w:hint="eastAsia" w:ascii="Times New Roman" w:hAnsi="Times New Roman" w:eastAsia="宋体" w:cs="Times New Roman"/>
                <w:b/>
                <w:bCs/>
                <w:color w:val="auto"/>
                <w:spacing w:val="-2"/>
                <w:sz w:val="24"/>
                <w:szCs w:val="24"/>
                <w:highlight w:val="none"/>
                <w:lang w:val="en-US" w:eastAsia="zh-CN"/>
              </w:rPr>
              <w:t>Y-90</w:t>
            </w:r>
            <w:r>
              <w:rPr>
                <w:rFonts w:hint="default" w:ascii="Times New Roman" w:hAnsi="Times New Roman" w:eastAsia="宋体" w:cs="Times New Roman"/>
                <w:b/>
                <w:bCs/>
                <w:color w:val="auto"/>
                <w:spacing w:val="-2"/>
                <w:sz w:val="24"/>
                <w:szCs w:val="24"/>
                <w:highlight w:val="none"/>
              </w:rPr>
              <w:t>治疗用核素相关放射性属性</w:t>
            </w:r>
          </w:p>
          <w:p w14:paraId="512145D0">
            <w:pPr>
              <w:keepNext w:val="0"/>
              <w:keepLines w:val="0"/>
              <w:suppressLineNumbers w:val="0"/>
              <w:spacing w:before="0" w:beforeAutospacing="0" w:after="0" w:afterAutospacing="0" w:line="147" w:lineRule="exact"/>
              <w:ind w:left="0" w:right="0"/>
              <w:jc w:val="both"/>
              <w:rPr>
                <w:rFonts w:hint="default" w:ascii="Times New Roman" w:hAnsi="Times New Roman" w:cs="Times New Roman"/>
                <w:color w:val="auto"/>
                <w:highlight w:val="none"/>
              </w:rPr>
            </w:pPr>
          </w:p>
          <w:tbl>
            <w:tblPr>
              <w:tblStyle w:val="30"/>
              <w:tblW w:w="9057" w:type="dxa"/>
              <w:tblInd w:w="97"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0"/>
              <w:gridCol w:w="846"/>
              <w:gridCol w:w="846"/>
              <w:gridCol w:w="1127"/>
              <w:gridCol w:w="1127"/>
              <w:gridCol w:w="1554"/>
              <w:gridCol w:w="2417"/>
            </w:tblGrid>
            <w:tr w14:paraId="52C3C8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2" w:hRule="atLeast"/>
              </w:trPr>
              <w:tc>
                <w:tcPr>
                  <w:tcW w:w="1140" w:type="dxa"/>
                  <w:tcBorders>
                    <w:tl2br w:val="nil"/>
                    <w:tr2bl w:val="nil"/>
                  </w:tcBorders>
                  <w:vAlign w:val="center"/>
                </w:tcPr>
                <w:p w14:paraId="74D671B1">
                  <w:pPr>
                    <w:keepNext w:val="0"/>
                    <w:keepLines w:val="0"/>
                    <w:suppressLineNumbers w:val="0"/>
                    <w:spacing w:before="169" w:beforeAutospacing="0" w:after="0" w:afterAutospacing="0" w:line="228" w:lineRule="auto"/>
                    <w:ind w:left="159" w:right="0"/>
                    <w:jc w:val="both"/>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5"/>
                      <w:sz w:val="20"/>
                      <w:szCs w:val="20"/>
                      <w:highlight w:val="none"/>
                    </w:rPr>
                    <w:t>核素名称</w:t>
                  </w:r>
                </w:p>
              </w:tc>
              <w:tc>
                <w:tcPr>
                  <w:tcW w:w="846" w:type="dxa"/>
                  <w:tcBorders>
                    <w:tl2br w:val="nil"/>
                    <w:tr2bl w:val="nil"/>
                  </w:tcBorders>
                  <w:vAlign w:val="center"/>
                </w:tcPr>
                <w:p w14:paraId="2E0B3154">
                  <w:pPr>
                    <w:keepNext w:val="0"/>
                    <w:keepLines w:val="0"/>
                    <w:suppressLineNumbers w:val="0"/>
                    <w:spacing w:before="169" w:beforeAutospacing="0" w:after="0" w:afterAutospacing="0" w:line="228" w:lineRule="auto"/>
                    <w:ind w:left="217" w:right="0"/>
                    <w:jc w:val="both"/>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3"/>
                      <w:sz w:val="20"/>
                      <w:szCs w:val="20"/>
                      <w:highlight w:val="none"/>
                    </w:rPr>
                    <w:t>状态</w:t>
                  </w:r>
                </w:p>
              </w:tc>
              <w:tc>
                <w:tcPr>
                  <w:tcW w:w="846" w:type="dxa"/>
                  <w:tcBorders>
                    <w:tl2br w:val="nil"/>
                    <w:tr2bl w:val="nil"/>
                  </w:tcBorders>
                  <w:vAlign w:val="center"/>
                </w:tcPr>
                <w:p w14:paraId="3226C2DB">
                  <w:pPr>
                    <w:keepNext w:val="0"/>
                    <w:keepLines w:val="0"/>
                    <w:suppressLineNumbers w:val="0"/>
                    <w:spacing w:before="170" w:beforeAutospacing="0" w:after="0" w:afterAutospacing="0" w:line="228" w:lineRule="auto"/>
                    <w:ind w:left="116"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4"/>
                      <w:sz w:val="20"/>
                      <w:szCs w:val="20"/>
                      <w:highlight w:val="none"/>
                    </w:rPr>
                    <w:t>半衰期</w:t>
                  </w:r>
                </w:p>
              </w:tc>
              <w:tc>
                <w:tcPr>
                  <w:tcW w:w="1127" w:type="dxa"/>
                  <w:tcBorders>
                    <w:tl2br w:val="nil"/>
                    <w:tr2bl w:val="nil"/>
                  </w:tcBorders>
                  <w:vAlign w:val="center"/>
                </w:tcPr>
                <w:p w14:paraId="36E1E482">
                  <w:pPr>
                    <w:keepNext w:val="0"/>
                    <w:keepLines w:val="0"/>
                    <w:suppressLineNumbers w:val="0"/>
                    <w:spacing w:before="169" w:beforeAutospacing="0" w:after="0" w:afterAutospacing="0" w:line="228" w:lineRule="auto"/>
                    <w:ind w:left="150"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毒性组别</w:t>
                  </w:r>
                </w:p>
              </w:tc>
              <w:tc>
                <w:tcPr>
                  <w:tcW w:w="1127" w:type="dxa"/>
                  <w:tcBorders>
                    <w:tl2br w:val="nil"/>
                    <w:tr2bl w:val="nil"/>
                  </w:tcBorders>
                  <w:vAlign w:val="center"/>
                </w:tcPr>
                <w:p w14:paraId="5789C1E5">
                  <w:pPr>
                    <w:keepNext w:val="0"/>
                    <w:keepLines w:val="0"/>
                    <w:suppressLineNumbers w:val="0"/>
                    <w:spacing w:before="170" w:beforeAutospacing="0" w:after="0" w:afterAutospacing="0" w:line="228" w:lineRule="auto"/>
                    <w:ind w:left="151" w:right="0"/>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衰变方式</w:t>
                  </w:r>
                </w:p>
              </w:tc>
              <w:tc>
                <w:tcPr>
                  <w:tcW w:w="1554" w:type="dxa"/>
                  <w:tcBorders>
                    <w:tl2br w:val="nil"/>
                    <w:tr2bl w:val="nil"/>
                  </w:tcBorders>
                  <w:vAlign w:val="center"/>
                </w:tcPr>
                <w:p w14:paraId="4B546EE2">
                  <w:pPr>
                    <w:keepNext w:val="0"/>
                    <w:keepLines w:val="0"/>
                    <w:suppressLineNumbers w:val="0"/>
                    <w:spacing w:before="36" w:beforeAutospacing="0" w:after="0" w:afterAutospacing="0" w:line="233" w:lineRule="auto"/>
                    <w:ind w:left="0" w:right="147"/>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主要射线和能</w:t>
                  </w:r>
                  <w:r>
                    <w:rPr>
                      <w:rFonts w:hint="default" w:ascii="Times New Roman" w:hAnsi="Times New Roman" w:eastAsia="宋体" w:cs="Times New Roman"/>
                      <w:b/>
                      <w:bCs/>
                      <w:color w:val="auto"/>
                      <w:spacing w:val="8"/>
                      <w:sz w:val="20"/>
                      <w:szCs w:val="20"/>
                      <w:highlight w:val="none"/>
                    </w:rPr>
                    <w:t>量（</w:t>
                  </w:r>
                  <w:r>
                    <w:rPr>
                      <w:rFonts w:hint="default" w:ascii="Times New Roman" w:hAnsi="Times New Roman" w:eastAsia="Times New Roman" w:cs="Times New Roman"/>
                      <w:b/>
                      <w:bCs/>
                      <w:color w:val="auto"/>
                      <w:sz w:val="20"/>
                      <w:szCs w:val="20"/>
                      <w:highlight w:val="none"/>
                    </w:rPr>
                    <w:t>MeV</w:t>
                  </w:r>
                  <w:r>
                    <w:rPr>
                      <w:rFonts w:hint="default" w:ascii="Times New Roman" w:hAnsi="Times New Roman" w:eastAsia="宋体" w:cs="Times New Roman"/>
                      <w:b/>
                      <w:bCs/>
                      <w:color w:val="auto"/>
                      <w:spacing w:val="8"/>
                      <w:sz w:val="20"/>
                      <w:szCs w:val="20"/>
                      <w:highlight w:val="none"/>
                    </w:rPr>
                    <w:t>）</w:t>
                  </w:r>
                </w:p>
              </w:tc>
              <w:tc>
                <w:tcPr>
                  <w:tcW w:w="2417" w:type="dxa"/>
                  <w:tcBorders>
                    <w:tl2br w:val="nil"/>
                    <w:tr2bl w:val="nil"/>
                  </w:tcBorders>
                  <w:vAlign w:val="center"/>
                </w:tcPr>
                <w:p w14:paraId="799E8FF5">
                  <w:pPr>
                    <w:keepNext w:val="0"/>
                    <w:keepLines w:val="0"/>
                    <w:suppressLineNumbers w:val="0"/>
                    <w:spacing w:before="36" w:beforeAutospacing="0" w:after="0" w:afterAutospacing="0" w:line="233" w:lineRule="auto"/>
                    <w:ind w:left="0" w:right="131"/>
                    <w:jc w:val="center"/>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空气比释动能率常数</w:t>
                  </w:r>
                  <w:r>
                    <w:rPr>
                      <w:rFonts w:hint="default" w:ascii="Times New Roman" w:hAnsi="Times New Roman" w:eastAsia="宋体" w:cs="Times New Roman"/>
                      <w:b/>
                      <w:bCs/>
                      <w:color w:val="auto"/>
                      <w:spacing w:val="-2"/>
                      <w:sz w:val="20"/>
                      <w:szCs w:val="20"/>
                      <w:highlight w:val="none"/>
                    </w:rPr>
                    <w:t>(</w:t>
                  </w:r>
                  <w:r>
                    <w:rPr>
                      <w:rFonts w:hint="default" w:ascii="Times New Roman" w:hAnsi="Times New Roman" w:eastAsia="Times New Roman" w:cs="Times New Roman"/>
                      <w:b/>
                      <w:bCs/>
                      <w:color w:val="auto"/>
                      <w:spacing w:val="-2"/>
                      <w:sz w:val="20"/>
                      <w:szCs w:val="20"/>
                      <w:highlight w:val="none"/>
                    </w:rPr>
                    <w:t>μGy·m</w:t>
                  </w:r>
                  <w:r>
                    <w:rPr>
                      <w:rFonts w:hint="default" w:ascii="Times New Roman" w:hAnsi="Times New Roman" w:eastAsia="Times New Roman" w:cs="Times New Roman"/>
                      <w:b/>
                      <w:bCs/>
                      <w:color w:val="auto"/>
                      <w:spacing w:val="-2"/>
                      <w:position w:val="6"/>
                      <w:sz w:val="20"/>
                      <w:szCs w:val="20"/>
                      <w:highlight w:val="none"/>
                      <w:vertAlign w:val="superscript"/>
                    </w:rPr>
                    <w:t>2</w:t>
                  </w:r>
                  <w:r>
                    <w:rPr>
                      <w:rFonts w:hint="default" w:ascii="Times New Roman" w:hAnsi="Times New Roman" w:eastAsia="Times New Roman" w:cs="Times New Roman"/>
                      <w:b/>
                      <w:bCs/>
                      <w:color w:val="auto"/>
                      <w:spacing w:val="-2"/>
                      <w:sz w:val="20"/>
                      <w:szCs w:val="20"/>
                      <w:highlight w:val="none"/>
                    </w:rPr>
                    <w:t>·MBq</w:t>
                  </w:r>
                  <w:r>
                    <w:rPr>
                      <w:rFonts w:hint="default" w:ascii="Times New Roman" w:hAnsi="Times New Roman" w:eastAsia="Times New Roman" w:cs="Times New Roman"/>
                      <w:b/>
                      <w:bCs/>
                      <w:color w:val="auto"/>
                      <w:spacing w:val="-2"/>
                      <w:position w:val="6"/>
                      <w:sz w:val="20"/>
                      <w:szCs w:val="20"/>
                      <w:highlight w:val="none"/>
                      <w:vertAlign w:val="superscript"/>
                    </w:rPr>
                    <w:t>-1</w:t>
                  </w:r>
                  <w:r>
                    <w:rPr>
                      <w:rFonts w:hint="default" w:ascii="Times New Roman" w:hAnsi="Times New Roman" w:eastAsia="宋体" w:cs="Times New Roman"/>
                      <w:b/>
                      <w:bCs/>
                      <w:color w:val="auto"/>
                      <w:spacing w:val="-2"/>
                      <w:sz w:val="20"/>
                      <w:szCs w:val="20"/>
                      <w:highlight w:val="none"/>
                    </w:rPr>
                    <w:t>·</w:t>
                  </w:r>
                  <w:r>
                    <w:rPr>
                      <w:rFonts w:hint="default" w:ascii="Times New Roman" w:hAnsi="Times New Roman" w:eastAsia="Times New Roman" w:cs="Times New Roman"/>
                      <w:b/>
                      <w:bCs/>
                      <w:color w:val="auto"/>
                      <w:spacing w:val="-2"/>
                      <w:sz w:val="20"/>
                      <w:szCs w:val="20"/>
                      <w:highlight w:val="none"/>
                    </w:rPr>
                    <w:t>h</w:t>
                  </w:r>
                  <w:r>
                    <w:rPr>
                      <w:rFonts w:hint="default" w:ascii="Times New Roman" w:hAnsi="Times New Roman" w:eastAsia="Times New Roman" w:cs="Times New Roman"/>
                      <w:b/>
                      <w:bCs/>
                      <w:color w:val="auto"/>
                      <w:spacing w:val="-2"/>
                      <w:position w:val="6"/>
                      <w:sz w:val="20"/>
                      <w:szCs w:val="20"/>
                      <w:highlight w:val="none"/>
                      <w:vertAlign w:val="superscript"/>
                    </w:rPr>
                    <w:t>-1</w:t>
                  </w:r>
                  <w:r>
                    <w:rPr>
                      <w:rFonts w:hint="default" w:ascii="Times New Roman" w:hAnsi="Times New Roman" w:eastAsia="宋体" w:cs="Times New Roman"/>
                      <w:b/>
                      <w:bCs/>
                      <w:color w:val="auto"/>
                      <w:spacing w:val="-2"/>
                      <w:sz w:val="20"/>
                      <w:szCs w:val="20"/>
                      <w:highlight w:val="none"/>
                    </w:rPr>
                    <w:t>）</w:t>
                  </w:r>
                </w:p>
              </w:tc>
            </w:tr>
            <w:tr w14:paraId="77D05B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140" w:type="dxa"/>
                  <w:tcBorders>
                    <w:tl2br w:val="nil"/>
                    <w:tr2bl w:val="nil"/>
                  </w:tcBorders>
                  <w:vAlign w:val="center"/>
                </w:tcPr>
                <w:p w14:paraId="6178429F">
                  <w:pPr>
                    <w:keepNext w:val="0"/>
                    <w:keepLines w:val="0"/>
                    <w:suppressLineNumbers w:val="0"/>
                    <w:spacing w:before="142" w:beforeAutospacing="0" w:after="0" w:afterAutospacing="0" w:line="209" w:lineRule="auto"/>
                    <w:ind w:left="339" w:right="0"/>
                    <w:jc w:val="both"/>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Y-90</w:t>
                  </w:r>
                </w:p>
              </w:tc>
              <w:tc>
                <w:tcPr>
                  <w:tcW w:w="846" w:type="dxa"/>
                  <w:tcBorders>
                    <w:tl2br w:val="nil"/>
                    <w:tr2bl w:val="nil"/>
                  </w:tcBorders>
                  <w:vAlign w:val="center"/>
                </w:tcPr>
                <w:p w14:paraId="261D4A71">
                  <w:pPr>
                    <w:keepNext w:val="0"/>
                    <w:keepLines w:val="0"/>
                    <w:suppressLineNumbers w:val="0"/>
                    <w:spacing w:before="140" w:beforeAutospacing="0" w:after="0" w:afterAutospacing="0" w:line="228" w:lineRule="auto"/>
                    <w:ind w:left="0" w:right="0"/>
                    <w:jc w:val="center"/>
                    <w:rPr>
                      <w:rFonts w:hint="default" w:ascii="Times New Roman" w:hAnsi="Times New Roman" w:eastAsia="宋体" w:cs="Times New Roman"/>
                      <w:color w:val="auto"/>
                      <w:sz w:val="20"/>
                      <w:szCs w:val="20"/>
                      <w:highlight w:val="none"/>
                      <w:lang w:eastAsia="zh-CN"/>
                    </w:rPr>
                  </w:pPr>
                  <w:r>
                    <w:rPr>
                      <w:rFonts w:hint="default" w:ascii="Times New Roman" w:hAnsi="Times New Roman" w:eastAsia="宋体" w:cs="Times New Roman"/>
                      <w:color w:val="auto"/>
                      <w:spacing w:val="3"/>
                      <w:sz w:val="20"/>
                      <w:szCs w:val="20"/>
                      <w:highlight w:val="none"/>
                      <w:lang w:val="en-US" w:eastAsia="zh-CN"/>
                    </w:rPr>
                    <w:t>悬浮液</w:t>
                  </w:r>
                </w:p>
              </w:tc>
              <w:tc>
                <w:tcPr>
                  <w:tcW w:w="846" w:type="dxa"/>
                  <w:tcBorders>
                    <w:tl2br w:val="nil"/>
                    <w:tr2bl w:val="nil"/>
                  </w:tcBorders>
                  <w:vAlign w:val="center"/>
                </w:tcPr>
                <w:p w14:paraId="78935CBB">
                  <w:pPr>
                    <w:keepNext w:val="0"/>
                    <w:keepLines w:val="0"/>
                    <w:suppressLineNumbers w:val="0"/>
                    <w:spacing w:before="171" w:beforeAutospacing="0" w:after="0" w:afterAutospacing="0" w:line="199" w:lineRule="auto"/>
                    <w:ind w:left="193" w:right="0"/>
                    <w:jc w:val="center"/>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color w:val="auto"/>
                      <w:spacing w:val="2"/>
                      <w:sz w:val="20"/>
                      <w:szCs w:val="20"/>
                      <w:highlight w:val="none"/>
                      <w:lang w:val="en-US" w:eastAsia="zh-CN"/>
                    </w:rPr>
                    <w:t>64.2h</w:t>
                  </w:r>
                </w:p>
              </w:tc>
              <w:tc>
                <w:tcPr>
                  <w:tcW w:w="1127" w:type="dxa"/>
                  <w:tcBorders>
                    <w:tl2br w:val="nil"/>
                    <w:tr2bl w:val="nil"/>
                  </w:tcBorders>
                  <w:vAlign w:val="center"/>
                </w:tcPr>
                <w:p w14:paraId="1FA70110">
                  <w:pPr>
                    <w:keepNext w:val="0"/>
                    <w:keepLines w:val="0"/>
                    <w:suppressLineNumbers w:val="0"/>
                    <w:spacing w:before="139" w:beforeAutospacing="0" w:after="0" w:afterAutospacing="0" w:line="228" w:lineRule="auto"/>
                    <w:ind w:left="379" w:right="0"/>
                    <w:jc w:val="both"/>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5"/>
                      <w:sz w:val="20"/>
                      <w:szCs w:val="20"/>
                      <w:highlight w:val="none"/>
                      <w:lang w:val="en-US" w:eastAsia="zh-CN"/>
                    </w:rPr>
                    <w:t>中毒</w:t>
                  </w:r>
                </w:p>
              </w:tc>
              <w:tc>
                <w:tcPr>
                  <w:tcW w:w="1127" w:type="dxa"/>
                  <w:tcBorders>
                    <w:tl2br w:val="nil"/>
                    <w:tr2bl w:val="nil"/>
                  </w:tcBorders>
                  <w:vAlign w:val="center"/>
                </w:tcPr>
                <w:p w14:paraId="0BC57E80">
                  <w:pPr>
                    <w:keepNext w:val="0"/>
                    <w:keepLines w:val="0"/>
                    <w:suppressLineNumbers w:val="0"/>
                    <w:spacing w:before="172" w:beforeAutospacing="0" w:after="0" w:afterAutospacing="0" w:line="200" w:lineRule="auto"/>
                    <w:ind w:left="499" w:right="0"/>
                    <w:jc w:val="both"/>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color w:val="auto"/>
                      <w:sz w:val="20"/>
                      <w:szCs w:val="20"/>
                      <w:highlight w:val="none"/>
                      <w:lang w:val="en-US" w:eastAsia="zh-CN"/>
                    </w:rPr>
                    <w:t>β-</w:t>
                  </w:r>
                </w:p>
              </w:tc>
              <w:tc>
                <w:tcPr>
                  <w:tcW w:w="1554" w:type="dxa"/>
                  <w:tcBorders>
                    <w:tl2br w:val="nil"/>
                    <w:tr2bl w:val="nil"/>
                  </w:tcBorders>
                  <w:vAlign w:val="center"/>
                </w:tcPr>
                <w:p w14:paraId="56F42209">
                  <w:pPr>
                    <w:keepNext w:val="0"/>
                    <w:keepLines w:val="0"/>
                    <w:suppressLineNumbers w:val="0"/>
                    <w:spacing w:before="139" w:beforeAutospacing="0" w:after="0" w:afterAutospacing="0" w:line="221" w:lineRule="auto"/>
                    <w:ind w:left="211" w:right="0"/>
                    <w:jc w:val="center"/>
                    <w:rPr>
                      <w:rFonts w:hint="default" w:ascii="Times New Roman" w:hAnsi="Times New Roman" w:eastAsia="Times New Roman" w:cs="Times New Roman"/>
                      <w:color w:val="auto"/>
                      <w:sz w:val="20"/>
                      <w:szCs w:val="20"/>
                      <w:highlight w:val="none"/>
                      <w:lang w:val="en-US"/>
                    </w:rPr>
                  </w:pPr>
                  <w:r>
                    <w:rPr>
                      <w:rFonts w:hint="default" w:ascii="Times New Roman" w:hAnsi="Times New Roman" w:eastAsia="Times New Roman" w:cs="Times New Roman"/>
                      <w:color w:val="auto"/>
                      <w:sz w:val="20"/>
                      <w:szCs w:val="20"/>
                      <w:highlight w:val="none"/>
                      <w:lang w:val="en-US" w:eastAsia="zh-CN"/>
                    </w:rPr>
                    <w:t>β 2.284</w:t>
                  </w:r>
                </w:p>
              </w:tc>
              <w:tc>
                <w:tcPr>
                  <w:tcW w:w="2417" w:type="dxa"/>
                  <w:tcBorders>
                    <w:tl2br w:val="nil"/>
                    <w:tr2bl w:val="nil"/>
                  </w:tcBorders>
                  <w:vAlign w:val="center"/>
                </w:tcPr>
                <w:p w14:paraId="5B5B40E9">
                  <w:pPr>
                    <w:keepNext w:val="0"/>
                    <w:keepLines w:val="0"/>
                    <w:suppressLineNumbers w:val="0"/>
                    <w:spacing w:before="238" w:beforeAutospacing="0" w:after="0" w:afterAutospacing="0" w:line="136" w:lineRule="exact"/>
                    <w:ind w:left="1114" w:right="0"/>
                    <w:jc w:val="both"/>
                    <w:rPr>
                      <w:rFonts w:hint="default" w:ascii="Times New Roman" w:hAnsi="Times New Roman" w:eastAsia="宋体" w:cs="Times New Roman"/>
                      <w:color w:val="auto"/>
                      <w:sz w:val="20"/>
                      <w:szCs w:val="20"/>
                      <w:highlight w:val="none"/>
                      <w:lang w:eastAsia="zh-CN"/>
                    </w:rPr>
                  </w:pPr>
                  <w:r>
                    <w:rPr>
                      <w:rFonts w:hint="default" w:ascii="Times New Roman" w:hAnsi="Times New Roman" w:eastAsia="宋体" w:cs="Times New Roman"/>
                      <w:color w:val="auto"/>
                      <w:spacing w:val="2"/>
                      <w:position w:val="-3"/>
                      <w:sz w:val="20"/>
                      <w:szCs w:val="20"/>
                      <w:highlight w:val="none"/>
                      <w:lang w:val="en-US" w:eastAsia="zh-CN"/>
                    </w:rPr>
                    <w:t>/</w:t>
                  </w:r>
                </w:p>
              </w:tc>
            </w:tr>
          </w:tbl>
          <w:p w14:paraId="4AD3496D">
            <w:pPr>
              <w:pStyle w:val="2"/>
              <w:keepNext w:val="0"/>
              <w:keepLines w:val="0"/>
              <w:suppressLineNumbers w:val="0"/>
              <w:spacing w:before="0" w:beforeAutospacing="0" w:after="0" w:afterAutospacing="0"/>
              <w:ind w:left="0" w:right="0"/>
              <w:jc w:val="both"/>
              <w:rPr>
                <w:rFonts w:hint="default" w:ascii="Times New Roman" w:hAnsi="Times New Roman" w:eastAsia="宋体" w:cs="Times New Roman"/>
                <w:b/>
                <w:bCs/>
                <w:i w:val="0"/>
                <w:iCs w:val="0"/>
                <w:strike w:val="0"/>
                <w:color w:val="auto"/>
                <w:sz w:val="24"/>
                <w:szCs w:val="24"/>
                <w:highlight w:val="none"/>
                <w:lang w:val="en-US" w:eastAsia="zh-CN"/>
              </w:rPr>
            </w:pPr>
          </w:p>
          <w:p w14:paraId="4BB01594">
            <w:pPr>
              <w:keepNext w:val="0"/>
              <w:keepLines w:val="0"/>
              <w:suppressLineNumbers w:val="0"/>
              <w:spacing w:before="0" w:beforeAutospacing="0" w:after="120" w:afterAutospacing="0" w:line="360" w:lineRule="auto"/>
              <w:ind w:left="0" w:right="0" w:firstLine="480"/>
              <w:jc w:val="both"/>
              <w:rPr>
                <w:rFonts w:hint="default" w:ascii="Times New Roman" w:hAnsi="Times New Roman" w:eastAsia="宋体" w:cs="Times New Roman"/>
                <w:b/>
                <w:bCs/>
                <w:i w:val="0"/>
                <w:iCs w:val="0"/>
                <w:strike w:val="0"/>
                <w:color w:val="auto"/>
                <w:sz w:val="24"/>
                <w:szCs w:val="24"/>
                <w:highlight w:val="none"/>
                <w:lang w:val="en-US" w:eastAsia="zh-CN"/>
              </w:rPr>
            </w:pPr>
            <w:r>
              <w:rPr>
                <w:rFonts w:hint="default" w:ascii="Times New Roman" w:hAnsi="Times New Roman" w:eastAsia="宋体" w:cs="Times New Roman"/>
                <w:b/>
                <w:bCs/>
                <w:i w:val="0"/>
                <w:iCs w:val="0"/>
                <w:strike w:val="0"/>
                <w:color w:val="auto"/>
                <w:sz w:val="24"/>
                <w:szCs w:val="24"/>
                <w:highlight w:val="none"/>
                <w:lang w:val="en-US" w:eastAsia="zh-CN"/>
              </w:rPr>
              <w:t>9.1.4人员配置计划及工作负荷</w:t>
            </w:r>
          </w:p>
          <w:p w14:paraId="5F535774">
            <w:pPr>
              <w:keepNext w:val="0"/>
              <w:keepLines w:val="0"/>
              <w:suppressLineNumbers w:val="0"/>
              <w:spacing w:before="0" w:beforeAutospacing="0" w:after="120" w:afterAutospacing="0" w:line="360" w:lineRule="auto"/>
              <w:ind w:left="0" w:right="0" w:firstLine="480"/>
              <w:jc w:val="both"/>
              <w:rPr>
                <w:rFonts w:hint="default" w:ascii="Times New Roman" w:hAnsi="Times New Roman" w:cs="Times New Roman"/>
                <w:color w:val="auto"/>
                <w:highlight w:val="none"/>
                <w:lang w:val="en-US" w:eastAsia="zh-CN"/>
              </w:rPr>
            </w:pPr>
            <w:r>
              <w:rPr>
                <w:rFonts w:hint="default" w:ascii="Times New Roman" w:hAnsi="Times New Roman" w:eastAsia="宋体" w:cs="Times New Roman"/>
                <w:b w:val="0"/>
                <w:bCs w:val="0"/>
                <w:i w:val="0"/>
                <w:iCs w:val="0"/>
                <w:strike w:val="0"/>
                <w:color w:val="auto"/>
                <w:sz w:val="24"/>
                <w:szCs w:val="24"/>
                <w:highlight w:val="none"/>
                <w:lang w:val="en-US" w:eastAsia="zh-CN"/>
              </w:rPr>
              <w:t>本项目PET诊断区、SPECT诊断区、核素治疗区（</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I-131</w:t>
            </w:r>
            <w:r>
              <w:rPr>
                <w:rFonts w:hint="default" w:ascii="Times New Roman" w:hAnsi="Times New Roman" w:eastAsia="宋体" w:cs="Times New Roman"/>
                <w:b w:val="0"/>
                <w:bCs w:val="0"/>
                <w:i w:val="0"/>
                <w:iCs w:val="0"/>
                <w:strike w:val="0"/>
                <w:color w:val="auto"/>
                <w:sz w:val="24"/>
                <w:szCs w:val="24"/>
                <w:highlight w:val="none"/>
                <w:lang w:val="en-US" w:eastAsia="zh-CN"/>
              </w:rPr>
              <w:t>、</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Lu-177</w:t>
            </w:r>
            <w:r>
              <w:rPr>
                <w:rFonts w:hint="default" w:ascii="Times New Roman" w:hAnsi="Times New Roman" w:eastAsia="宋体" w:cs="Times New Roman"/>
                <w:b w:val="0"/>
                <w:bCs w:val="0"/>
                <w:i w:val="0"/>
                <w:iCs w:val="0"/>
                <w:strike w:val="0"/>
                <w:color w:val="auto"/>
                <w:sz w:val="24"/>
                <w:szCs w:val="24"/>
                <w:highlight w:val="none"/>
                <w:lang w:val="en-US" w:eastAsia="zh-CN"/>
              </w:rPr>
              <w:t>）每周工作5天，年工作250天；核素治疗区（</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Ra-223</w:t>
            </w:r>
            <w:r>
              <w:rPr>
                <w:rFonts w:hint="default" w:ascii="Times New Roman" w:hAnsi="Times New Roman" w:eastAsia="宋体" w:cs="Times New Roman"/>
                <w:b w:val="0"/>
                <w:bCs w:val="0"/>
                <w:i w:val="0"/>
                <w:iCs w:val="0"/>
                <w:strike w:val="0"/>
                <w:color w:val="auto"/>
                <w:sz w:val="24"/>
                <w:szCs w:val="24"/>
                <w:highlight w:val="none"/>
                <w:lang w:val="en-US" w:eastAsia="zh-CN"/>
              </w:rPr>
              <w:t>、</w:t>
            </w:r>
            <w:r>
              <w:rPr>
                <w:rFonts w:hint="default" w:ascii="Times New Roman" w:hAnsi="Times New Roman" w:eastAsia="宋体" w:cs="Times New Roman"/>
                <w:b w:val="0"/>
                <w:bCs w:val="0"/>
                <w:i w:val="0"/>
                <w:iCs w:val="0"/>
                <w:strike w:val="0"/>
                <w:color w:val="auto"/>
                <w:sz w:val="24"/>
                <w:szCs w:val="24"/>
                <w:highlight w:val="none"/>
                <w:vertAlign w:val="baseline"/>
                <w:lang w:val="en-US" w:eastAsia="zh-CN"/>
              </w:rPr>
              <w:t>Ac-225</w:t>
            </w:r>
            <w:r>
              <w:rPr>
                <w:rFonts w:hint="default" w:ascii="Times New Roman" w:hAnsi="Times New Roman" w:eastAsia="宋体" w:cs="Times New Roman"/>
                <w:b w:val="0"/>
                <w:bCs w:val="0"/>
                <w:i w:val="0"/>
                <w:iCs w:val="0"/>
                <w:strike w:val="0"/>
                <w:color w:val="auto"/>
                <w:sz w:val="24"/>
                <w:szCs w:val="24"/>
                <w:highlight w:val="none"/>
                <w:lang w:val="en-US" w:eastAsia="zh-CN"/>
              </w:rPr>
              <w:t>）年工作30天，Y-90树脂微球介入治疗年工作30天。所有区域均实行8小时工作制。</w:t>
            </w:r>
            <w:r>
              <w:rPr>
                <w:rFonts w:hint="eastAsia" w:cs="Times New Roman"/>
                <w:b w:val="0"/>
                <w:bCs w:val="0"/>
                <w:i w:val="0"/>
                <w:iCs w:val="0"/>
                <w:strike w:val="0"/>
                <w:color w:val="auto"/>
                <w:sz w:val="24"/>
                <w:szCs w:val="24"/>
                <w:highlight w:val="none"/>
                <w:lang w:val="en-US" w:eastAsia="zh-CN"/>
              </w:rPr>
              <w:t>共35名辐射工作人员，</w:t>
            </w:r>
            <w:r>
              <w:rPr>
                <w:rFonts w:hint="default" w:ascii="Times New Roman" w:hAnsi="Times New Roman" w:cs="Times New Roman"/>
                <w:b w:val="0"/>
                <w:bCs w:val="0"/>
                <w:i w:val="0"/>
                <w:iCs w:val="0"/>
                <w:strike w:val="0"/>
                <w:color w:val="auto"/>
                <w:sz w:val="24"/>
                <w:szCs w:val="24"/>
                <w:highlight w:val="none"/>
                <w:lang w:val="en-US" w:eastAsia="zh-CN"/>
              </w:rPr>
              <w:t>均从医院现有工作人员中调配。</w:t>
            </w:r>
          </w:p>
          <w:p w14:paraId="2927FDC0">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表9-</w:t>
            </w:r>
            <w:r>
              <w:rPr>
                <w:rFonts w:hint="eastAsia" w:cs="Times New Roman"/>
                <w:b/>
                <w:bCs/>
                <w:color w:val="auto"/>
                <w:highlight w:val="none"/>
                <w:lang w:val="en-US" w:eastAsia="zh-CN"/>
              </w:rPr>
              <w:t xml:space="preserve">19  </w:t>
            </w:r>
            <w:r>
              <w:rPr>
                <w:rFonts w:hint="default" w:ascii="Times New Roman" w:hAnsi="Times New Roman" w:cs="Times New Roman"/>
                <w:b/>
                <w:bCs/>
                <w:color w:val="auto"/>
                <w:highlight w:val="none"/>
                <w:lang w:val="en-US" w:eastAsia="zh-CN"/>
              </w:rPr>
              <w:t>配备人员一览表</w:t>
            </w:r>
          </w:p>
          <w:tbl>
            <w:tblPr>
              <w:tblStyle w:val="23"/>
              <w:tblW w:w="0" w:type="auto"/>
              <w:tblInd w:w="-1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510"/>
              <w:gridCol w:w="4510"/>
            </w:tblGrid>
            <w:tr w14:paraId="4B4654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4510" w:type="dxa"/>
                  <w:tcBorders>
                    <w:tl2br w:val="nil"/>
                    <w:tr2bl w:val="nil"/>
                  </w:tcBorders>
                  <w:shd w:val="clear" w:color="auto" w:fill="auto"/>
                  <w:vAlign w:val="top"/>
                </w:tcPr>
                <w:p w14:paraId="7EECA173">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cs="Times New Roman"/>
                      <w:color w:val="auto"/>
                      <w:highlight w:val="none"/>
                      <w:lang w:val="en-US" w:eastAsia="zh-CN"/>
                    </w:rPr>
                    <w:t>场所名称</w:t>
                  </w:r>
                </w:p>
              </w:tc>
              <w:tc>
                <w:tcPr>
                  <w:tcW w:w="4510" w:type="dxa"/>
                  <w:tcBorders>
                    <w:tl2br w:val="nil"/>
                    <w:tr2bl w:val="nil"/>
                  </w:tcBorders>
                  <w:shd w:val="clear" w:color="auto" w:fill="auto"/>
                  <w:vAlign w:val="top"/>
                </w:tcPr>
                <w:p w14:paraId="7DD0C3E6">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cs="Times New Roman"/>
                      <w:color w:val="auto"/>
                      <w:highlight w:val="none"/>
                      <w:lang w:val="en-US" w:eastAsia="zh-CN"/>
                    </w:rPr>
                    <w:t>岗位及人数</w:t>
                  </w:r>
                </w:p>
              </w:tc>
            </w:tr>
            <w:tr w14:paraId="2A4A25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510" w:type="dxa"/>
                  <w:tcBorders>
                    <w:tl2br w:val="nil"/>
                    <w:tr2bl w:val="nil"/>
                  </w:tcBorders>
                </w:tcPr>
                <w:p w14:paraId="0E6C279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正电子药物生产车间</w:t>
                  </w:r>
                </w:p>
              </w:tc>
              <w:tc>
                <w:tcPr>
                  <w:tcW w:w="4510" w:type="dxa"/>
                  <w:tcBorders>
                    <w:tl2br w:val="nil"/>
                    <w:tr2bl w:val="nil"/>
                  </w:tcBorders>
                </w:tcPr>
                <w:p w14:paraId="6BC4B25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加速器操作2人；核素生产4人</w:t>
                  </w:r>
                </w:p>
              </w:tc>
            </w:tr>
            <w:tr w14:paraId="2F66B6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510" w:type="dxa"/>
                  <w:tcBorders>
                    <w:tl2br w:val="nil"/>
                    <w:tr2bl w:val="nil"/>
                  </w:tcBorders>
                </w:tcPr>
                <w:p w14:paraId="39F3D1C8">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单光子药物生产车间</w:t>
                  </w:r>
                </w:p>
              </w:tc>
              <w:tc>
                <w:tcPr>
                  <w:tcW w:w="4510" w:type="dxa"/>
                  <w:tcBorders>
                    <w:tl2br w:val="nil"/>
                    <w:tr2bl w:val="nil"/>
                  </w:tcBorders>
                </w:tcPr>
                <w:p w14:paraId="1EABE93B">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核素生产4人</w:t>
                  </w:r>
                </w:p>
              </w:tc>
            </w:tr>
            <w:tr w14:paraId="1EA879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510" w:type="dxa"/>
                  <w:tcBorders>
                    <w:tl2br w:val="nil"/>
                    <w:tr2bl w:val="nil"/>
                  </w:tcBorders>
                </w:tcPr>
                <w:p w14:paraId="5900B946">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SPECT诊断区</w:t>
                  </w:r>
                </w:p>
              </w:tc>
              <w:tc>
                <w:tcPr>
                  <w:tcW w:w="4510" w:type="dxa"/>
                  <w:tcBorders>
                    <w:tl2br w:val="nil"/>
                    <w:tr2bl w:val="nil"/>
                  </w:tcBorders>
                </w:tcPr>
                <w:p w14:paraId="00407FC8">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技师4人；护士4人</w:t>
                  </w:r>
                </w:p>
              </w:tc>
            </w:tr>
            <w:tr w14:paraId="59FE1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510" w:type="dxa"/>
                  <w:tcBorders>
                    <w:tl2br w:val="nil"/>
                    <w:tr2bl w:val="nil"/>
                  </w:tcBorders>
                </w:tcPr>
                <w:p w14:paraId="1DCEE83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PET诊断区</w:t>
                  </w:r>
                </w:p>
              </w:tc>
              <w:tc>
                <w:tcPr>
                  <w:tcW w:w="4510" w:type="dxa"/>
                  <w:tcBorders>
                    <w:tl2br w:val="nil"/>
                    <w:tr2bl w:val="nil"/>
                  </w:tcBorders>
                </w:tcPr>
                <w:p w14:paraId="271513AE">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技师3人；护士3人</w:t>
                  </w:r>
                </w:p>
              </w:tc>
            </w:tr>
            <w:tr w14:paraId="66BCD6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510" w:type="dxa"/>
                  <w:tcBorders>
                    <w:tl2br w:val="nil"/>
                    <w:tr2bl w:val="nil"/>
                  </w:tcBorders>
                </w:tcPr>
                <w:p w14:paraId="2258A025">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核医学楼三层核素治疗</w:t>
                  </w:r>
                </w:p>
              </w:tc>
              <w:tc>
                <w:tcPr>
                  <w:tcW w:w="4510" w:type="dxa"/>
                  <w:tcBorders>
                    <w:tl2br w:val="nil"/>
                    <w:tr2bl w:val="nil"/>
                  </w:tcBorders>
                </w:tcPr>
                <w:p w14:paraId="2F31E78A">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医师3人；护士3人</w:t>
                  </w:r>
                </w:p>
              </w:tc>
            </w:tr>
            <w:tr w14:paraId="38372D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4510" w:type="dxa"/>
                  <w:tcBorders>
                    <w:tl2br w:val="nil"/>
                    <w:tr2bl w:val="nil"/>
                  </w:tcBorders>
                </w:tcPr>
                <w:p w14:paraId="13BA47B2">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Y-90树脂微球介入</w:t>
                  </w:r>
                </w:p>
              </w:tc>
              <w:tc>
                <w:tcPr>
                  <w:tcW w:w="4510" w:type="dxa"/>
                  <w:tcBorders>
                    <w:tl2br w:val="nil"/>
                    <w:tr2bl w:val="nil"/>
                  </w:tcBorders>
                </w:tcPr>
                <w:p w14:paraId="6AD2C3C4">
                  <w:pPr>
                    <w:keepNext w:val="0"/>
                    <w:keepLines w:val="0"/>
                    <w:suppressLineNumbers w:val="0"/>
                    <w:bidi w:val="0"/>
                    <w:spacing w:before="0" w:beforeAutospacing="0" w:after="0" w:afterAutospacing="0"/>
                    <w:ind w:left="0" w:right="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医师2人；技师1人；护士2人</w:t>
                  </w:r>
                </w:p>
              </w:tc>
            </w:tr>
          </w:tbl>
          <w:p w14:paraId="186066CA">
            <w:pPr>
              <w:keepNext w:val="0"/>
              <w:keepLines w:val="0"/>
              <w:suppressLineNumbers w:val="0"/>
              <w:spacing w:before="0" w:beforeAutospacing="0" w:after="0" w:afterAutospacing="0"/>
              <w:ind w:left="0" w:right="0"/>
              <w:jc w:val="center"/>
              <w:rPr>
                <w:rFonts w:hint="default" w:ascii="Times New Roman" w:hAnsi="Times New Roman" w:cs="Times New Roman"/>
                <w:b/>
                <w:bCs/>
                <w:color w:val="auto"/>
                <w:highlight w:val="none"/>
                <w:lang w:val="en-US" w:eastAsia="zh-CN"/>
              </w:rPr>
            </w:pPr>
          </w:p>
          <w:p w14:paraId="3BB701C8">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auto"/>
                <w:highlight w:val="none"/>
                <w:lang w:val="en-US"/>
              </w:rPr>
            </w:pPr>
            <w:r>
              <w:rPr>
                <w:rFonts w:hint="default" w:ascii="Times New Roman" w:hAnsi="Times New Roman" w:eastAsia="宋体" w:cs="Times New Roman"/>
                <w:b/>
                <w:bCs/>
                <w:i w:val="0"/>
                <w:iCs w:val="0"/>
                <w:strike w:val="0"/>
                <w:color w:val="auto"/>
                <w:sz w:val="24"/>
                <w:szCs w:val="24"/>
                <w:highlight w:val="none"/>
                <w:lang w:val="en-US" w:eastAsia="zh-CN"/>
              </w:rPr>
              <w:t>9.1.</w:t>
            </w:r>
            <w:r>
              <w:rPr>
                <w:rFonts w:hint="eastAsia" w:ascii="Times New Roman" w:hAnsi="Times New Roman" w:eastAsia="宋体" w:cs="Times New Roman"/>
                <w:b/>
                <w:bCs/>
                <w:i w:val="0"/>
                <w:iCs w:val="0"/>
                <w:strike w:val="0"/>
                <w:color w:val="auto"/>
                <w:sz w:val="24"/>
                <w:szCs w:val="24"/>
                <w:highlight w:val="none"/>
                <w:lang w:val="en-US" w:eastAsia="zh-CN"/>
              </w:rPr>
              <w:t>5现有工艺改进情况分析</w:t>
            </w:r>
          </w:p>
          <w:p w14:paraId="38595C35">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highlight w:val="none"/>
                <w:lang w:val="en-US" w:eastAsia="zh-CN"/>
              </w:rPr>
            </w:pPr>
            <w:r>
              <w:rPr>
                <w:rFonts w:hint="eastAsia" w:cs="Times New Roman"/>
                <w:b w:val="0"/>
                <w:bCs w:val="0"/>
                <w:color w:val="auto"/>
                <w:highlight w:val="none"/>
                <w:lang w:val="en-US" w:eastAsia="zh-CN"/>
              </w:rPr>
              <w:t>核医学科于2025年1月开工，2025年11月17日取得辐射安全许可证，2026年5月9日单光子诊疗区域、核素治疗区域建成投运并完成竣工环保验收，现有项目配套环境保护设施及辐射防护措施设置规范，现场核查未发现工艺缺陷及需整改完善的问题。</w:t>
            </w:r>
          </w:p>
          <w:p w14:paraId="0FD726FD">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9.2污染源项描述</w:t>
            </w:r>
          </w:p>
          <w:p w14:paraId="7F35237B">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9.2.1施工期污染源</w:t>
            </w:r>
          </w:p>
          <w:p w14:paraId="1F1DFA52">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eastAsia="zh-CN"/>
              </w:rPr>
              <w:t>本项目均在已许可的工作场所内增加核素的使用，</w:t>
            </w:r>
            <w:r>
              <w:rPr>
                <w:rFonts w:hint="default" w:ascii="Times New Roman" w:hAnsi="Times New Roman" w:cs="Times New Roman"/>
                <w:color w:val="auto"/>
                <w:highlight w:val="none"/>
                <w:lang w:val="en-US" w:eastAsia="zh-CN"/>
              </w:rPr>
              <w:t>根据《新疆医科大学中亚肿瘤医学中心项目一标段核医学中心项目（单光子诊疗区域和核素治疗区域）竣工环境保护验收监测报告表》、《验收意见》，核医学楼内的</w:t>
            </w:r>
            <w:r>
              <w:rPr>
                <w:rFonts w:hint="default" w:ascii="Times New Roman" w:hAnsi="Times New Roman" w:cs="Times New Roman"/>
                <w:color w:val="auto"/>
                <w:highlight w:val="none"/>
              </w:rPr>
              <w:t>负三层衰变池、负一层单光子生产场所、一层SP</w:t>
            </w:r>
            <w:r>
              <w:rPr>
                <w:rFonts w:hint="default" w:ascii="Times New Roman" w:hAnsi="Times New Roman" w:cs="Times New Roman"/>
                <w:color w:val="auto"/>
                <w:highlight w:val="none"/>
                <w:lang w:val="en-US" w:eastAsia="zh-CN"/>
              </w:rPr>
              <w:t>E</w:t>
            </w:r>
            <w:r>
              <w:rPr>
                <w:rFonts w:hint="default" w:ascii="Times New Roman" w:hAnsi="Times New Roman" w:cs="Times New Roman"/>
                <w:color w:val="auto"/>
                <w:highlight w:val="none"/>
              </w:rPr>
              <w:t>CT 显像诊断场所、三层</w:t>
            </w:r>
            <w:r>
              <w:rPr>
                <w:rFonts w:hint="eastAsia" w:cs="Times New Roman"/>
                <w:color w:val="auto"/>
                <w:highlight w:val="none"/>
                <w:vertAlign w:val="baseline"/>
                <w:lang w:eastAsia="zh-CN"/>
              </w:rPr>
              <w:t>I-131</w:t>
            </w:r>
            <w:r>
              <w:rPr>
                <w:rFonts w:hint="default" w:ascii="Times New Roman" w:hAnsi="Times New Roman" w:cs="Times New Roman"/>
                <w:color w:val="auto"/>
                <w:highlight w:val="none"/>
              </w:rPr>
              <w:t>核素治疗场所，新增使用2台SPECT/CT设备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使用</w:t>
            </w:r>
            <w:r>
              <w:rPr>
                <w:rFonts w:hint="default" w:ascii="Times New Roman" w:hAnsi="Times New Roman" w:cs="Times New Roman"/>
                <w:color w:val="auto"/>
                <w:highlight w:val="none"/>
                <w:vertAlign w:val="superscript"/>
              </w:rPr>
              <w:t>99</w:t>
            </w:r>
            <w:r>
              <w:rPr>
                <w:rFonts w:hint="default" w:ascii="Times New Roman" w:hAnsi="Times New Roman" w:cs="Times New Roman"/>
                <w:color w:val="auto"/>
                <w:highlight w:val="none"/>
              </w:rPr>
              <w:t>Mo-</w:t>
            </w:r>
            <w:r>
              <w:rPr>
                <w:rFonts w:hint="default" w:ascii="Times New Roman" w:hAnsi="Times New Roman" w:cs="Times New Roman"/>
                <w:color w:val="auto"/>
                <w:highlight w:val="none"/>
                <w:vertAlign w:val="superscript"/>
              </w:rPr>
              <w:t>99m</w:t>
            </w:r>
            <w:r>
              <w:rPr>
                <w:rFonts w:hint="default" w:ascii="Times New Roman" w:hAnsi="Times New Roman" w:cs="Times New Roman"/>
                <w:color w:val="auto"/>
                <w:highlight w:val="none"/>
              </w:rPr>
              <w:t>Tc发生器用于淋洗放射性药物</w:t>
            </w:r>
            <w:r>
              <w:rPr>
                <w:rFonts w:hint="default" w:ascii="Times New Roman" w:hAnsi="Times New Roman" w:cs="Times New Roman"/>
                <w:color w:val="auto"/>
                <w:highlight w:val="none"/>
                <w:vertAlign w:val="superscript"/>
              </w:rPr>
              <w:t>99m</w:t>
            </w:r>
            <w:r>
              <w:rPr>
                <w:rFonts w:hint="default" w:ascii="Times New Roman" w:hAnsi="Times New Roman" w:cs="Times New Roman"/>
                <w:color w:val="auto"/>
                <w:highlight w:val="none"/>
              </w:rPr>
              <w:t>Tc</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使用放射性药物</w:t>
            </w:r>
            <w:r>
              <w:rPr>
                <w:rFonts w:hint="default" w:ascii="Times New Roman" w:hAnsi="Times New Roman" w:cs="Times New Roman"/>
                <w:color w:val="auto"/>
                <w:highlight w:val="none"/>
                <w:vertAlign w:val="superscript"/>
              </w:rPr>
              <w:t>99m</w:t>
            </w:r>
            <w:r>
              <w:rPr>
                <w:rFonts w:hint="default" w:ascii="Times New Roman" w:hAnsi="Times New Roman" w:cs="Times New Roman"/>
                <w:color w:val="auto"/>
                <w:highlight w:val="none"/>
              </w:rPr>
              <w:t>Tc、</w:t>
            </w:r>
            <w:r>
              <w:rPr>
                <w:rFonts w:hint="eastAsia" w:cs="Times New Roman"/>
                <w:color w:val="auto"/>
                <w:highlight w:val="none"/>
                <w:vertAlign w:val="baseline"/>
                <w:lang w:eastAsia="zh-CN"/>
              </w:rPr>
              <w:t>I-131</w:t>
            </w:r>
            <w:r>
              <w:rPr>
                <w:rFonts w:hint="default" w:ascii="Times New Roman" w:hAnsi="Times New Roman" w:cs="Times New Roman"/>
                <w:color w:val="auto"/>
                <w:highlight w:val="none"/>
              </w:rPr>
              <w:t>用于SPECT显像诊断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使用放射性药物</w:t>
            </w:r>
            <w:r>
              <w:rPr>
                <w:rFonts w:hint="eastAsia" w:cs="Times New Roman"/>
                <w:color w:val="auto"/>
                <w:highlight w:val="none"/>
                <w:vertAlign w:val="baseline"/>
                <w:lang w:eastAsia="zh-CN"/>
              </w:rPr>
              <w:t>I-131</w:t>
            </w:r>
            <w:r>
              <w:rPr>
                <w:rFonts w:hint="default" w:ascii="Times New Roman" w:hAnsi="Times New Roman" w:cs="Times New Roman"/>
                <w:color w:val="auto"/>
                <w:highlight w:val="none"/>
              </w:rPr>
              <w:t>用于甲癌治疗</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已验收8间核素病房，剩余核素病房同一批建成未使用</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均已通过竣工环保验收，正电子药物生产场所正在试运行，暂未完成验收，故本项目不存在土建施工产生的污染影响。</w:t>
            </w:r>
          </w:p>
          <w:p w14:paraId="286361B3">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施工期产生的污染源</w:t>
            </w:r>
            <w:r>
              <w:rPr>
                <w:rFonts w:hint="default" w:ascii="Times New Roman" w:hAnsi="Times New Roman" w:cs="Times New Roman"/>
                <w:color w:val="auto"/>
                <w:highlight w:val="none"/>
                <w:lang w:val="en-US" w:eastAsia="zh-CN"/>
              </w:rPr>
              <w:t>主要为射线装置及核素调试阶段产生的电离辐射影响，</w:t>
            </w:r>
            <w:r>
              <w:rPr>
                <w:rFonts w:hint="default" w:ascii="Times New Roman" w:hAnsi="Times New Roman" w:cs="Times New Roman"/>
                <w:color w:val="auto"/>
                <w:highlight w:val="none"/>
              </w:rPr>
              <w:t>射线装置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核素</w:t>
            </w:r>
            <w:r>
              <w:rPr>
                <w:rFonts w:hint="default" w:ascii="Times New Roman" w:hAnsi="Times New Roman" w:cs="Times New Roman"/>
                <w:color w:val="auto"/>
                <w:highlight w:val="none"/>
              </w:rPr>
              <w:t>调试由设备供货方专业人员进行，医院方不得自行调试。安装调试阶段是在辐射防护设计完成后进行，在此过程中各屏蔽体屏蔽到位，关闭防护门，在机房门外设立辐射警告标志，禁止无关人员靠近。设备安装过程中会产生包装废物及电离辐射。</w:t>
            </w:r>
          </w:p>
          <w:p w14:paraId="4FEDC568">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9.2.2运行期正常工况污染源描述</w:t>
            </w:r>
          </w:p>
          <w:p w14:paraId="5DC91FD8">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9.2.2.1回旋加速器核素制备以及正电子药物生产、合成、分装、质控</w:t>
            </w:r>
          </w:p>
          <w:p w14:paraId="5A20968D">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回旋加速器生产正电子核素过程中产生的主要污染物有中子、γ射线及β表面污染、放射性废气、放射性废水及放射性固废。药物合成、分装、质控、转运过程中产生的主要污染物有γ射线及β表面污染、放射性废气、放射性废水及放射性固废。</w:t>
            </w:r>
          </w:p>
          <w:p w14:paraId="6204A401">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①中子</w:t>
            </w:r>
          </w:p>
          <w:p w14:paraId="7B1A3377">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回旋加速器用高能的质子轰击靶发生核反应，在产生正电子核素的同时，也产生中子，因此，中子辐射是回旋加速器生产过程的主要污染物。</w:t>
            </w:r>
          </w:p>
          <w:p w14:paraId="653D4C35">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②γ射线</w:t>
            </w:r>
          </w:p>
          <w:p w14:paraId="026309BD">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回旋加速器用高能的质子轰击靶，发生核反应，产生β+电子以及γ射线，快速运动的正电子通过物质时，与核外电子和原子核相互作用产生电子损失、韧致辐射和弹性散射，伴随产生0.5llMeV的γ湮灭辐射。在放射性药物的合成、分装、质控包装、转运等过程中，药物也会对局部环境产生γ射线外照射，因此，γ射线是回旋加速器生产过程以及药物合成、分装、质控、包装、转运过程中的主要污染物。</w:t>
            </w:r>
          </w:p>
          <w:p w14:paraId="507DD51D">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③β表面污染</w:t>
            </w:r>
          </w:p>
          <w:p w14:paraId="0ED1444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制备的放射性药物为β辐射体，在药物的制备、分装、质检环节，可能会撒落药物，对工作台、设备、墙壁、地面等产生放射性沾污，造成局部β放射性表面污染。因此，β射线及β表面污染是该项目的主要污染因子。</w:t>
            </w:r>
          </w:p>
          <w:p w14:paraId="772F15E9">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④放射性废液</w:t>
            </w:r>
          </w:p>
          <w:p w14:paraId="764B99EF">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回旋加速器的生产运行过程中，内循环系统冷却水在回旋加速器内受照射后产生放射性核素，主要是</w:t>
            </w:r>
            <w:r>
              <w:rPr>
                <w:rFonts w:hint="default" w:ascii="Times New Roman" w:hAnsi="Times New Roman" w:cs="Times New Roman"/>
                <w:color w:val="auto"/>
                <w:highlight w:val="none"/>
                <w:vertAlign w:val="baseline"/>
                <w:lang w:val="en-US" w:eastAsia="zh-CN"/>
              </w:rPr>
              <w:t>F-18</w:t>
            </w:r>
            <w:r>
              <w:rPr>
                <w:rFonts w:hint="default" w:ascii="Times New Roman" w:hAnsi="Times New Roman" w:cs="Times New Roman"/>
                <w:color w:val="auto"/>
                <w:highlight w:val="none"/>
                <w:lang w:val="en-US" w:eastAsia="zh-CN"/>
              </w:rPr>
              <w:t>、Ga-68、N-13、C-11</w:t>
            </w:r>
            <w:r>
              <w:rPr>
                <w:rFonts w:hint="default" w:ascii="Times New Roman" w:hAnsi="Times New Roman" w:cs="Times New Roman"/>
                <w:color w:val="auto"/>
                <w:highlight w:val="none"/>
              </w:rPr>
              <w:t>，半衰期均较短，且冷却水沿闭合回路在自屏蔽体内循环使用，因此这一过程不会对水造成放射性污染。回旋加速器只有维护过程中冲洗靶才会产生冲靶废水，一年最多维护两次，每次产生的冲靶废水量大约5mL</w:t>
            </w:r>
            <w:r>
              <w:rPr>
                <w:rFonts w:hint="default" w:ascii="Times New Roman" w:hAnsi="Times New Roman" w:cs="Times New Roman"/>
                <w:color w:val="auto"/>
                <w:highlight w:val="none"/>
                <w:lang w:eastAsia="zh-CN"/>
              </w:rPr>
              <w:t>，质量可以忽略不计</w:t>
            </w:r>
            <w:r>
              <w:rPr>
                <w:rFonts w:hint="default" w:ascii="Times New Roman" w:hAnsi="Times New Roman" w:cs="Times New Roman"/>
                <w:color w:val="auto"/>
                <w:highlight w:val="none"/>
              </w:rPr>
              <w:t>，冲靶废水由热室地沟传送至合成热室内收集在</w:t>
            </w:r>
            <w:r>
              <w:rPr>
                <w:rFonts w:hint="eastAsia" w:cs="Times New Roman"/>
                <w:color w:val="auto"/>
                <w:highlight w:val="none"/>
                <w:lang w:eastAsia="zh-CN"/>
              </w:rPr>
              <w:t>安瓿瓶</w:t>
            </w:r>
            <w:r>
              <w:rPr>
                <w:rFonts w:hint="default" w:ascii="Times New Roman" w:hAnsi="Times New Roman" w:cs="Times New Roman"/>
                <w:color w:val="auto"/>
                <w:highlight w:val="none"/>
              </w:rPr>
              <w:t>内，在合成热室贮存衰变，待活度满足清洁解控水平后作为一般废物处理。</w:t>
            </w:r>
          </w:p>
          <w:p w14:paraId="4D572385">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正常情况下正电子药物合成、分装、质控过程中不产生放射性废液，核素传输过程中以及合成过程中的极少量废液均收集在</w:t>
            </w:r>
            <w:r>
              <w:rPr>
                <w:rFonts w:hint="eastAsia" w:cs="Times New Roman"/>
                <w:color w:val="auto"/>
                <w:highlight w:val="none"/>
                <w:lang w:eastAsia="zh-CN"/>
              </w:rPr>
              <w:t>安瓿瓶</w:t>
            </w:r>
            <w:r>
              <w:rPr>
                <w:rFonts w:hint="default" w:ascii="Times New Roman" w:hAnsi="Times New Roman" w:cs="Times New Roman"/>
                <w:color w:val="auto"/>
                <w:highlight w:val="none"/>
              </w:rPr>
              <w:t>内，贮存在固废间内进行衰变，待活度满足清洁解控水平后作为一般废物处理。正电子药物合成、分装、质控过程中若事故状况下发生洒落，采用干法去污，首先是用吸水纸擦拭，然后用酒精棉球反复擦拭直至检测数据合格，擦拭用的吸水纸、酒精棉球等作为放射性固废收集在热室铅制废物桶内，后收集转移至固废间，待活度满足清洁解控水平后作为一般废物处理。</w:t>
            </w:r>
          </w:p>
          <w:p w14:paraId="30A989F8">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⑤放射性固体废物</w:t>
            </w:r>
          </w:p>
          <w:p w14:paraId="71C801D6">
            <w:pPr>
              <w:keepNext w:val="0"/>
              <w:keepLines w:val="0"/>
              <w:numPr>
                <w:ilvl w:val="0"/>
                <w:numId w:val="0"/>
              </w:numPr>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中子活化固体产生的活化产物：在靶材料达到一定的使用期限后，会产生含</w:t>
            </w:r>
            <w:r>
              <w:rPr>
                <w:rFonts w:hint="default" w:ascii="Times New Roman" w:hAnsi="Times New Roman" w:cs="Times New Roman"/>
                <w:color w:val="auto"/>
                <w:highlight w:val="none"/>
                <w:vertAlign w:val="superscript"/>
              </w:rPr>
              <w:t>28</w:t>
            </w:r>
            <w:r>
              <w:rPr>
                <w:rFonts w:hint="default" w:ascii="Times New Roman" w:hAnsi="Times New Roman" w:cs="Times New Roman"/>
                <w:color w:val="auto"/>
                <w:highlight w:val="none"/>
              </w:rPr>
              <w:t>Al、</w:t>
            </w:r>
            <w:r>
              <w:rPr>
                <w:rFonts w:hint="default" w:ascii="Times New Roman" w:hAnsi="Times New Roman" w:cs="Times New Roman"/>
                <w:color w:val="auto"/>
                <w:highlight w:val="none"/>
                <w:vertAlign w:val="superscript"/>
              </w:rPr>
              <w:t>27</w:t>
            </w:r>
            <w:r>
              <w:rPr>
                <w:rFonts w:hint="default" w:ascii="Times New Roman" w:hAnsi="Times New Roman" w:cs="Times New Roman"/>
                <w:color w:val="auto"/>
                <w:highlight w:val="none"/>
              </w:rPr>
              <w:t>Mg放射性核素的靶废料，其中</w:t>
            </w:r>
            <w:r>
              <w:rPr>
                <w:rFonts w:hint="default" w:ascii="Times New Roman" w:hAnsi="Times New Roman" w:cs="Times New Roman"/>
                <w:color w:val="auto"/>
                <w:highlight w:val="none"/>
                <w:vertAlign w:val="superscript"/>
              </w:rPr>
              <w:t>28</w:t>
            </w:r>
            <w:r>
              <w:rPr>
                <w:rFonts w:hint="default" w:ascii="Times New Roman" w:hAnsi="Times New Roman" w:cs="Times New Roman"/>
                <w:color w:val="auto"/>
                <w:highlight w:val="none"/>
              </w:rPr>
              <w:t>Al（半衰期Tl/2=2.3min）、</w:t>
            </w:r>
            <w:r>
              <w:rPr>
                <w:rFonts w:hint="default" w:ascii="Times New Roman" w:hAnsi="Times New Roman" w:cs="Times New Roman"/>
                <w:color w:val="auto"/>
                <w:highlight w:val="none"/>
                <w:vertAlign w:val="superscript"/>
              </w:rPr>
              <w:t>27</w:t>
            </w:r>
            <w:r>
              <w:rPr>
                <w:rFonts w:hint="default" w:ascii="Times New Roman" w:hAnsi="Times New Roman" w:cs="Times New Roman"/>
                <w:color w:val="auto"/>
                <w:highlight w:val="none"/>
              </w:rPr>
              <w:t>Mg（半衰期Tl/2=9.5min）等核素的半衰期很短，在很短时间内即可发生衰变，故可以不予考虑，回旋加速器的维修维护由设备厂家派专人负责，且更换下来的靶废料存储在</w:t>
            </w:r>
            <w:r>
              <w:rPr>
                <w:rFonts w:hint="default" w:ascii="Times New Roman" w:hAnsi="Times New Roman" w:cs="Times New Roman"/>
                <w:color w:val="auto"/>
                <w:highlight w:val="none"/>
                <w:lang w:val="en-US" w:eastAsia="zh-CN"/>
              </w:rPr>
              <w:t>回旋</w:t>
            </w:r>
            <w:r>
              <w:rPr>
                <w:rFonts w:hint="default" w:ascii="Times New Roman" w:hAnsi="Times New Roman" w:cs="Times New Roman"/>
                <w:color w:val="auto"/>
                <w:highlight w:val="none"/>
              </w:rPr>
              <w:t>加速器</w:t>
            </w:r>
            <w:r>
              <w:rPr>
                <w:rFonts w:hint="default" w:ascii="Times New Roman" w:hAnsi="Times New Roman" w:cs="Times New Roman"/>
                <w:color w:val="auto"/>
                <w:highlight w:val="none"/>
                <w:lang w:val="en-US" w:eastAsia="zh-CN"/>
              </w:rPr>
              <w:t>自带的</w:t>
            </w:r>
            <w:r>
              <w:rPr>
                <w:rFonts w:hint="default" w:ascii="Times New Roman" w:hAnsi="Times New Roman" w:cs="Times New Roman"/>
                <w:color w:val="auto"/>
                <w:highlight w:val="none"/>
              </w:rPr>
              <w:t>铅桶中，靶废料</w:t>
            </w:r>
            <w:r>
              <w:rPr>
                <w:rFonts w:hint="default" w:ascii="Times New Roman" w:hAnsi="Times New Roman" w:cs="Times New Roman"/>
                <w:color w:val="auto"/>
                <w:highlight w:val="none"/>
                <w:lang w:eastAsia="zh-CN"/>
              </w:rPr>
              <w:t>由厂家专人处理，年产生约</w:t>
            </w:r>
            <w:r>
              <w:rPr>
                <w:rFonts w:hint="default" w:ascii="Times New Roman" w:hAnsi="Times New Roman" w:cs="Times New Roman"/>
                <w:color w:val="auto"/>
                <w:highlight w:val="none"/>
                <w:lang w:val="en-US" w:eastAsia="zh-CN"/>
              </w:rPr>
              <w:t>1kg</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对环境的影响很小</w:t>
            </w:r>
            <w:r>
              <w:rPr>
                <w:rFonts w:hint="default" w:ascii="Times New Roman" w:hAnsi="Times New Roman" w:cs="Times New Roman"/>
                <w:color w:val="auto"/>
                <w:highlight w:val="none"/>
                <w:lang w:eastAsia="zh-CN"/>
              </w:rPr>
              <w:t>。</w:t>
            </w:r>
          </w:p>
          <w:p w14:paraId="40DDD064">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⑥放射性废气</w:t>
            </w:r>
          </w:p>
          <w:p w14:paraId="4454F517">
            <w:pPr>
              <w:keepNext w:val="0"/>
              <w:keepLines w:val="0"/>
              <w:suppressLineNumbers w:val="0"/>
              <w:spacing w:before="0" w:beforeAutospacing="0" w:after="0" w:afterAutospacing="0" w:line="360" w:lineRule="auto"/>
              <w:ind w:left="0" w:leftChars="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回旋加速器机房内的空气受中子照射后生成放射性活化气体，主要核素有</w:t>
            </w:r>
            <w:r>
              <w:rPr>
                <w:rFonts w:hint="default" w:ascii="Times New Roman" w:hAnsi="Times New Roman" w:cs="Times New Roman"/>
                <w:color w:val="auto"/>
                <w:highlight w:val="none"/>
                <w:vertAlign w:val="superscript"/>
              </w:rPr>
              <w:t>11</w:t>
            </w:r>
            <w:r>
              <w:rPr>
                <w:rFonts w:hint="default" w:ascii="Times New Roman" w:hAnsi="Times New Roman" w:cs="Times New Roman"/>
                <w:color w:val="auto"/>
                <w:highlight w:val="none"/>
              </w:rPr>
              <w:t>C（半衰期20.39min）、</w:t>
            </w:r>
            <w:r>
              <w:rPr>
                <w:rFonts w:hint="default" w:ascii="Times New Roman" w:hAnsi="Times New Roman" w:cs="Times New Roman"/>
                <w:color w:val="auto"/>
                <w:highlight w:val="none"/>
                <w:vertAlign w:val="superscript"/>
              </w:rPr>
              <w:t>13</w:t>
            </w:r>
            <w:r>
              <w:rPr>
                <w:rFonts w:hint="default" w:ascii="Times New Roman" w:hAnsi="Times New Roman" w:cs="Times New Roman"/>
                <w:color w:val="auto"/>
                <w:highlight w:val="none"/>
              </w:rPr>
              <w:t>N（半衰期10min）、</w:t>
            </w:r>
            <w:r>
              <w:rPr>
                <w:rFonts w:hint="default" w:ascii="Times New Roman" w:hAnsi="Times New Roman" w:cs="Times New Roman"/>
                <w:color w:val="auto"/>
                <w:highlight w:val="none"/>
                <w:vertAlign w:val="superscript"/>
              </w:rPr>
              <w:t>15</w:t>
            </w:r>
            <w:r>
              <w:rPr>
                <w:rFonts w:hint="default" w:ascii="Times New Roman" w:hAnsi="Times New Roman" w:cs="Times New Roman"/>
                <w:color w:val="auto"/>
                <w:highlight w:val="none"/>
              </w:rPr>
              <w:t>O（半衰期2.0min）和</w:t>
            </w:r>
            <w:r>
              <w:rPr>
                <w:rFonts w:hint="default" w:ascii="Times New Roman" w:hAnsi="Times New Roman" w:cs="Times New Roman"/>
                <w:color w:val="auto"/>
                <w:highlight w:val="none"/>
                <w:vertAlign w:val="superscript"/>
              </w:rPr>
              <w:t>41</w:t>
            </w:r>
            <w:r>
              <w:rPr>
                <w:rFonts w:hint="default" w:ascii="Times New Roman" w:hAnsi="Times New Roman" w:cs="Times New Roman"/>
                <w:color w:val="auto"/>
                <w:highlight w:val="none"/>
              </w:rPr>
              <w:t>Ar（半衰期110min）等，其中关键核素为</w:t>
            </w:r>
            <w:r>
              <w:rPr>
                <w:rFonts w:hint="default" w:ascii="Times New Roman" w:hAnsi="Times New Roman" w:cs="Times New Roman"/>
                <w:color w:val="auto"/>
                <w:highlight w:val="none"/>
                <w:vertAlign w:val="superscript"/>
              </w:rPr>
              <w:t>41</w:t>
            </w:r>
            <w:r>
              <w:rPr>
                <w:rFonts w:hint="default" w:ascii="Times New Roman" w:hAnsi="Times New Roman" w:cs="Times New Roman"/>
                <w:color w:val="auto"/>
                <w:highlight w:val="none"/>
              </w:rPr>
              <w:t>Ar。由于空气中可以生成</w:t>
            </w:r>
            <w:r>
              <w:rPr>
                <w:rFonts w:hint="default" w:ascii="Times New Roman" w:hAnsi="Times New Roman" w:cs="Times New Roman"/>
                <w:color w:val="auto"/>
                <w:highlight w:val="none"/>
                <w:vertAlign w:val="superscript"/>
              </w:rPr>
              <w:t>41</w:t>
            </w:r>
            <w:r>
              <w:rPr>
                <w:rFonts w:hint="default" w:ascii="Times New Roman" w:hAnsi="Times New Roman" w:cs="Times New Roman"/>
                <w:color w:val="auto"/>
                <w:highlight w:val="none"/>
              </w:rPr>
              <w:t>Ar的</w:t>
            </w:r>
            <w:r>
              <w:rPr>
                <w:rFonts w:hint="default" w:ascii="Times New Roman" w:hAnsi="Times New Roman" w:cs="Times New Roman"/>
                <w:color w:val="auto"/>
                <w:highlight w:val="none"/>
                <w:vertAlign w:val="superscript"/>
              </w:rPr>
              <w:t>40</w:t>
            </w:r>
            <w:r>
              <w:rPr>
                <w:rFonts w:hint="default" w:ascii="Times New Roman" w:hAnsi="Times New Roman" w:cs="Times New Roman"/>
                <w:color w:val="auto"/>
                <w:highlight w:val="none"/>
              </w:rPr>
              <w:t>Ar只占1.3%，加上产生</w:t>
            </w:r>
            <w:r>
              <w:rPr>
                <w:rFonts w:hint="default" w:ascii="Times New Roman" w:hAnsi="Times New Roman" w:cs="Times New Roman"/>
                <w:color w:val="auto"/>
                <w:highlight w:val="none"/>
                <w:vertAlign w:val="superscript"/>
              </w:rPr>
              <w:t>41</w:t>
            </w:r>
            <w:r>
              <w:rPr>
                <w:rFonts w:hint="default" w:ascii="Times New Roman" w:hAnsi="Times New Roman" w:cs="Times New Roman"/>
                <w:color w:val="auto"/>
                <w:highlight w:val="none"/>
              </w:rPr>
              <w:t>Ar的活化反应截面很小，所以</w:t>
            </w:r>
            <w:r>
              <w:rPr>
                <w:rFonts w:hint="default" w:ascii="Times New Roman" w:hAnsi="Times New Roman" w:cs="Times New Roman"/>
                <w:color w:val="auto"/>
                <w:highlight w:val="none"/>
                <w:vertAlign w:val="superscript"/>
              </w:rPr>
              <w:t>41</w:t>
            </w:r>
            <w:r>
              <w:rPr>
                <w:rFonts w:hint="default" w:ascii="Times New Roman" w:hAnsi="Times New Roman" w:cs="Times New Roman"/>
                <w:color w:val="auto"/>
                <w:highlight w:val="none"/>
              </w:rPr>
              <w:t>Ar的生成率极低。</w:t>
            </w:r>
            <w:r>
              <w:rPr>
                <w:rFonts w:hint="default" w:ascii="Times New Roman" w:hAnsi="Times New Roman" w:cs="Times New Roman"/>
                <w:color w:val="auto"/>
                <w:highlight w:val="none"/>
                <w:lang w:eastAsia="zh-CN"/>
              </w:rPr>
              <w:t>回旋加速器机房内设有</w:t>
            </w:r>
            <w:r>
              <w:rPr>
                <w:rFonts w:hint="default" w:ascii="Times New Roman" w:hAnsi="Times New Roman" w:cs="Times New Roman"/>
                <w:color w:val="auto"/>
                <w:highlight w:val="none"/>
                <w:lang w:val="en-US" w:eastAsia="zh-CN"/>
              </w:rPr>
              <w:t>独立</w:t>
            </w:r>
            <w:r>
              <w:rPr>
                <w:rFonts w:hint="default" w:ascii="Times New Roman" w:hAnsi="Times New Roman" w:cs="Times New Roman"/>
                <w:color w:val="auto"/>
                <w:highlight w:val="none"/>
                <w:lang w:eastAsia="zh-CN"/>
              </w:rPr>
              <w:t>通风装置，</w:t>
            </w:r>
            <w:r>
              <w:rPr>
                <w:rFonts w:hint="default" w:ascii="Times New Roman" w:hAnsi="Times New Roman" w:cs="Times New Roman"/>
                <w:color w:val="auto"/>
                <w:highlight w:val="none"/>
                <w:lang w:val="en-US" w:eastAsia="zh-CN"/>
              </w:rPr>
              <w:t>放射性废气经</w:t>
            </w:r>
            <w:r>
              <w:rPr>
                <w:rFonts w:hint="default" w:ascii="Times New Roman" w:hAnsi="Times New Roman" w:cs="Times New Roman"/>
                <w:color w:val="auto"/>
                <w:highlight w:val="none"/>
                <w:lang w:eastAsia="zh-CN"/>
              </w:rPr>
              <w:t>活性炭过滤装置</w:t>
            </w:r>
            <w:r>
              <w:rPr>
                <w:rFonts w:hint="default" w:ascii="Times New Roman" w:hAnsi="Times New Roman" w:cs="Times New Roman"/>
                <w:color w:val="auto"/>
                <w:highlight w:val="none"/>
                <w:lang w:val="en-US" w:eastAsia="zh-CN"/>
              </w:rPr>
              <w:t>排放</w:t>
            </w:r>
            <w:r>
              <w:rPr>
                <w:rFonts w:hint="default" w:ascii="Times New Roman" w:hAnsi="Times New Roman" w:cs="Times New Roman"/>
                <w:color w:val="auto"/>
                <w:highlight w:val="none"/>
                <w:lang w:eastAsia="zh-CN"/>
              </w:rPr>
              <w:t>，排放口高出本栋建筑屋顶，</w:t>
            </w:r>
            <w:r>
              <w:rPr>
                <w:rFonts w:hint="default" w:ascii="Times New Roman" w:hAnsi="Times New Roman" w:cs="Times New Roman"/>
                <w:color w:val="auto"/>
                <w:highlight w:val="none"/>
              </w:rPr>
              <w:t>中子活化气体</w:t>
            </w:r>
            <w:r>
              <w:rPr>
                <w:rFonts w:hint="default" w:ascii="Times New Roman" w:hAnsi="Times New Roman" w:cs="Times New Roman"/>
                <w:color w:val="auto"/>
                <w:highlight w:val="none"/>
                <w:lang w:val="en-US" w:eastAsia="zh-CN"/>
              </w:rPr>
              <w:t>放射性对环境影响很小。</w:t>
            </w:r>
          </w:p>
          <w:p w14:paraId="0AB6A276">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回旋加速器生产正电子核素为自动生产，停机后，工作人员无需进入回旋加速器机房内进行操作。回旋加速器运行后生产正电子核素进入合成分装热室操作过程，在化学合成时会产生少量放射性气体，整个过程在密封的化学合成模块内进行，化学合成模块安装在“带有屏蔽”和“独立排风管道”的合成分装热室内。加速器药物合成分放射性废气</w:t>
            </w:r>
            <w:r>
              <w:rPr>
                <w:rFonts w:hint="default" w:ascii="Times New Roman" w:hAnsi="Times New Roman" w:cs="Times New Roman"/>
                <w:color w:val="auto"/>
                <w:highlight w:val="none"/>
                <w:lang w:val="en-US" w:eastAsia="zh-CN"/>
              </w:rPr>
              <w:t>通过</w:t>
            </w:r>
            <w:r>
              <w:rPr>
                <w:rFonts w:hint="default" w:ascii="Times New Roman" w:hAnsi="Times New Roman" w:cs="Times New Roman"/>
                <w:color w:val="auto"/>
                <w:highlight w:val="none"/>
              </w:rPr>
              <w:t>独立的通风系统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经</w:t>
            </w:r>
            <w:r>
              <w:rPr>
                <w:rFonts w:hint="default" w:ascii="Times New Roman" w:hAnsi="Times New Roman" w:cs="Times New Roman"/>
                <w:color w:val="auto"/>
                <w:highlight w:val="none"/>
              </w:rPr>
              <w:t>活性炭过滤</w:t>
            </w:r>
            <w:r>
              <w:rPr>
                <w:rFonts w:hint="default" w:ascii="Times New Roman" w:hAnsi="Times New Roman" w:cs="Times New Roman"/>
                <w:color w:val="auto"/>
                <w:highlight w:val="none"/>
                <w:lang w:val="en-US" w:eastAsia="zh-CN"/>
              </w:rPr>
              <w:t>排放</w:t>
            </w:r>
            <w:r>
              <w:rPr>
                <w:rFonts w:hint="default" w:ascii="Times New Roman" w:hAnsi="Times New Roman" w:cs="Times New Roman"/>
                <w:color w:val="auto"/>
                <w:highlight w:val="none"/>
              </w:rPr>
              <w:t>，排放口高出本栋建筑屋顶</w:t>
            </w:r>
            <w:r>
              <w:rPr>
                <w:rFonts w:hint="default" w:ascii="Times New Roman" w:hAnsi="Times New Roman" w:cs="Times New Roman"/>
                <w:color w:val="auto"/>
                <w:highlight w:val="none"/>
                <w:lang w:eastAsia="zh-CN"/>
              </w:rPr>
              <w:t>，核素</w:t>
            </w:r>
            <w:r>
              <w:rPr>
                <w:rFonts w:hint="default" w:ascii="Times New Roman" w:hAnsi="Times New Roman" w:cs="Times New Roman"/>
                <w:color w:val="auto"/>
                <w:highlight w:val="none"/>
                <w:lang w:val="en-US" w:eastAsia="zh-CN"/>
              </w:rPr>
              <w:t>放射性废气对环境影响很小</w:t>
            </w:r>
            <w:r>
              <w:rPr>
                <w:rFonts w:hint="default" w:ascii="Times New Roman" w:hAnsi="Times New Roman" w:cs="Times New Roman"/>
                <w:color w:val="auto"/>
                <w:highlight w:val="none"/>
              </w:rPr>
              <w:t>。</w:t>
            </w:r>
          </w:p>
          <w:p w14:paraId="6FEDAAED">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⑦非放射性废气</w:t>
            </w:r>
          </w:p>
          <w:p w14:paraId="1F53A81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回旋加速器机房内空气在射线强辐射下，吸收辐射能量并通过电离产生臭氧（O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）和氮氧化物（NO</w:t>
            </w:r>
            <w:r>
              <w:rPr>
                <w:rFonts w:hint="default" w:ascii="Times New Roman" w:hAnsi="Times New Roman" w:cs="Times New Roman"/>
                <w:color w:val="auto"/>
                <w:highlight w:val="none"/>
                <w:vertAlign w:val="subscript"/>
              </w:rPr>
              <w:t>X</w:t>
            </w:r>
            <w:r>
              <w:rPr>
                <w:rFonts w:hint="default" w:ascii="Times New Roman" w:hAnsi="Times New Roman" w:cs="Times New Roman"/>
                <w:color w:val="auto"/>
                <w:highlight w:val="none"/>
              </w:rPr>
              <w:t>），它们是具有刺激作用的有害气体。回旋加速器机房设置独立的通风系统，通风系统设置活性炭过滤装置，排放口高出本栋建筑屋顶。</w:t>
            </w:r>
          </w:p>
          <w:p w14:paraId="0353A4DD">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综上，本项目回旋加速器药物生产、合成、分装、质检以及转运过程产生的污染因子主要是：中子、γ射线、β表面污染，污染物主要是放射性固废、放射性废气、放射性废液。</w:t>
            </w:r>
          </w:p>
          <w:p w14:paraId="3AEB79D7">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rPr>
              <w:t>9.2.2.2</w:t>
            </w:r>
            <w:r>
              <w:rPr>
                <w:rFonts w:hint="default" w:ascii="Times New Roman" w:hAnsi="Times New Roman" w:cs="Times New Roman"/>
                <w:b/>
                <w:bCs/>
                <w:color w:val="auto"/>
                <w:highlight w:val="none"/>
                <w:lang w:val="en-US" w:eastAsia="zh-CN"/>
              </w:rPr>
              <w:t>放射性药物使用</w:t>
            </w:r>
          </w:p>
          <w:p w14:paraId="12DAEDC3">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由</w:t>
            </w:r>
            <w:r>
              <w:rPr>
                <w:rFonts w:hint="default" w:ascii="Times New Roman" w:hAnsi="Times New Roman" w:cs="Times New Roman"/>
                <w:color w:val="auto"/>
                <w:highlight w:val="none"/>
                <w:lang w:val="en-US" w:eastAsia="zh-CN"/>
              </w:rPr>
              <w:t>放射性药物使用</w:t>
            </w:r>
            <w:r>
              <w:rPr>
                <w:rFonts w:hint="default" w:ascii="Times New Roman" w:hAnsi="Times New Roman" w:cs="Times New Roman"/>
                <w:color w:val="auto"/>
                <w:highlight w:val="none"/>
              </w:rPr>
              <w:t>工作流程分析可知，本项目核医学项目污染因子有</w:t>
            </w:r>
            <w:r>
              <w:rPr>
                <w:rFonts w:hint="default" w:ascii="Times New Roman" w:hAnsi="Times New Roman" w:cs="Times New Roman"/>
                <w:color w:val="auto"/>
                <w:highlight w:val="none"/>
                <w:lang w:val="en-US" w:eastAsia="zh-CN"/>
              </w:rPr>
              <w:t>α射线、α表面污染、β射线、β表面污染、</w:t>
            </w:r>
            <w:r>
              <w:rPr>
                <w:rFonts w:hint="default" w:ascii="Times New Roman" w:hAnsi="Times New Roman" w:cs="Times New Roman"/>
                <w:color w:val="auto"/>
                <w:highlight w:val="none"/>
              </w:rPr>
              <w:t>γ射线、X射线，主要污染物有放射性废气、放射性废水及放射性固废及臭氧、氮氧化物。</w:t>
            </w:r>
          </w:p>
          <w:p w14:paraId="270DEECC">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α射线及α表面污染</w:t>
            </w:r>
          </w:p>
          <w:p w14:paraId="265C976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放射性核素</w:t>
            </w:r>
            <w:r>
              <w:rPr>
                <w:rFonts w:hint="default" w:ascii="Times New Roman" w:hAnsi="Times New Roman" w:cs="Times New Roman"/>
                <w:color w:val="auto"/>
                <w:highlight w:val="none"/>
                <w:vertAlign w:val="baseline"/>
                <w:lang w:val="en-US" w:eastAsia="zh-CN"/>
              </w:rPr>
              <w:t>Ra-223</w:t>
            </w:r>
            <w:r>
              <w:rPr>
                <w:rFonts w:hint="default" w:ascii="Times New Roman" w:hAnsi="Times New Roman" w:cs="Times New Roman"/>
                <w:color w:val="auto"/>
                <w:highlight w:val="none"/>
                <w:lang w:val="en-US" w:eastAsia="zh-CN"/>
              </w:rPr>
              <w:t xml:space="preserve">和 </w:t>
            </w:r>
            <w:r>
              <w:rPr>
                <w:rFonts w:hint="default" w:ascii="Times New Roman" w:hAnsi="Times New Roman" w:cs="Times New Roman"/>
                <w:color w:val="auto"/>
                <w:highlight w:val="none"/>
                <w:vertAlign w:val="baseline"/>
                <w:lang w:val="en-US" w:eastAsia="zh-CN"/>
              </w:rPr>
              <w:t>Ac-225</w:t>
            </w:r>
            <w:r>
              <w:rPr>
                <w:rFonts w:hint="default" w:ascii="Times New Roman" w:hAnsi="Times New Roman" w:cs="Times New Roman"/>
                <w:color w:val="auto"/>
                <w:highlight w:val="none"/>
                <w:lang w:val="en-US" w:eastAsia="zh-CN"/>
              </w:rPr>
              <w:t>为α衰变，衰变过程主要产生α射线，α射线射程在空气约4~7 cm，在组织中</w:t>
            </w:r>
            <w:r>
              <w:rPr>
                <w:rFonts w:hint="default" w:ascii="Times New Roman" w:hAnsi="Times New Roman" w:cs="Times New Roman"/>
                <w:color w:val="auto"/>
                <w:highlight w:val="none"/>
              </w:rPr>
              <w:t>约50~70 μm</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放射性核素</w:t>
            </w:r>
            <w:r>
              <w:rPr>
                <w:rFonts w:hint="default" w:ascii="Times New Roman" w:hAnsi="Times New Roman" w:cs="Times New Roman"/>
                <w:color w:val="auto"/>
                <w:highlight w:val="none"/>
                <w:vertAlign w:val="baseline"/>
                <w:lang w:val="en-US" w:eastAsia="zh-CN"/>
              </w:rPr>
              <w:t>Ra-223</w:t>
            </w:r>
            <w:r>
              <w:rPr>
                <w:rFonts w:hint="default" w:ascii="Times New Roman" w:hAnsi="Times New Roman" w:cs="Times New Roman"/>
                <w:color w:val="auto"/>
                <w:highlight w:val="none"/>
                <w:lang w:val="en-US" w:eastAsia="zh-CN"/>
              </w:rPr>
              <w:t xml:space="preserve">和 </w:t>
            </w:r>
            <w:r>
              <w:rPr>
                <w:rFonts w:hint="default" w:ascii="Times New Roman" w:hAnsi="Times New Roman" w:cs="Times New Roman"/>
                <w:color w:val="auto"/>
                <w:highlight w:val="none"/>
                <w:vertAlign w:val="baseline"/>
                <w:lang w:val="en-US" w:eastAsia="zh-CN"/>
              </w:rPr>
              <w:t>Ac-225</w:t>
            </w:r>
            <w:r>
              <w:rPr>
                <w:rFonts w:hint="default" w:ascii="Times New Roman" w:hAnsi="Times New Roman" w:cs="Times New Roman"/>
                <w:color w:val="auto"/>
                <w:highlight w:val="none"/>
                <w:lang w:val="en-US" w:eastAsia="zh-CN"/>
              </w:rPr>
              <w:t>的操作均在负压密闭手套箱内进行，注射时药物在针筒内，因此不考虑其对人体的外照射辐射影响。医生在对放射性药物</w:t>
            </w:r>
            <w:r>
              <w:rPr>
                <w:rFonts w:hint="default" w:ascii="Times New Roman" w:hAnsi="Times New Roman" w:cs="Times New Roman"/>
                <w:color w:val="auto"/>
                <w:highlight w:val="none"/>
                <w:vertAlign w:val="baseline"/>
                <w:lang w:val="en-US" w:eastAsia="zh-CN"/>
              </w:rPr>
              <w:t>Ra-223</w:t>
            </w:r>
            <w:r>
              <w:rPr>
                <w:rFonts w:hint="default" w:ascii="Times New Roman" w:hAnsi="Times New Roman" w:cs="Times New Roman"/>
                <w:color w:val="auto"/>
                <w:highlight w:val="none"/>
                <w:lang w:val="en-US" w:eastAsia="zh-CN"/>
              </w:rPr>
              <w:t xml:space="preserve">和 </w:t>
            </w:r>
            <w:r>
              <w:rPr>
                <w:rFonts w:hint="default" w:ascii="Times New Roman" w:hAnsi="Times New Roman" w:cs="Times New Roman"/>
                <w:color w:val="auto"/>
                <w:highlight w:val="none"/>
                <w:vertAlign w:val="baseline"/>
                <w:lang w:val="en-US" w:eastAsia="zh-CN"/>
              </w:rPr>
              <w:t>Ac-225</w:t>
            </w:r>
            <w:r>
              <w:rPr>
                <w:rFonts w:hint="default" w:ascii="Times New Roman" w:hAnsi="Times New Roman" w:cs="Times New Roman"/>
                <w:color w:val="auto"/>
                <w:highlight w:val="none"/>
                <w:lang w:val="en-US" w:eastAsia="zh-CN"/>
              </w:rPr>
              <w:t>的操作中，可能会引起工作台、工作服和手套等产生放射性沾污，造成小面积的 α 表面污染。</w:t>
            </w:r>
          </w:p>
          <w:p w14:paraId="0FDF04D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β射线及β表面污染</w:t>
            </w:r>
          </w:p>
          <w:p w14:paraId="5DEB8CB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放射性药物在淋洗、质控、分装、测活、注射、注射后候诊、扫描检查、留观、病房住院等过程中产生的β射线，其中</w:t>
            </w:r>
            <w:r>
              <w:rPr>
                <w:rFonts w:hint="default" w:ascii="Times New Roman" w:hAnsi="Times New Roman" w:cs="Times New Roman"/>
                <w:color w:val="auto"/>
                <w:highlight w:val="none"/>
              </w:rPr>
              <w:t>Mo</w:t>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t>99、I</w:t>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t>131、Lu</w:t>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t>177、Y</w:t>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t>90发射β⁻射线；F</w:t>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t>18、Ga</w:t>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t>68、C</w:t>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t>11、N</w:t>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t>13 发射 β⁺射线</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医生在对以上放射性药物的操作中，可能会引起工作台、工作服和手套等产生放射性沾污，造成小面积的 β 表面污染。Mo-99通常以99Mo-99mTc发生器形式使用，吸附于发生器柱上，仅在淋洗时可能产生沾污；I-131除液态外还有胶囊（固态）剂型，胶囊操作基本无液态沾污风险</w:t>
            </w:r>
            <w:r>
              <w:rPr>
                <w:rFonts w:hint="eastAsia" w:cs="Times New Roman"/>
                <w:color w:val="auto"/>
                <w:highlight w:val="none"/>
                <w:lang w:val="en-US" w:eastAsia="zh-CN"/>
              </w:rPr>
              <w:t>。</w:t>
            </w:r>
          </w:p>
          <w:p w14:paraId="664178C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γ射线</w:t>
            </w:r>
          </w:p>
          <w:p w14:paraId="4FDBBDD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核医学科使用</w:t>
            </w:r>
            <w:r>
              <w:rPr>
                <w:rFonts w:hint="default" w:ascii="Times New Roman" w:hAnsi="Times New Roman" w:cs="Times New Roman"/>
                <w:color w:val="auto"/>
                <w:highlight w:val="none"/>
                <w:vertAlign w:val="superscript"/>
              </w:rPr>
              <w:t>99</w:t>
            </w:r>
            <w:r>
              <w:rPr>
                <w:rFonts w:hint="default" w:ascii="Times New Roman" w:hAnsi="Times New Roman" w:cs="Times New Roman"/>
                <w:color w:val="auto"/>
                <w:highlight w:val="none"/>
              </w:rPr>
              <w:t>Mo-</w:t>
            </w:r>
            <w:r>
              <w:rPr>
                <w:rFonts w:hint="default" w:ascii="Times New Roman" w:hAnsi="Times New Roman" w:cs="Times New Roman"/>
                <w:color w:val="auto"/>
                <w:highlight w:val="none"/>
                <w:vertAlign w:val="superscript"/>
              </w:rPr>
              <w:t>99m</w:t>
            </w:r>
            <w:r>
              <w:rPr>
                <w:rFonts w:hint="default" w:ascii="Times New Roman" w:hAnsi="Times New Roman" w:cs="Times New Roman"/>
                <w:color w:val="auto"/>
                <w:highlight w:val="none"/>
              </w:rPr>
              <w:t>Tc发生器、</w:t>
            </w:r>
            <w:r>
              <w:rPr>
                <w:rFonts w:hint="eastAsia"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的淋洗分装、SPECT诊断、PET诊断、核素治疗均产生</w:t>
            </w:r>
            <w:r>
              <w:rPr>
                <w:rFonts w:hint="default" w:ascii="Times New Roman" w:hAnsi="Times New Roman" w:cs="Times New Roman"/>
                <w:color w:val="auto"/>
                <w:highlight w:val="none"/>
              </w:rPr>
              <w:t>γ射线。</w:t>
            </w:r>
          </w:p>
          <w:p w14:paraId="47EC275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）X射线</w:t>
            </w:r>
          </w:p>
          <w:p w14:paraId="30835E6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本项目使用的PET/CT、SPECT/CT在曝光显像的过程中会发出X射线，以及放射性核素衰变过程中会产生韧致辐射，会对周围环境造成辐射影响。</w:t>
            </w:r>
          </w:p>
          <w:p w14:paraId="2AC75E4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）放射性废水</w:t>
            </w:r>
          </w:p>
          <w:p w14:paraId="790278F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08" w:lineRule="auto"/>
              <w:ind w:left="0" w:right="0" w:firstLine="480" w:firstLineChars="200"/>
              <w:jc w:val="both"/>
              <w:textAlignment w:val="auto"/>
              <w:rPr>
                <w:rFonts w:hint="default" w:ascii="Times New Roman" w:hAnsi="Times New Roman" w:eastAsia="宋体" w:cs="Times New Roman"/>
                <w:color w:val="auto"/>
                <w:highlight w:val="none"/>
                <w:vertAlign w:val="baseline"/>
                <w:lang w:val="en-US" w:eastAsia="zh-CN"/>
              </w:rPr>
            </w:pPr>
            <w:r>
              <w:rPr>
                <w:rFonts w:hint="default" w:ascii="Times New Roman" w:hAnsi="Times New Roman" w:eastAsia="宋体" w:cs="Times New Roman"/>
                <w:color w:val="auto"/>
                <w:highlight w:val="none"/>
                <w:lang w:val="en-US" w:eastAsia="zh-CN"/>
              </w:rPr>
              <w:t>核素生产场所均为洁净空间，仅在事故工况下需对地面进行拖地清洁；常规工作结束后采用擦拭纸巾对工作台面进行去污。放射性废水主要来源于 PET 门诊、SPECT 门诊、核素病房地面清洁废水，以及接受核素诊疗人员如厕产生的废水。参照《新疆维吾尔自治区生活用水定额》，医院门诊用水量取为30L/人次·日，医院住院用水量取为200L/人次·日。清洁地面每天按200L计，放射性废水排放系数取0.8，则全年放射性废水产生量为2507.9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排放量为2006.32m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vertAlign w:val="baseline"/>
                <w:lang w:val="en-US" w:eastAsia="zh-CN"/>
              </w:rPr>
              <w:t>。</w:t>
            </w:r>
            <w:r>
              <w:rPr>
                <w:rFonts w:hint="default" w:ascii="Times New Roman" w:hAnsi="Times New Roman" w:eastAsia="宋体" w:cs="Times New Roman"/>
                <w:color w:val="auto"/>
                <w:highlight w:val="none"/>
                <w:lang w:val="en-US" w:eastAsia="zh-CN"/>
              </w:rPr>
              <w:t>全年放射性长半衰期废水产生量1020.4m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vertAlign w:val="baseline"/>
                <w:lang w:val="en-US" w:eastAsia="zh-CN"/>
              </w:rPr>
              <w:t>，</w:t>
            </w:r>
            <w:r>
              <w:rPr>
                <w:rFonts w:hint="default" w:ascii="Times New Roman" w:hAnsi="Times New Roman" w:eastAsia="宋体" w:cs="Times New Roman"/>
                <w:color w:val="auto"/>
                <w:highlight w:val="none"/>
                <w:lang w:val="en-US" w:eastAsia="zh-CN"/>
              </w:rPr>
              <w:t>长半衰期废水排放量816.32m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 xml:space="preserve"> ，短半衰期废水产生量1487.5m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vertAlign w:val="baseline"/>
                <w:lang w:val="en-US" w:eastAsia="zh-CN"/>
              </w:rPr>
              <w:t>，</w:t>
            </w:r>
            <w:r>
              <w:rPr>
                <w:rFonts w:hint="default" w:ascii="Times New Roman" w:hAnsi="Times New Roman" w:eastAsia="宋体" w:cs="Times New Roman"/>
                <w:color w:val="auto"/>
                <w:highlight w:val="none"/>
                <w:lang w:val="en-US" w:eastAsia="zh-CN"/>
              </w:rPr>
              <w:t>短半衰期废水排放量1190m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vertAlign w:val="baseline"/>
                <w:lang w:val="en-US" w:eastAsia="zh-CN"/>
              </w:rPr>
              <w:t>。</w:t>
            </w:r>
          </w:p>
          <w:p w14:paraId="24084C8E">
            <w:pPr>
              <w:pStyle w:val="9"/>
              <w:keepNext w:val="0"/>
              <w:keepLines w:val="0"/>
              <w:suppressLineNumbers w:val="0"/>
              <w:spacing w:before="0" w:beforeAutospacing="0" w:after="0" w:afterAutospacing="0"/>
              <w:jc w:val="center"/>
              <w:rPr>
                <w:rFonts w:hint="default" w:ascii="Times New Roman" w:hAnsi="Times New Roman" w:cs="Times New Roman"/>
                <w:b/>
                <w:bCs/>
                <w:color w:val="auto"/>
                <w:sz w:val="24"/>
                <w:szCs w:val="24"/>
                <w:highlight w:val="none"/>
                <w:vertAlign w:val="baseline"/>
                <w:lang w:val="en-US" w:eastAsia="zh-CN"/>
              </w:rPr>
            </w:pPr>
          </w:p>
          <w:p w14:paraId="0A26F8EC">
            <w:pPr>
              <w:pStyle w:val="9"/>
              <w:keepNext w:val="0"/>
              <w:keepLines w:val="0"/>
              <w:suppressLineNumbers w:val="0"/>
              <w:spacing w:before="0" w:beforeAutospacing="0" w:after="0" w:afterAutospacing="0"/>
              <w:jc w:val="center"/>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vertAlign w:val="baseline"/>
                <w:lang w:val="en-US" w:eastAsia="zh-CN"/>
              </w:rPr>
              <w:t>表9-</w:t>
            </w:r>
            <w:r>
              <w:rPr>
                <w:rFonts w:hint="eastAsia" w:cs="Times New Roman"/>
                <w:b/>
                <w:bCs/>
                <w:color w:val="auto"/>
                <w:sz w:val="24"/>
                <w:szCs w:val="24"/>
                <w:highlight w:val="none"/>
                <w:vertAlign w:val="baseline"/>
                <w:lang w:val="en-US" w:eastAsia="zh-CN"/>
              </w:rPr>
              <w:t>20</w:t>
            </w:r>
            <w:r>
              <w:rPr>
                <w:rFonts w:hint="default" w:ascii="Times New Roman" w:hAnsi="Times New Roman" w:cs="Times New Roman"/>
                <w:b/>
                <w:bCs/>
                <w:color w:val="auto"/>
                <w:sz w:val="24"/>
                <w:szCs w:val="24"/>
                <w:highlight w:val="none"/>
                <w:vertAlign w:val="baseline"/>
                <w:lang w:val="en-US" w:eastAsia="zh-CN"/>
              </w:rPr>
              <w:t xml:space="preserve"> 放射性废水产生情况</w:t>
            </w:r>
          </w:p>
          <w:tbl>
            <w:tblPr>
              <w:tblStyle w:val="22"/>
              <w:tblW w:w="8676" w:type="dxa"/>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1847"/>
              <w:gridCol w:w="867"/>
              <w:gridCol w:w="882"/>
              <w:gridCol w:w="844"/>
              <w:gridCol w:w="766"/>
              <w:gridCol w:w="1183"/>
              <w:gridCol w:w="1178"/>
              <w:gridCol w:w="1109"/>
            </w:tblGrid>
            <w:tr w14:paraId="7B4B50B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1059" w:hRule="exact"/>
                <w:tblHeader/>
                <w:jc w:val="center"/>
              </w:trPr>
              <w:tc>
                <w:tcPr>
                  <w:tcW w:w="1847" w:type="dxa"/>
                  <w:tcBorders>
                    <w:tl2br w:val="nil"/>
                    <w:tr2bl w:val="nil"/>
                  </w:tcBorders>
                  <w:shd w:val="clear" w:color="auto" w:fill="auto"/>
                  <w:tcMar>
                    <w:top w:w="120" w:type="dxa"/>
                    <w:left w:w="120" w:type="dxa"/>
                    <w:bottom w:w="120" w:type="dxa"/>
                    <w:right w:w="120" w:type="dxa"/>
                  </w:tcMar>
                  <w:vAlign w:val="center"/>
                </w:tcPr>
                <w:p w14:paraId="0022A31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w w:val="80"/>
                      <w:sz w:val="20"/>
                      <w:szCs w:val="20"/>
                      <w:highlight w:val="none"/>
                    </w:rPr>
                  </w:pPr>
                  <w:r>
                    <w:rPr>
                      <w:rFonts w:hint="default" w:ascii="Times New Roman" w:hAnsi="Times New Roman" w:cs="Times New Roman"/>
                      <w:b w:val="0"/>
                      <w:bCs/>
                      <w:color w:val="auto"/>
                      <w:w w:val="80"/>
                      <w:sz w:val="20"/>
                      <w:szCs w:val="20"/>
                      <w:highlight w:val="none"/>
                      <w:lang w:val="en-US" w:eastAsia="zh-CN"/>
                    </w:rPr>
                    <w:t>工作场所</w:t>
                  </w:r>
                </w:p>
              </w:tc>
              <w:tc>
                <w:tcPr>
                  <w:tcW w:w="867" w:type="dxa"/>
                  <w:tcBorders>
                    <w:tl2br w:val="nil"/>
                    <w:tr2bl w:val="nil"/>
                  </w:tcBorders>
                  <w:shd w:val="clear" w:color="auto" w:fill="auto"/>
                  <w:tcMar>
                    <w:top w:w="120" w:type="dxa"/>
                    <w:left w:w="120" w:type="dxa"/>
                    <w:bottom w:w="120" w:type="dxa"/>
                    <w:right w:w="120" w:type="dxa"/>
                  </w:tcMar>
                  <w:vAlign w:val="center"/>
                </w:tcPr>
                <w:p w14:paraId="647ADD3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核素</w:t>
                  </w:r>
                </w:p>
              </w:tc>
              <w:tc>
                <w:tcPr>
                  <w:tcW w:w="882" w:type="dxa"/>
                  <w:tcBorders>
                    <w:tl2br w:val="nil"/>
                    <w:tr2bl w:val="nil"/>
                  </w:tcBorders>
                  <w:shd w:val="clear" w:color="auto" w:fill="auto"/>
                  <w:tcMar>
                    <w:top w:w="120" w:type="dxa"/>
                    <w:left w:w="120" w:type="dxa"/>
                    <w:bottom w:w="120" w:type="dxa"/>
                    <w:right w:w="120" w:type="dxa"/>
                  </w:tcMar>
                  <w:vAlign w:val="center"/>
                </w:tcPr>
                <w:p w14:paraId="5E585AB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日最大门诊量</w:t>
                  </w:r>
                </w:p>
                <w:p w14:paraId="312655A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（人次）</w:t>
                  </w:r>
                </w:p>
              </w:tc>
              <w:tc>
                <w:tcPr>
                  <w:tcW w:w="844" w:type="dxa"/>
                  <w:tcBorders>
                    <w:tl2br w:val="nil"/>
                    <w:tr2bl w:val="nil"/>
                  </w:tcBorders>
                  <w:shd w:val="clear" w:color="auto" w:fill="auto"/>
                  <w:tcMar>
                    <w:top w:w="120" w:type="dxa"/>
                    <w:left w:w="120" w:type="dxa"/>
                    <w:bottom w:w="120" w:type="dxa"/>
                    <w:right w:w="120" w:type="dxa"/>
                  </w:tcMar>
                  <w:vAlign w:val="center"/>
                </w:tcPr>
                <w:p w14:paraId="649183B1">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年工作时间</w:t>
                  </w:r>
                </w:p>
                <w:p w14:paraId="30D89DF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（天）</w:t>
                  </w:r>
                </w:p>
              </w:tc>
              <w:tc>
                <w:tcPr>
                  <w:tcW w:w="766" w:type="dxa"/>
                  <w:tcBorders>
                    <w:tl2br w:val="nil"/>
                    <w:tr2bl w:val="nil"/>
                  </w:tcBorders>
                  <w:shd w:val="clear" w:color="auto" w:fill="auto"/>
                  <w:tcMar>
                    <w:top w:w="120" w:type="dxa"/>
                    <w:left w:w="120" w:type="dxa"/>
                    <w:bottom w:w="120" w:type="dxa"/>
                    <w:right w:w="120" w:type="dxa"/>
                  </w:tcMar>
                  <w:vAlign w:val="center"/>
                </w:tcPr>
                <w:p w14:paraId="3B3BC62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用水产生定额（L）</w:t>
                  </w:r>
                </w:p>
              </w:tc>
              <w:tc>
                <w:tcPr>
                  <w:tcW w:w="1183" w:type="dxa"/>
                  <w:tcBorders>
                    <w:tl2br w:val="nil"/>
                    <w:tr2bl w:val="nil"/>
                  </w:tcBorders>
                  <w:shd w:val="clear" w:color="auto" w:fill="auto"/>
                  <w:tcMar>
                    <w:top w:w="120" w:type="dxa"/>
                    <w:left w:w="120" w:type="dxa"/>
                    <w:bottom w:w="120" w:type="dxa"/>
                    <w:right w:w="120" w:type="dxa"/>
                  </w:tcMar>
                  <w:vAlign w:val="center"/>
                </w:tcPr>
                <w:p w14:paraId="2C80315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全年用水量</w:t>
                  </w:r>
                </w:p>
                <w:p w14:paraId="67DC516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（L）</w:t>
                  </w:r>
                </w:p>
              </w:tc>
              <w:tc>
                <w:tcPr>
                  <w:tcW w:w="1178" w:type="dxa"/>
                  <w:tcBorders>
                    <w:tl2br w:val="nil"/>
                    <w:tr2bl w:val="nil"/>
                  </w:tcBorders>
                  <w:shd w:val="clear" w:color="auto" w:fill="auto"/>
                  <w:tcMar>
                    <w:top w:w="120" w:type="dxa"/>
                    <w:left w:w="120" w:type="dxa"/>
                    <w:bottom w:w="120" w:type="dxa"/>
                    <w:right w:w="120" w:type="dxa"/>
                  </w:tcMar>
                  <w:vAlign w:val="center"/>
                </w:tcPr>
                <w:p w14:paraId="02F111B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全年废水排放量</w:t>
                  </w:r>
                </w:p>
                <w:p w14:paraId="25F1B5A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（L）</w:t>
                  </w:r>
                </w:p>
              </w:tc>
              <w:tc>
                <w:tcPr>
                  <w:tcW w:w="1109" w:type="dxa"/>
                  <w:tcBorders>
                    <w:tl2br w:val="nil"/>
                    <w:tr2bl w:val="nil"/>
                  </w:tcBorders>
                  <w:shd w:val="clear" w:color="auto" w:fill="auto"/>
                  <w:tcMar>
                    <w:top w:w="120" w:type="dxa"/>
                    <w:left w:w="120" w:type="dxa"/>
                    <w:bottom w:w="120" w:type="dxa"/>
                    <w:right w:w="120" w:type="dxa"/>
                  </w:tcMar>
                  <w:vAlign w:val="center"/>
                </w:tcPr>
                <w:p w14:paraId="485E69D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半衰期类别</w:t>
                  </w:r>
                </w:p>
              </w:tc>
            </w:tr>
            <w:tr w14:paraId="39E8379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tcMar>
                    <w:top w:w="120" w:type="dxa"/>
                    <w:left w:w="120" w:type="dxa"/>
                    <w:bottom w:w="120" w:type="dxa"/>
                    <w:right w:w="120" w:type="dxa"/>
                  </w:tcMar>
                  <w:vAlign w:val="center"/>
                </w:tcPr>
                <w:p w14:paraId="3D9BD35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w w:val="80"/>
                      <w:sz w:val="18"/>
                      <w:szCs w:val="18"/>
                      <w:highlight w:val="none"/>
                    </w:rPr>
                  </w:pPr>
                  <w:r>
                    <w:rPr>
                      <w:rFonts w:hint="default" w:ascii="Times New Roman" w:hAnsi="Times New Roman" w:cs="Times New Roman"/>
                      <w:b w:val="0"/>
                      <w:bCs/>
                      <w:color w:val="auto"/>
                      <w:w w:val="80"/>
                      <w:sz w:val="18"/>
                      <w:szCs w:val="18"/>
                      <w:highlight w:val="none"/>
                      <w:lang w:val="en-US" w:eastAsia="zh-CN"/>
                    </w:rPr>
                    <w:t>SPECT诊断区（门诊）</w:t>
                  </w:r>
                </w:p>
              </w:tc>
              <w:tc>
                <w:tcPr>
                  <w:tcW w:w="867" w:type="dxa"/>
                  <w:tcBorders>
                    <w:tl2br w:val="nil"/>
                    <w:tr2bl w:val="nil"/>
                  </w:tcBorders>
                  <w:shd w:val="clear" w:color="auto" w:fill="auto"/>
                  <w:tcMar>
                    <w:top w:w="120" w:type="dxa"/>
                    <w:left w:w="120" w:type="dxa"/>
                    <w:bottom w:w="120" w:type="dxa"/>
                    <w:right w:w="120" w:type="dxa"/>
                  </w:tcMar>
                  <w:vAlign w:val="center"/>
                </w:tcPr>
                <w:p w14:paraId="1270472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vertAlign w:val="baseline"/>
                      <w:lang w:val="en-US" w:eastAsia="zh-CN"/>
                    </w:rPr>
                    <w:t>I-131</w:t>
                  </w:r>
                </w:p>
              </w:tc>
              <w:tc>
                <w:tcPr>
                  <w:tcW w:w="882" w:type="dxa"/>
                  <w:tcBorders>
                    <w:tl2br w:val="nil"/>
                    <w:tr2bl w:val="nil"/>
                  </w:tcBorders>
                  <w:shd w:val="clear" w:color="auto" w:fill="auto"/>
                  <w:tcMar>
                    <w:top w:w="120" w:type="dxa"/>
                    <w:left w:w="120" w:type="dxa"/>
                    <w:bottom w:w="120" w:type="dxa"/>
                    <w:right w:w="120" w:type="dxa"/>
                  </w:tcMar>
                  <w:vAlign w:val="center"/>
                </w:tcPr>
                <w:p w14:paraId="6410B43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lang w:val="en-US" w:eastAsia="zh-CN"/>
                    </w:rPr>
                    <w:t>60</w:t>
                  </w:r>
                </w:p>
              </w:tc>
              <w:tc>
                <w:tcPr>
                  <w:tcW w:w="844" w:type="dxa"/>
                  <w:tcBorders>
                    <w:tl2br w:val="nil"/>
                    <w:tr2bl w:val="nil"/>
                  </w:tcBorders>
                  <w:shd w:val="clear" w:color="auto" w:fill="auto"/>
                  <w:tcMar>
                    <w:top w:w="120" w:type="dxa"/>
                    <w:left w:w="120" w:type="dxa"/>
                    <w:bottom w:w="120" w:type="dxa"/>
                    <w:right w:w="120" w:type="dxa"/>
                  </w:tcMar>
                  <w:vAlign w:val="center"/>
                </w:tcPr>
                <w:p w14:paraId="6F8B063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w:t>
                  </w:r>
                </w:p>
              </w:tc>
              <w:tc>
                <w:tcPr>
                  <w:tcW w:w="766" w:type="dxa"/>
                  <w:tcBorders>
                    <w:tl2br w:val="nil"/>
                    <w:tr2bl w:val="nil"/>
                  </w:tcBorders>
                  <w:shd w:val="clear" w:color="auto" w:fill="auto"/>
                  <w:tcMar>
                    <w:top w:w="120" w:type="dxa"/>
                    <w:left w:w="120" w:type="dxa"/>
                    <w:bottom w:w="120" w:type="dxa"/>
                    <w:right w:w="120" w:type="dxa"/>
                  </w:tcMar>
                  <w:vAlign w:val="center"/>
                </w:tcPr>
                <w:p w14:paraId="111E805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w:t>
                  </w:r>
                </w:p>
              </w:tc>
              <w:tc>
                <w:tcPr>
                  <w:tcW w:w="1183" w:type="dxa"/>
                  <w:tcBorders>
                    <w:tl2br w:val="nil"/>
                    <w:tr2bl w:val="nil"/>
                  </w:tcBorders>
                  <w:shd w:val="clear" w:color="auto" w:fill="auto"/>
                  <w:tcMar>
                    <w:top w:w="120" w:type="dxa"/>
                    <w:left w:w="120" w:type="dxa"/>
                    <w:bottom w:w="120" w:type="dxa"/>
                    <w:right w:w="120" w:type="dxa"/>
                  </w:tcMar>
                  <w:vAlign w:val="center"/>
                </w:tcPr>
                <w:p w14:paraId="29106D1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450000</w:t>
                  </w:r>
                </w:p>
              </w:tc>
              <w:tc>
                <w:tcPr>
                  <w:tcW w:w="1178" w:type="dxa"/>
                  <w:tcBorders>
                    <w:tl2br w:val="nil"/>
                    <w:tr2bl w:val="nil"/>
                  </w:tcBorders>
                  <w:shd w:val="clear" w:color="auto" w:fill="auto"/>
                  <w:tcMar>
                    <w:top w:w="120" w:type="dxa"/>
                    <w:left w:w="120" w:type="dxa"/>
                    <w:bottom w:w="120" w:type="dxa"/>
                    <w:right w:w="120" w:type="dxa"/>
                  </w:tcMar>
                  <w:vAlign w:val="center"/>
                </w:tcPr>
                <w:p w14:paraId="3726DC2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360000</w:t>
                  </w:r>
                </w:p>
              </w:tc>
              <w:tc>
                <w:tcPr>
                  <w:tcW w:w="1109" w:type="dxa"/>
                  <w:vMerge w:val="restart"/>
                  <w:tcBorders>
                    <w:tl2br w:val="nil"/>
                    <w:tr2bl w:val="nil"/>
                  </w:tcBorders>
                  <w:shd w:val="clear" w:color="auto" w:fill="auto"/>
                  <w:tcMar>
                    <w:top w:w="120" w:type="dxa"/>
                    <w:left w:w="120" w:type="dxa"/>
                    <w:bottom w:w="120" w:type="dxa"/>
                    <w:right w:w="120" w:type="dxa"/>
                  </w:tcMar>
                  <w:vAlign w:val="center"/>
                </w:tcPr>
                <w:p w14:paraId="45E22D8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rPr>
                  </w:pPr>
                  <w:r>
                    <w:rPr>
                      <w:rFonts w:hint="default" w:ascii="Times New Roman" w:hAnsi="Times New Roman" w:cs="Times New Roman"/>
                      <w:b w:val="0"/>
                      <w:bCs/>
                      <w:color w:val="auto"/>
                      <w:sz w:val="20"/>
                      <w:szCs w:val="20"/>
                      <w:highlight w:val="none"/>
                      <w:lang w:val="en-US" w:eastAsia="zh-CN"/>
                    </w:rPr>
                    <w:t>长</w:t>
                  </w:r>
                </w:p>
              </w:tc>
            </w:tr>
            <w:tr w14:paraId="6D296DA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tcMar>
                    <w:top w:w="120" w:type="dxa"/>
                    <w:left w:w="120" w:type="dxa"/>
                    <w:bottom w:w="120" w:type="dxa"/>
                    <w:right w:w="120" w:type="dxa"/>
                  </w:tcMar>
                  <w:vAlign w:val="center"/>
                </w:tcPr>
                <w:p w14:paraId="25EFEDD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w w:val="80"/>
                      <w:sz w:val="18"/>
                      <w:szCs w:val="18"/>
                      <w:highlight w:val="none"/>
                    </w:rPr>
                  </w:pPr>
                  <w:r>
                    <w:rPr>
                      <w:rFonts w:hint="default" w:ascii="Times New Roman" w:hAnsi="Times New Roman" w:cs="Times New Roman"/>
                      <w:b w:val="0"/>
                      <w:bCs/>
                      <w:color w:val="auto"/>
                      <w:w w:val="80"/>
                      <w:sz w:val="18"/>
                      <w:szCs w:val="18"/>
                      <w:highlight w:val="none"/>
                      <w:lang w:val="en-US" w:eastAsia="zh-CN"/>
                    </w:rPr>
                    <w:t>核素治疗区（住院）</w:t>
                  </w:r>
                </w:p>
              </w:tc>
              <w:tc>
                <w:tcPr>
                  <w:tcW w:w="867" w:type="dxa"/>
                  <w:tcBorders>
                    <w:tl2br w:val="nil"/>
                    <w:tr2bl w:val="nil"/>
                  </w:tcBorders>
                  <w:shd w:val="clear" w:color="auto" w:fill="auto"/>
                  <w:tcMar>
                    <w:top w:w="120" w:type="dxa"/>
                    <w:left w:w="120" w:type="dxa"/>
                    <w:bottom w:w="120" w:type="dxa"/>
                    <w:right w:w="120" w:type="dxa"/>
                  </w:tcMar>
                  <w:vAlign w:val="center"/>
                </w:tcPr>
                <w:p w14:paraId="1999CAD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vertAlign w:val="baseline"/>
                      <w:lang w:val="en-US" w:eastAsia="zh-CN"/>
                    </w:rPr>
                    <w:t>I-131</w:t>
                  </w:r>
                </w:p>
              </w:tc>
              <w:tc>
                <w:tcPr>
                  <w:tcW w:w="882" w:type="dxa"/>
                  <w:tcBorders>
                    <w:tl2br w:val="nil"/>
                    <w:tr2bl w:val="nil"/>
                  </w:tcBorders>
                  <w:shd w:val="clear" w:color="auto" w:fill="auto"/>
                  <w:tcMar>
                    <w:top w:w="120" w:type="dxa"/>
                    <w:left w:w="120" w:type="dxa"/>
                    <w:bottom w:w="120" w:type="dxa"/>
                    <w:right w:w="120" w:type="dxa"/>
                  </w:tcMar>
                  <w:vAlign w:val="center"/>
                </w:tcPr>
                <w:p w14:paraId="1E30F94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lang w:val="en-US" w:eastAsia="zh-CN"/>
                    </w:rPr>
                    <w:t>17</w:t>
                  </w:r>
                </w:p>
              </w:tc>
              <w:tc>
                <w:tcPr>
                  <w:tcW w:w="844" w:type="dxa"/>
                  <w:tcBorders>
                    <w:tl2br w:val="nil"/>
                    <w:tr2bl w:val="nil"/>
                  </w:tcBorders>
                  <w:shd w:val="clear" w:color="auto" w:fill="auto"/>
                  <w:tcMar>
                    <w:top w:w="120" w:type="dxa"/>
                    <w:left w:w="120" w:type="dxa"/>
                    <w:bottom w:w="120" w:type="dxa"/>
                    <w:right w:w="120" w:type="dxa"/>
                  </w:tcMar>
                  <w:vAlign w:val="center"/>
                </w:tcPr>
                <w:p w14:paraId="32CCAA8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w:t>
                  </w:r>
                </w:p>
              </w:tc>
              <w:tc>
                <w:tcPr>
                  <w:tcW w:w="766" w:type="dxa"/>
                  <w:tcBorders>
                    <w:tl2br w:val="nil"/>
                    <w:tr2bl w:val="nil"/>
                  </w:tcBorders>
                  <w:shd w:val="clear" w:color="auto" w:fill="auto"/>
                  <w:tcMar>
                    <w:top w:w="120" w:type="dxa"/>
                    <w:left w:w="120" w:type="dxa"/>
                    <w:bottom w:w="120" w:type="dxa"/>
                    <w:right w:w="120" w:type="dxa"/>
                  </w:tcMar>
                  <w:vAlign w:val="center"/>
                </w:tcPr>
                <w:p w14:paraId="7D11A23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120</w:t>
                  </w:r>
                </w:p>
              </w:tc>
              <w:tc>
                <w:tcPr>
                  <w:tcW w:w="1183" w:type="dxa"/>
                  <w:tcBorders>
                    <w:tl2br w:val="nil"/>
                    <w:tr2bl w:val="nil"/>
                  </w:tcBorders>
                  <w:shd w:val="clear" w:color="auto" w:fill="auto"/>
                  <w:tcMar>
                    <w:top w:w="120" w:type="dxa"/>
                    <w:left w:w="120" w:type="dxa"/>
                    <w:bottom w:w="120" w:type="dxa"/>
                    <w:right w:w="120" w:type="dxa"/>
                  </w:tcMar>
                  <w:vAlign w:val="center"/>
                </w:tcPr>
                <w:p w14:paraId="08552F3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510000</w:t>
                  </w:r>
                </w:p>
              </w:tc>
              <w:tc>
                <w:tcPr>
                  <w:tcW w:w="1178" w:type="dxa"/>
                  <w:tcBorders>
                    <w:tl2br w:val="nil"/>
                    <w:tr2bl w:val="nil"/>
                  </w:tcBorders>
                  <w:shd w:val="clear" w:color="auto" w:fill="auto"/>
                  <w:tcMar>
                    <w:top w:w="120" w:type="dxa"/>
                    <w:left w:w="120" w:type="dxa"/>
                    <w:bottom w:w="120" w:type="dxa"/>
                    <w:right w:w="120" w:type="dxa"/>
                  </w:tcMar>
                  <w:vAlign w:val="center"/>
                </w:tcPr>
                <w:p w14:paraId="5B80A3E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408000</w:t>
                  </w:r>
                </w:p>
              </w:tc>
              <w:tc>
                <w:tcPr>
                  <w:tcW w:w="1109" w:type="dxa"/>
                  <w:vMerge w:val="continue"/>
                  <w:tcBorders>
                    <w:tl2br w:val="nil"/>
                    <w:tr2bl w:val="nil"/>
                  </w:tcBorders>
                  <w:shd w:val="clear" w:color="auto" w:fill="auto"/>
                  <w:tcMar>
                    <w:top w:w="120" w:type="dxa"/>
                    <w:left w:w="120" w:type="dxa"/>
                    <w:bottom w:w="120" w:type="dxa"/>
                    <w:right w:w="120" w:type="dxa"/>
                  </w:tcMar>
                  <w:vAlign w:val="center"/>
                </w:tcPr>
                <w:p w14:paraId="3A9C6D5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rPr>
                  </w:pPr>
                </w:p>
              </w:tc>
            </w:tr>
            <w:tr w14:paraId="40238EE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tcMar>
                    <w:top w:w="120" w:type="dxa"/>
                    <w:left w:w="120" w:type="dxa"/>
                    <w:bottom w:w="120" w:type="dxa"/>
                    <w:right w:w="120" w:type="dxa"/>
                  </w:tcMar>
                  <w:vAlign w:val="center"/>
                </w:tcPr>
                <w:p w14:paraId="089DC42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w w:val="80"/>
                      <w:sz w:val="18"/>
                      <w:szCs w:val="18"/>
                      <w:highlight w:val="none"/>
                    </w:rPr>
                  </w:pPr>
                  <w:r>
                    <w:rPr>
                      <w:rFonts w:hint="default" w:ascii="Times New Roman" w:hAnsi="Times New Roman" w:cs="Times New Roman"/>
                      <w:b w:val="0"/>
                      <w:bCs/>
                      <w:color w:val="auto"/>
                      <w:w w:val="80"/>
                      <w:sz w:val="18"/>
                      <w:szCs w:val="18"/>
                      <w:highlight w:val="none"/>
                      <w:lang w:val="en-US" w:eastAsia="zh-CN"/>
                    </w:rPr>
                    <w:t>核素治疗区（住院）</w:t>
                  </w:r>
                </w:p>
              </w:tc>
              <w:tc>
                <w:tcPr>
                  <w:tcW w:w="867" w:type="dxa"/>
                  <w:tcBorders>
                    <w:tl2br w:val="nil"/>
                    <w:tr2bl w:val="nil"/>
                  </w:tcBorders>
                  <w:shd w:val="clear" w:color="auto" w:fill="auto"/>
                  <w:tcMar>
                    <w:top w:w="120" w:type="dxa"/>
                    <w:left w:w="120" w:type="dxa"/>
                    <w:bottom w:w="120" w:type="dxa"/>
                    <w:right w:w="120" w:type="dxa"/>
                  </w:tcMar>
                  <w:vAlign w:val="center"/>
                </w:tcPr>
                <w:p w14:paraId="2EE6A1A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vertAlign w:val="baseline"/>
                      <w:lang w:val="en-US" w:eastAsia="zh-CN"/>
                    </w:rPr>
                    <w:t>Lu-177</w:t>
                  </w:r>
                </w:p>
              </w:tc>
              <w:tc>
                <w:tcPr>
                  <w:tcW w:w="882" w:type="dxa"/>
                  <w:tcBorders>
                    <w:tl2br w:val="nil"/>
                    <w:tr2bl w:val="nil"/>
                  </w:tcBorders>
                  <w:shd w:val="clear" w:color="auto" w:fill="auto"/>
                  <w:tcMar>
                    <w:top w:w="120" w:type="dxa"/>
                    <w:left w:w="120" w:type="dxa"/>
                    <w:bottom w:w="120" w:type="dxa"/>
                    <w:right w:w="120" w:type="dxa"/>
                  </w:tcMar>
                  <w:vAlign w:val="center"/>
                </w:tcPr>
                <w:p w14:paraId="395111D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lang w:val="en-US" w:eastAsia="zh-CN"/>
                    </w:rPr>
                    <w:t>1</w:t>
                  </w:r>
                </w:p>
              </w:tc>
              <w:tc>
                <w:tcPr>
                  <w:tcW w:w="844" w:type="dxa"/>
                  <w:tcBorders>
                    <w:tl2br w:val="nil"/>
                    <w:tr2bl w:val="nil"/>
                  </w:tcBorders>
                  <w:shd w:val="clear" w:color="auto" w:fill="auto"/>
                  <w:tcMar>
                    <w:top w:w="120" w:type="dxa"/>
                    <w:left w:w="120" w:type="dxa"/>
                    <w:bottom w:w="120" w:type="dxa"/>
                    <w:right w:w="120" w:type="dxa"/>
                  </w:tcMar>
                  <w:vAlign w:val="center"/>
                </w:tcPr>
                <w:p w14:paraId="0CEA185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w:t>
                  </w:r>
                </w:p>
              </w:tc>
              <w:tc>
                <w:tcPr>
                  <w:tcW w:w="766" w:type="dxa"/>
                  <w:tcBorders>
                    <w:tl2br w:val="nil"/>
                    <w:tr2bl w:val="nil"/>
                  </w:tcBorders>
                  <w:shd w:val="clear" w:color="auto" w:fill="auto"/>
                  <w:tcMar>
                    <w:top w:w="120" w:type="dxa"/>
                    <w:left w:w="120" w:type="dxa"/>
                    <w:bottom w:w="120" w:type="dxa"/>
                    <w:right w:w="120" w:type="dxa"/>
                  </w:tcMar>
                  <w:vAlign w:val="center"/>
                </w:tcPr>
                <w:p w14:paraId="3BE0C21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120</w:t>
                  </w:r>
                </w:p>
              </w:tc>
              <w:tc>
                <w:tcPr>
                  <w:tcW w:w="1183" w:type="dxa"/>
                  <w:tcBorders>
                    <w:tl2br w:val="nil"/>
                    <w:tr2bl w:val="nil"/>
                  </w:tcBorders>
                  <w:shd w:val="clear" w:color="auto" w:fill="auto"/>
                  <w:tcMar>
                    <w:top w:w="120" w:type="dxa"/>
                    <w:left w:w="120" w:type="dxa"/>
                    <w:bottom w:w="120" w:type="dxa"/>
                    <w:right w:w="120" w:type="dxa"/>
                  </w:tcMar>
                  <w:vAlign w:val="center"/>
                </w:tcPr>
                <w:p w14:paraId="028BA8E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30000</w:t>
                  </w:r>
                </w:p>
              </w:tc>
              <w:tc>
                <w:tcPr>
                  <w:tcW w:w="1178" w:type="dxa"/>
                  <w:tcBorders>
                    <w:tl2br w:val="nil"/>
                    <w:tr2bl w:val="nil"/>
                  </w:tcBorders>
                  <w:shd w:val="clear" w:color="auto" w:fill="auto"/>
                  <w:tcMar>
                    <w:top w:w="120" w:type="dxa"/>
                    <w:left w:w="120" w:type="dxa"/>
                    <w:bottom w:w="120" w:type="dxa"/>
                    <w:right w:w="120" w:type="dxa"/>
                  </w:tcMar>
                  <w:vAlign w:val="center"/>
                </w:tcPr>
                <w:p w14:paraId="4BAD531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24000</w:t>
                  </w:r>
                </w:p>
              </w:tc>
              <w:tc>
                <w:tcPr>
                  <w:tcW w:w="1109" w:type="dxa"/>
                  <w:vMerge w:val="continue"/>
                  <w:tcBorders>
                    <w:tl2br w:val="nil"/>
                    <w:tr2bl w:val="nil"/>
                  </w:tcBorders>
                  <w:shd w:val="clear" w:color="auto" w:fill="auto"/>
                  <w:tcMar>
                    <w:top w:w="120" w:type="dxa"/>
                    <w:left w:w="120" w:type="dxa"/>
                    <w:bottom w:w="120" w:type="dxa"/>
                    <w:right w:w="120" w:type="dxa"/>
                  </w:tcMar>
                  <w:vAlign w:val="center"/>
                </w:tcPr>
                <w:p w14:paraId="129D020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rPr>
                  </w:pPr>
                </w:p>
              </w:tc>
            </w:tr>
            <w:tr w14:paraId="1BD63361">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tcMar>
                    <w:top w:w="120" w:type="dxa"/>
                    <w:left w:w="120" w:type="dxa"/>
                    <w:bottom w:w="120" w:type="dxa"/>
                    <w:right w:w="120" w:type="dxa"/>
                  </w:tcMar>
                  <w:vAlign w:val="center"/>
                </w:tcPr>
                <w:p w14:paraId="2A5F457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w w:val="80"/>
                      <w:sz w:val="18"/>
                      <w:szCs w:val="18"/>
                      <w:highlight w:val="none"/>
                    </w:rPr>
                  </w:pPr>
                  <w:r>
                    <w:rPr>
                      <w:rFonts w:hint="default" w:ascii="Times New Roman" w:hAnsi="Times New Roman" w:cs="Times New Roman"/>
                      <w:b w:val="0"/>
                      <w:bCs/>
                      <w:color w:val="auto"/>
                      <w:w w:val="80"/>
                      <w:sz w:val="18"/>
                      <w:szCs w:val="18"/>
                      <w:highlight w:val="none"/>
                      <w:lang w:val="en-US" w:eastAsia="zh-CN"/>
                    </w:rPr>
                    <w:t>核素治疗区（门诊）</w:t>
                  </w:r>
                </w:p>
              </w:tc>
              <w:tc>
                <w:tcPr>
                  <w:tcW w:w="867" w:type="dxa"/>
                  <w:tcBorders>
                    <w:tl2br w:val="nil"/>
                    <w:tr2bl w:val="nil"/>
                  </w:tcBorders>
                  <w:shd w:val="clear" w:color="auto" w:fill="auto"/>
                  <w:tcMar>
                    <w:top w:w="120" w:type="dxa"/>
                    <w:left w:w="120" w:type="dxa"/>
                    <w:bottom w:w="120" w:type="dxa"/>
                    <w:right w:w="120" w:type="dxa"/>
                  </w:tcMar>
                  <w:vAlign w:val="center"/>
                </w:tcPr>
                <w:p w14:paraId="74C06FC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vertAlign w:val="baseline"/>
                      <w:lang w:val="en-US" w:eastAsia="zh-CN"/>
                    </w:rPr>
                    <w:t>Ra-223</w:t>
                  </w:r>
                </w:p>
              </w:tc>
              <w:tc>
                <w:tcPr>
                  <w:tcW w:w="882" w:type="dxa"/>
                  <w:tcBorders>
                    <w:tl2br w:val="nil"/>
                    <w:tr2bl w:val="nil"/>
                  </w:tcBorders>
                  <w:shd w:val="clear" w:color="auto" w:fill="auto"/>
                  <w:tcMar>
                    <w:top w:w="120" w:type="dxa"/>
                    <w:left w:w="120" w:type="dxa"/>
                    <w:bottom w:w="120" w:type="dxa"/>
                    <w:right w:w="120" w:type="dxa"/>
                  </w:tcMar>
                  <w:vAlign w:val="center"/>
                </w:tcPr>
                <w:p w14:paraId="19C00CE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lang w:val="en-US" w:eastAsia="zh-CN"/>
                    </w:rPr>
                    <w:t>1</w:t>
                  </w:r>
                </w:p>
              </w:tc>
              <w:tc>
                <w:tcPr>
                  <w:tcW w:w="844" w:type="dxa"/>
                  <w:tcBorders>
                    <w:tl2br w:val="nil"/>
                    <w:tr2bl w:val="nil"/>
                  </w:tcBorders>
                  <w:shd w:val="clear" w:color="auto" w:fill="auto"/>
                  <w:tcMar>
                    <w:top w:w="120" w:type="dxa"/>
                    <w:left w:w="120" w:type="dxa"/>
                    <w:bottom w:w="120" w:type="dxa"/>
                    <w:right w:w="120" w:type="dxa"/>
                  </w:tcMar>
                  <w:vAlign w:val="center"/>
                </w:tcPr>
                <w:p w14:paraId="136C9CC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w:t>
                  </w:r>
                </w:p>
              </w:tc>
              <w:tc>
                <w:tcPr>
                  <w:tcW w:w="766" w:type="dxa"/>
                  <w:tcBorders>
                    <w:tl2br w:val="nil"/>
                    <w:tr2bl w:val="nil"/>
                  </w:tcBorders>
                  <w:shd w:val="clear" w:color="auto" w:fill="auto"/>
                  <w:tcMar>
                    <w:top w:w="120" w:type="dxa"/>
                    <w:left w:w="120" w:type="dxa"/>
                    <w:bottom w:w="120" w:type="dxa"/>
                    <w:right w:w="120" w:type="dxa"/>
                  </w:tcMar>
                  <w:vAlign w:val="center"/>
                </w:tcPr>
                <w:p w14:paraId="46F56F3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w:t>
                  </w:r>
                </w:p>
              </w:tc>
              <w:tc>
                <w:tcPr>
                  <w:tcW w:w="1183" w:type="dxa"/>
                  <w:tcBorders>
                    <w:tl2br w:val="nil"/>
                    <w:tr2bl w:val="nil"/>
                  </w:tcBorders>
                  <w:shd w:val="clear" w:color="auto" w:fill="auto"/>
                  <w:tcMar>
                    <w:top w:w="120" w:type="dxa"/>
                    <w:left w:w="120" w:type="dxa"/>
                    <w:bottom w:w="120" w:type="dxa"/>
                    <w:right w:w="120" w:type="dxa"/>
                  </w:tcMar>
                  <w:vAlign w:val="center"/>
                </w:tcPr>
                <w:p w14:paraId="3E7A763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900</w:t>
                  </w:r>
                </w:p>
              </w:tc>
              <w:tc>
                <w:tcPr>
                  <w:tcW w:w="1178" w:type="dxa"/>
                  <w:tcBorders>
                    <w:tl2br w:val="nil"/>
                    <w:tr2bl w:val="nil"/>
                  </w:tcBorders>
                  <w:shd w:val="clear" w:color="auto" w:fill="auto"/>
                  <w:tcMar>
                    <w:top w:w="120" w:type="dxa"/>
                    <w:left w:w="120" w:type="dxa"/>
                    <w:bottom w:w="120" w:type="dxa"/>
                    <w:right w:w="120" w:type="dxa"/>
                  </w:tcMar>
                  <w:vAlign w:val="center"/>
                </w:tcPr>
                <w:p w14:paraId="09C37A9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720</w:t>
                  </w:r>
                </w:p>
              </w:tc>
              <w:tc>
                <w:tcPr>
                  <w:tcW w:w="1109" w:type="dxa"/>
                  <w:vMerge w:val="continue"/>
                  <w:tcBorders>
                    <w:tl2br w:val="nil"/>
                    <w:tr2bl w:val="nil"/>
                  </w:tcBorders>
                  <w:shd w:val="clear" w:color="auto" w:fill="auto"/>
                  <w:tcMar>
                    <w:top w:w="120" w:type="dxa"/>
                    <w:left w:w="120" w:type="dxa"/>
                    <w:bottom w:w="120" w:type="dxa"/>
                    <w:right w:w="120" w:type="dxa"/>
                  </w:tcMar>
                  <w:vAlign w:val="center"/>
                </w:tcPr>
                <w:p w14:paraId="48D701C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rPr>
                  </w:pPr>
                </w:p>
              </w:tc>
            </w:tr>
            <w:tr w14:paraId="7FB707B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tcMar>
                    <w:top w:w="120" w:type="dxa"/>
                    <w:left w:w="120" w:type="dxa"/>
                    <w:bottom w:w="120" w:type="dxa"/>
                    <w:right w:w="120" w:type="dxa"/>
                  </w:tcMar>
                  <w:vAlign w:val="center"/>
                </w:tcPr>
                <w:p w14:paraId="2616260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w w:val="80"/>
                      <w:sz w:val="18"/>
                      <w:szCs w:val="18"/>
                      <w:highlight w:val="none"/>
                    </w:rPr>
                  </w:pPr>
                  <w:r>
                    <w:rPr>
                      <w:rFonts w:hint="default" w:ascii="Times New Roman" w:hAnsi="Times New Roman" w:cs="Times New Roman"/>
                      <w:b w:val="0"/>
                      <w:bCs/>
                      <w:color w:val="auto"/>
                      <w:w w:val="80"/>
                      <w:sz w:val="18"/>
                      <w:szCs w:val="18"/>
                      <w:highlight w:val="none"/>
                      <w:lang w:val="en-US" w:eastAsia="zh-CN"/>
                    </w:rPr>
                    <w:t>核素治疗区（门诊）</w:t>
                  </w:r>
                </w:p>
              </w:tc>
              <w:tc>
                <w:tcPr>
                  <w:tcW w:w="867" w:type="dxa"/>
                  <w:tcBorders>
                    <w:tl2br w:val="nil"/>
                    <w:tr2bl w:val="nil"/>
                  </w:tcBorders>
                  <w:shd w:val="clear" w:color="auto" w:fill="auto"/>
                  <w:tcMar>
                    <w:top w:w="120" w:type="dxa"/>
                    <w:left w:w="120" w:type="dxa"/>
                    <w:bottom w:w="120" w:type="dxa"/>
                    <w:right w:w="120" w:type="dxa"/>
                  </w:tcMar>
                  <w:vAlign w:val="center"/>
                </w:tcPr>
                <w:p w14:paraId="68470C11">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vertAlign w:val="baseline"/>
                      <w:lang w:val="en-US" w:eastAsia="zh-CN"/>
                    </w:rPr>
                    <w:t>Ac-225</w:t>
                  </w:r>
                </w:p>
              </w:tc>
              <w:tc>
                <w:tcPr>
                  <w:tcW w:w="882" w:type="dxa"/>
                  <w:tcBorders>
                    <w:tl2br w:val="nil"/>
                    <w:tr2bl w:val="nil"/>
                  </w:tcBorders>
                  <w:shd w:val="clear" w:color="auto" w:fill="auto"/>
                  <w:tcMar>
                    <w:top w:w="120" w:type="dxa"/>
                    <w:left w:w="120" w:type="dxa"/>
                    <w:bottom w:w="120" w:type="dxa"/>
                    <w:right w:w="120" w:type="dxa"/>
                  </w:tcMar>
                  <w:vAlign w:val="center"/>
                </w:tcPr>
                <w:p w14:paraId="1FAA6F71">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lang w:val="en-US" w:eastAsia="zh-CN"/>
                    </w:rPr>
                    <w:t>1</w:t>
                  </w:r>
                </w:p>
              </w:tc>
              <w:tc>
                <w:tcPr>
                  <w:tcW w:w="844" w:type="dxa"/>
                  <w:tcBorders>
                    <w:tl2br w:val="nil"/>
                    <w:tr2bl w:val="nil"/>
                  </w:tcBorders>
                  <w:shd w:val="clear" w:color="auto" w:fill="auto"/>
                  <w:tcMar>
                    <w:top w:w="120" w:type="dxa"/>
                    <w:left w:w="120" w:type="dxa"/>
                    <w:bottom w:w="120" w:type="dxa"/>
                    <w:right w:w="120" w:type="dxa"/>
                  </w:tcMar>
                  <w:vAlign w:val="center"/>
                </w:tcPr>
                <w:p w14:paraId="06384F5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w:t>
                  </w:r>
                </w:p>
              </w:tc>
              <w:tc>
                <w:tcPr>
                  <w:tcW w:w="766" w:type="dxa"/>
                  <w:tcBorders>
                    <w:tl2br w:val="nil"/>
                    <w:tr2bl w:val="nil"/>
                  </w:tcBorders>
                  <w:shd w:val="clear" w:color="auto" w:fill="auto"/>
                  <w:tcMar>
                    <w:top w:w="120" w:type="dxa"/>
                    <w:left w:w="120" w:type="dxa"/>
                    <w:bottom w:w="120" w:type="dxa"/>
                    <w:right w:w="120" w:type="dxa"/>
                  </w:tcMar>
                  <w:vAlign w:val="center"/>
                </w:tcPr>
                <w:p w14:paraId="1086235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w:t>
                  </w:r>
                </w:p>
              </w:tc>
              <w:tc>
                <w:tcPr>
                  <w:tcW w:w="1183" w:type="dxa"/>
                  <w:tcBorders>
                    <w:tl2br w:val="nil"/>
                    <w:tr2bl w:val="nil"/>
                  </w:tcBorders>
                  <w:shd w:val="clear" w:color="auto" w:fill="auto"/>
                  <w:tcMar>
                    <w:top w:w="120" w:type="dxa"/>
                    <w:left w:w="120" w:type="dxa"/>
                    <w:bottom w:w="120" w:type="dxa"/>
                    <w:right w:w="120" w:type="dxa"/>
                  </w:tcMar>
                  <w:vAlign w:val="center"/>
                </w:tcPr>
                <w:p w14:paraId="7F0E87E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900</w:t>
                  </w:r>
                </w:p>
              </w:tc>
              <w:tc>
                <w:tcPr>
                  <w:tcW w:w="1178" w:type="dxa"/>
                  <w:tcBorders>
                    <w:tl2br w:val="nil"/>
                    <w:tr2bl w:val="nil"/>
                  </w:tcBorders>
                  <w:shd w:val="clear" w:color="auto" w:fill="auto"/>
                  <w:tcMar>
                    <w:top w:w="120" w:type="dxa"/>
                    <w:left w:w="120" w:type="dxa"/>
                    <w:bottom w:w="120" w:type="dxa"/>
                    <w:right w:w="120" w:type="dxa"/>
                  </w:tcMar>
                  <w:vAlign w:val="center"/>
                </w:tcPr>
                <w:p w14:paraId="226F163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720</w:t>
                  </w:r>
                </w:p>
              </w:tc>
              <w:tc>
                <w:tcPr>
                  <w:tcW w:w="1109" w:type="dxa"/>
                  <w:vMerge w:val="continue"/>
                  <w:tcBorders>
                    <w:tl2br w:val="nil"/>
                    <w:tr2bl w:val="nil"/>
                  </w:tcBorders>
                  <w:shd w:val="clear" w:color="auto" w:fill="auto"/>
                  <w:tcMar>
                    <w:top w:w="120" w:type="dxa"/>
                    <w:left w:w="120" w:type="dxa"/>
                    <w:bottom w:w="120" w:type="dxa"/>
                    <w:right w:w="120" w:type="dxa"/>
                  </w:tcMar>
                  <w:vAlign w:val="center"/>
                </w:tcPr>
                <w:p w14:paraId="2DD7A6C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rPr>
                  </w:pPr>
                </w:p>
              </w:tc>
            </w:tr>
            <w:tr w14:paraId="4F8F7E2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tcMar>
                    <w:top w:w="120" w:type="dxa"/>
                    <w:left w:w="120" w:type="dxa"/>
                    <w:bottom w:w="120" w:type="dxa"/>
                    <w:right w:w="120" w:type="dxa"/>
                  </w:tcMar>
                  <w:vAlign w:val="center"/>
                </w:tcPr>
                <w:p w14:paraId="4AAE0E2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w w:val="80"/>
                      <w:sz w:val="18"/>
                      <w:szCs w:val="18"/>
                      <w:highlight w:val="none"/>
                    </w:rPr>
                  </w:pPr>
                  <w:r>
                    <w:rPr>
                      <w:rFonts w:hint="default" w:ascii="Times New Roman" w:hAnsi="Times New Roman" w:cs="Times New Roman"/>
                      <w:b w:val="0"/>
                      <w:bCs/>
                      <w:color w:val="auto"/>
                      <w:w w:val="80"/>
                      <w:sz w:val="18"/>
                      <w:szCs w:val="18"/>
                      <w:highlight w:val="none"/>
                      <w:lang w:val="en-US" w:eastAsia="zh-CN"/>
                    </w:rPr>
                    <w:t>Y-90 介入（住院）</w:t>
                  </w:r>
                </w:p>
              </w:tc>
              <w:tc>
                <w:tcPr>
                  <w:tcW w:w="867" w:type="dxa"/>
                  <w:tcBorders>
                    <w:tl2br w:val="nil"/>
                    <w:tr2bl w:val="nil"/>
                  </w:tcBorders>
                  <w:shd w:val="clear" w:color="auto" w:fill="auto"/>
                  <w:tcMar>
                    <w:top w:w="120" w:type="dxa"/>
                    <w:left w:w="120" w:type="dxa"/>
                    <w:bottom w:w="120" w:type="dxa"/>
                    <w:right w:w="120" w:type="dxa"/>
                  </w:tcMar>
                  <w:vAlign w:val="center"/>
                </w:tcPr>
                <w:p w14:paraId="68006B5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lang w:val="en-US" w:eastAsia="zh-CN"/>
                    </w:rPr>
                    <w:t>Y-90</w:t>
                  </w:r>
                </w:p>
              </w:tc>
              <w:tc>
                <w:tcPr>
                  <w:tcW w:w="882" w:type="dxa"/>
                  <w:tcBorders>
                    <w:tl2br w:val="nil"/>
                    <w:tr2bl w:val="nil"/>
                  </w:tcBorders>
                  <w:shd w:val="clear" w:color="auto" w:fill="auto"/>
                  <w:tcMar>
                    <w:top w:w="120" w:type="dxa"/>
                    <w:left w:w="120" w:type="dxa"/>
                    <w:bottom w:w="120" w:type="dxa"/>
                    <w:right w:w="120" w:type="dxa"/>
                  </w:tcMar>
                  <w:vAlign w:val="center"/>
                </w:tcPr>
                <w:p w14:paraId="5ED1C92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lang w:val="en-US" w:eastAsia="zh-CN"/>
                    </w:rPr>
                    <w:t>1</w:t>
                  </w:r>
                </w:p>
              </w:tc>
              <w:tc>
                <w:tcPr>
                  <w:tcW w:w="844" w:type="dxa"/>
                  <w:tcBorders>
                    <w:tl2br w:val="nil"/>
                    <w:tr2bl w:val="nil"/>
                  </w:tcBorders>
                  <w:shd w:val="clear" w:color="auto" w:fill="auto"/>
                  <w:tcMar>
                    <w:top w:w="120" w:type="dxa"/>
                    <w:left w:w="120" w:type="dxa"/>
                    <w:bottom w:w="120" w:type="dxa"/>
                    <w:right w:w="120" w:type="dxa"/>
                  </w:tcMar>
                  <w:vAlign w:val="center"/>
                </w:tcPr>
                <w:p w14:paraId="078E0631">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w:t>
                  </w:r>
                </w:p>
              </w:tc>
              <w:tc>
                <w:tcPr>
                  <w:tcW w:w="766" w:type="dxa"/>
                  <w:tcBorders>
                    <w:tl2br w:val="nil"/>
                    <w:tr2bl w:val="nil"/>
                  </w:tcBorders>
                  <w:shd w:val="clear" w:color="auto" w:fill="auto"/>
                  <w:tcMar>
                    <w:top w:w="120" w:type="dxa"/>
                    <w:left w:w="120" w:type="dxa"/>
                    <w:bottom w:w="120" w:type="dxa"/>
                    <w:right w:w="120" w:type="dxa"/>
                  </w:tcMar>
                  <w:vAlign w:val="center"/>
                </w:tcPr>
                <w:p w14:paraId="6F50D90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120</w:t>
                  </w:r>
                </w:p>
              </w:tc>
              <w:tc>
                <w:tcPr>
                  <w:tcW w:w="1183" w:type="dxa"/>
                  <w:tcBorders>
                    <w:tl2br w:val="nil"/>
                    <w:tr2bl w:val="nil"/>
                  </w:tcBorders>
                  <w:shd w:val="clear" w:color="auto" w:fill="auto"/>
                  <w:tcMar>
                    <w:top w:w="120" w:type="dxa"/>
                    <w:left w:w="120" w:type="dxa"/>
                    <w:bottom w:w="120" w:type="dxa"/>
                    <w:right w:w="120" w:type="dxa"/>
                  </w:tcMar>
                  <w:vAlign w:val="center"/>
                </w:tcPr>
                <w:p w14:paraId="6001481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3600</w:t>
                  </w:r>
                </w:p>
              </w:tc>
              <w:tc>
                <w:tcPr>
                  <w:tcW w:w="1178" w:type="dxa"/>
                  <w:tcBorders>
                    <w:tl2br w:val="nil"/>
                    <w:tr2bl w:val="nil"/>
                  </w:tcBorders>
                  <w:shd w:val="clear" w:color="auto" w:fill="auto"/>
                  <w:tcMar>
                    <w:top w:w="120" w:type="dxa"/>
                    <w:left w:w="120" w:type="dxa"/>
                    <w:bottom w:w="120" w:type="dxa"/>
                    <w:right w:w="120" w:type="dxa"/>
                  </w:tcMar>
                  <w:vAlign w:val="center"/>
                </w:tcPr>
                <w:p w14:paraId="0A929AF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2880</w:t>
                  </w:r>
                </w:p>
              </w:tc>
              <w:tc>
                <w:tcPr>
                  <w:tcW w:w="1109" w:type="dxa"/>
                  <w:vMerge w:val="continue"/>
                  <w:tcBorders>
                    <w:tl2br w:val="nil"/>
                    <w:tr2bl w:val="nil"/>
                  </w:tcBorders>
                  <w:shd w:val="clear" w:color="auto" w:fill="auto"/>
                  <w:tcMar>
                    <w:top w:w="120" w:type="dxa"/>
                    <w:left w:w="120" w:type="dxa"/>
                    <w:bottom w:w="120" w:type="dxa"/>
                    <w:right w:w="120" w:type="dxa"/>
                  </w:tcMar>
                  <w:vAlign w:val="center"/>
                </w:tcPr>
                <w:p w14:paraId="04F2833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rPr>
                  </w:pPr>
                </w:p>
              </w:tc>
            </w:tr>
            <w:tr w14:paraId="4BD00EB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tcMar>
                    <w:top w:w="120" w:type="dxa"/>
                    <w:left w:w="120" w:type="dxa"/>
                    <w:bottom w:w="120" w:type="dxa"/>
                    <w:right w:w="120" w:type="dxa"/>
                  </w:tcMar>
                  <w:vAlign w:val="center"/>
                </w:tcPr>
                <w:p w14:paraId="364E4AF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w w:val="80"/>
                      <w:sz w:val="18"/>
                      <w:szCs w:val="18"/>
                      <w:highlight w:val="none"/>
                    </w:rPr>
                  </w:pPr>
                  <w:r>
                    <w:rPr>
                      <w:rFonts w:hint="default" w:ascii="Times New Roman" w:hAnsi="Times New Roman" w:cs="Times New Roman"/>
                      <w:b w:val="0"/>
                      <w:bCs/>
                      <w:color w:val="auto"/>
                      <w:w w:val="80"/>
                      <w:sz w:val="18"/>
                      <w:szCs w:val="18"/>
                      <w:highlight w:val="none"/>
                      <w:lang w:val="en-US" w:eastAsia="zh-CN"/>
                    </w:rPr>
                    <w:t>场所清洁</w:t>
                  </w:r>
                </w:p>
              </w:tc>
              <w:tc>
                <w:tcPr>
                  <w:tcW w:w="867" w:type="dxa"/>
                  <w:tcBorders>
                    <w:tl2br w:val="nil"/>
                    <w:tr2bl w:val="nil"/>
                  </w:tcBorders>
                  <w:shd w:val="clear" w:color="auto" w:fill="auto"/>
                  <w:tcMar>
                    <w:top w:w="120" w:type="dxa"/>
                    <w:left w:w="120" w:type="dxa"/>
                    <w:bottom w:w="120" w:type="dxa"/>
                    <w:right w:w="120" w:type="dxa"/>
                  </w:tcMar>
                  <w:vAlign w:val="center"/>
                </w:tcPr>
                <w:p w14:paraId="1CF8828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lang w:val="en-US" w:eastAsia="zh-CN"/>
                    </w:rPr>
                    <w:t>—</w:t>
                  </w:r>
                </w:p>
              </w:tc>
              <w:tc>
                <w:tcPr>
                  <w:tcW w:w="882" w:type="dxa"/>
                  <w:tcBorders>
                    <w:tl2br w:val="nil"/>
                    <w:tr2bl w:val="nil"/>
                  </w:tcBorders>
                  <w:shd w:val="clear" w:color="auto" w:fill="auto"/>
                  <w:tcMar>
                    <w:top w:w="120" w:type="dxa"/>
                    <w:left w:w="120" w:type="dxa"/>
                    <w:bottom w:w="120" w:type="dxa"/>
                    <w:right w:w="120" w:type="dxa"/>
                  </w:tcMar>
                  <w:vAlign w:val="center"/>
                </w:tcPr>
                <w:p w14:paraId="2BB16031">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w:t>
                  </w:r>
                </w:p>
              </w:tc>
              <w:tc>
                <w:tcPr>
                  <w:tcW w:w="844" w:type="dxa"/>
                  <w:tcBorders>
                    <w:tl2br w:val="nil"/>
                    <w:tr2bl w:val="nil"/>
                  </w:tcBorders>
                  <w:shd w:val="clear" w:color="auto" w:fill="auto"/>
                  <w:tcMar>
                    <w:top w:w="120" w:type="dxa"/>
                    <w:left w:w="120" w:type="dxa"/>
                    <w:bottom w:w="120" w:type="dxa"/>
                    <w:right w:w="120" w:type="dxa"/>
                  </w:tcMar>
                  <w:vAlign w:val="center"/>
                </w:tcPr>
                <w:p w14:paraId="7C64FFE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w:t>
                  </w:r>
                </w:p>
              </w:tc>
              <w:tc>
                <w:tcPr>
                  <w:tcW w:w="766" w:type="dxa"/>
                  <w:tcBorders>
                    <w:tl2br w:val="nil"/>
                    <w:tr2bl w:val="nil"/>
                  </w:tcBorders>
                  <w:shd w:val="clear" w:color="auto" w:fill="auto"/>
                  <w:tcMar>
                    <w:top w:w="120" w:type="dxa"/>
                    <w:left w:w="120" w:type="dxa"/>
                    <w:bottom w:w="120" w:type="dxa"/>
                    <w:right w:w="120" w:type="dxa"/>
                  </w:tcMar>
                  <w:vAlign w:val="center"/>
                </w:tcPr>
                <w:p w14:paraId="3223B54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100</w:t>
                  </w:r>
                </w:p>
              </w:tc>
              <w:tc>
                <w:tcPr>
                  <w:tcW w:w="1183" w:type="dxa"/>
                  <w:tcBorders>
                    <w:tl2br w:val="nil"/>
                    <w:tr2bl w:val="nil"/>
                  </w:tcBorders>
                  <w:shd w:val="clear" w:color="auto" w:fill="auto"/>
                  <w:tcMar>
                    <w:top w:w="120" w:type="dxa"/>
                    <w:left w:w="120" w:type="dxa"/>
                    <w:bottom w:w="120" w:type="dxa"/>
                    <w:right w:w="120" w:type="dxa"/>
                  </w:tcMar>
                  <w:vAlign w:val="center"/>
                </w:tcPr>
                <w:p w14:paraId="351A3E3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25000</w:t>
                  </w:r>
                </w:p>
              </w:tc>
              <w:tc>
                <w:tcPr>
                  <w:tcW w:w="1178" w:type="dxa"/>
                  <w:tcBorders>
                    <w:tl2br w:val="nil"/>
                    <w:tr2bl w:val="nil"/>
                  </w:tcBorders>
                  <w:shd w:val="clear" w:color="auto" w:fill="auto"/>
                  <w:tcMar>
                    <w:top w:w="120" w:type="dxa"/>
                    <w:left w:w="120" w:type="dxa"/>
                    <w:bottom w:w="120" w:type="dxa"/>
                    <w:right w:w="120" w:type="dxa"/>
                  </w:tcMar>
                  <w:vAlign w:val="center"/>
                </w:tcPr>
                <w:p w14:paraId="5BC7D16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20000</w:t>
                  </w:r>
                </w:p>
              </w:tc>
              <w:tc>
                <w:tcPr>
                  <w:tcW w:w="1109" w:type="dxa"/>
                  <w:vMerge w:val="continue"/>
                  <w:tcBorders>
                    <w:tl2br w:val="nil"/>
                    <w:tr2bl w:val="nil"/>
                  </w:tcBorders>
                  <w:shd w:val="clear" w:color="auto" w:fill="auto"/>
                  <w:tcMar>
                    <w:top w:w="120" w:type="dxa"/>
                    <w:left w:w="120" w:type="dxa"/>
                    <w:bottom w:w="120" w:type="dxa"/>
                    <w:right w:w="120" w:type="dxa"/>
                  </w:tcMar>
                  <w:vAlign w:val="center"/>
                </w:tcPr>
                <w:p w14:paraId="746AAE5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27AD556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vMerge w:val="restart"/>
                  <w:tcBorders>
                    <w:tl2br w:val="nil"/>
                    <w:tr2bl w:val="nil"/>
                  </w:tcBorders>
                  <w:shd w:val="clear" w:color="auto" w:fill="auto"/>
                  <w:tcMar>
                    <w:top w:w="120" w:type="dxa"/>
                    <w:left w:w="120" w:type="dxa"/>
                    <w:bottom w:w="120" w:type="dxa"/>
                    <w:right w:w="120" w:type="dxa"/>
                  </w:tcMar>
                  <w:vAlign w:val="center"/>
                </w:tcPr>
                <w:p w14:paraId="15F6349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w w:val="80"/>
                      <w:sz w:val="18"/>
                      <w:szCs w:val="18"/>
                      <w:highlight w:val="none"/>
                      <w:lang w:val="en-US"/>
                    </w:rPr>
                  </w:pPr>
                  <w:r>
                    <w:rPr>
                      <w:rFonts w:hint="default" w:ascii="Times New Roman" w:hAnsi="Times New Roman" w:cs="Times New Roman"/>
                      <w:b w:val="0"/>
                      <w:bCs/>
                      <w:color w:val="auto"/>
                      <w:w w:val="80"/>
                      <w:sz w:val="18"/>
                      <w:szCs w:val="18"/>
                      <w:highlight w:val="none"/>
                      <w:lang w:val="en-US" w:eastAsia="zh-CN"/>
                    </w:rPr>
                    <w:t>小计</w:t>
                  </w:r>
                  <w:r>
                    <w:rPr>
                      <w:rFonts w:hint="default" w:ascii="Times New Roman" w:hAnsi="Times New Roman" w:eastAsia="宋体" w:cs="Times New Roman"/>
                      <w:b w:val="0"/>
                      <w:bCs/>
                      <w:color w:val="auto"/>
                      <w:w w:val="80"/>
                      <w:sz w:val="18"/>
                      <w:szCs w:val="18"/>
                      <w:highlight w:val="none"/>
                      <w:lang w:val="en-US" w:eastAsia="zh-CN"/>
                    </w:rPr>
                    <w:t>①</w:t>
                  </w:r>
                </w:p>
              </w:tc>
              <w:tc>
                <w:tcPr>
                  <w:tcW w:w="867" w:type="dxa"/>
                  <w:vMerge w:val="restart"/>
                  <w:tcBorders>
                    <w:tl2br w:val="nil"/>
                    <w:tr2bl w:val="nil"/>
                  </w:tcBorders>
                  <w:shd w:val="clear" w:color="auto" w:fill="auto"/>
                  <w:tcMar>
                    <w:top w:w="120" w:type="dxa"/>
                    <w:left w:w="120" w:type="dxa"/>
                    <w:bottom w:w="120" w:type="dxa"/>
                    <w:right w:w="120" w:type="dxa"/>
                  </w:tcMar>
                  <w:vAlign w:val="center"/>
                </w:tcPr>
                <w:p w14:paraId="69AE0DC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lang w:val="en-US" w:eastAsia="zh-CN"/>
                    </w:rPr>
                    <w:t>—</w:t>
                  </w:r>
                </w:p>
              </w:tc>
              <w:tc>
                <w:tcPr>
                  <w:tcW w:w="882" w:type="dxa"/>
                  <w:vMerge w:val="restart"/>
                  <w:tcBorders>
                    <w:tl2br w:val="nil"/>
                    <w:tr2bl w:val="nil"/>
                  </w:tcBorders>
                  <w:shd w:val="clear" w:color="auto" w:fill="auto"/>
                  <w:tcMar>
                    <w:top w:w="120" w:type="dxa"/>
                    <w:left w:w="120" w:type="dxa"/>
                    <w:bottom w:w="120" w:type="dxa"/>
                    <w:right w:w="120" w:type="dxa"/>
                  </w:tcMar>
                  <w:vAlign w:val="center"/>
                </w:tcPr>
                <w:p w14:paraId="2B773ED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rPr>
                  </w:pPr>
                  <w:r>
                    <w:rPr>
                      <w:rFonts w:hint="default" w:ascii="Times New Roman" w:hAnsi="Times New Roman" w:cs="Times New Roman"/>
                      <w:b w:val="0"/>
                      <w:bCs/>
                      <w:color w:val="auto"/>
                      <w:sz w:val="18"/>
                      <w:szCs w:val="18"/>
                      <w:highlight w:val="none"/>
                      <w:lang w:val="en-US" w:eastAsia="zh-CN"/>
                    </w:rPr>
                    <w:t>—</w:t>
                  </w:r>
                </w:p>
              </w:tc>
              <w:tc>
                <w:tcPr>
                  <w:tcW w:w="844" w:type="dxa"/>
                  <w:vMerge w:val="restart"/>
                  <w:tcBorders>
                    <w:tl2br w:val="nil"/>
                    <w:tr2bl w:val="nil"/>
                  </w:tcBorders>
                  <w:shd w:val="clear" w:color="auto" w:fill="auto"/>
                  <w:tcMar>
                    <w:top w:w="120" w:type="dxa"/>
                    <w:left w:w="120" w:type="dxa"/>
                    <w:bottom w:w="120" w:type="dxa"/>
                    <w:right w:w="120" w:type="dxa"/>
                  </w:tcMar>
                  <w:vAlign w:val="center"/>
                </w:tcPr>
                <w:p w14:paraId="5F12256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w:t>
                  </w:r>
                </w:p>
              </w:tc>
              <w:tc>
                <w:tcPr>
                  <w:tcW w:w="766" w:type="dxa"/>
                  <w:vMerge w:val="restart"/>
                  <w:tcBorders>
                    <w:tl2br w:val="nil"/>
                    <w:tr2bl w:val="nil"/>
                  </w:tcBorders>
                  <w:shd w:val="clear" w:color="auto" w:fill="auto"/>
                  <w:tcMar>
                    <w:top w:w="120" w:type="dxa"/>
                    <w:left w:w="120" w:type="dxa"/>
                    <w:bottom w:w="120" w:type="dxa"/>
                    <w:right w:w="120" w:type="dxa"/>
                  </w:tcMar>
                  <w:vAlign w:val="center"/>
                </w:tcPr>
                <w:p w14:paraId="0CD21CD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w:t>
                  </w:r>
                </w:p>
              </w:tc>
              <w:tc>
                <w:tcPr>
                  <w:tcW w:w="1183" w:type="dxa"/>
                  <w:tcBorders>
                    <w:tl2br w:val="nil"/>
                    <w:tr2bl w:val="nil"/>
                  </w:tcBorders>
                  <w:shd w:val="clear" w:color="auto" w:fill="auto"/>
                  <w:tcMar>
                    <w:top w:w="120" w:type="dxa"/>
                    <w:left w:w="120" w:type="dxa"/>
                    <w:bottom w:w="120" w:type="dxa"/>
                    <w:right w:w="120" w:type="dxa"/>
                  </w:tcMar>
                  <w:vAlign w:val="center"/>
                </w:tcPr>
                <w:p w14:paraId="2026022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1020400</w:t>
                  </w:r>
                </w:p>
              </w:tc>
              <w:tc>
                <w:tcPr>
                  <w:tcW w:w="1178" w:type="dxa"/>
                  <w:tcBorders>
                    <w:tl2br w:val="nil"/>
                    <w:tr2bl w:val="nil"/>
                  </w:tcBorders>
                  <w:shd w:val="clear" w:color="auto" w:fill="auto"/>
                  <w:tcMar>
                    <w:top w:w="120" w:type="dxa"/>
                    <w:left w:w="120" w:type="dxa"/>
                    <w:bottom w:w="120" w:type="dxa"/>
                    <w:right w:w="120" w:type="dxa"/>
                  </w:tcMar>
                  <w:vAlign w:val="center"/>
                </w:tcPr>
                <w:p w14:paraId="26F2858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816320</w:t>
                  </w:r>
                </w:p>
              </w:tc>
              <w:tc>
                <w:tcPr>
                  <w:tcW w:w="1109" w:type="dxa"/>
                  <w:vMerge w:val="continue"/>
                  <w:tcBorders>
                    <w:tl2br w:val="nil"/>
                    <w:tr2bl w:val="nil"/>
                  </w:tcBorders>
                  <w:shd w:val="clear" w:color="auto" w:fill="auto"/>
                  <w:tcMar>
                    <w:top w:w="120" w:type="dxa"/>
                    <w:left w:w="120" w:type="dxa"/>
                    <w:bottom w:w="120" w:type="dxa"/>
                    <w:right w:w="120" w:type="dxa"/>
                  </w:tcMar>
                  <w:vAlign w:val="center"/>
                </w:tcPr>
                <w:p w14:paraId="2A7E9A3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rPr>
                  </w:pPr>
                </w:p>
              </w:tc>
            </w:tr>
            <w:tr w14:paraId="12ACCA3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vMerge w:val="continue"/>
                  <w:tcBorders>
                    <w:tl2br w:val="nil"/>
                    <w:tr2bl w:val="nil"/>
                  </w:tcBorders>
                  <w:shd w:val="clear" w:color="auto" w:fill="auto"/>
                  <w:tcMar>
                    <w:top w:w="120" w:type="dxa"/>
                    <w:left w:w="120" w:type="dxa"/>
                    <w:bottom w:w="120" w:type="dxa"/>
                    <w:right w:w="120" w:type="dxa"/>
                  </w:tcMar>
                  <w:vAlign w:val="center"/>
                </w:tcPr>
                <w:p w14:paraId="78F1E40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w w:val="80"/>
                      <w:sz w:val="18"/>
                      <w:szCs w:val="18"/>
                      <w:highlight w:val="none"/>
                      <w:lang w:val="en-US" w:eastAsia="zh-CN"/>
                    </w:rPr>
                  </w:pPr>
                </w:p>
              </w:tc>
              <w:tc>
                <w:tcPr>
                  <w:tcW w:w="867" w:type="dxa"/>
                  <w:vMerge w:val="continue"/>
                  <w:tcBorders>
                    <w:tl2br w:val="nil"/>
                    <w:tr2bl w:val="nil"/>
                  </w:tcBorders>
                  <w:shd w:val="clear" w:color="auto" w:fill="auto"/>
                  <w:tcMar>
                    <w:top w:w="120" w:type="dxa"/>
                    <w:left w:w="120" w:type="dxa"/>
                    <w:bottom w:w="120" w:type="dxa"/>
                    <w:right w:w="120" w:type="dxa"/>
                  </w:tcMar>
                  <w:vAlign w:val="center"/>
                </w:tcPr>
                <w:p w14:paraId="16EF7F1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p>
              </w:tc>
              <w:tc>
                <w:tcPr>
                  <w:tcW w:w="882" w:type="dxa"/>
                  <w:vMerge w:val="continue"/>
                  <w:tcBorders>
                    <w:tl2br w:val="nil"/>
                    <w:tr2bl w:val="nil"/>
                  </w:tcBorders>
                  <w:shd w:val="clear" w:color="auto" w:fill="auto"/>
                  <w:tcMar>
                    <w:top w:w="120" w:type="dxa"/>
                    <w:left w:w="120" w:type="dxa"/>
                    <w:bottom w:w="120" w:type="dxa"/>
                    <w:right w:w="120" w:type="dxa"/>
                  </w:tcMar>
                  <w:vAlign w:val="center"/>
                </w:tcPr>
                <w:p w14:paraId="5339860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p>
              </w:tc>
              <w:tc>
                <w:tcPr>
                  <w:tcW w:w="844" w:type="dxa"/>
                  <w:vMerge w:val="continue"/>
                  <w:tcBorders>
                    <w:tl2br w:val="nil"/>
                    <w:tr2bl w:val="nil"/>
                  </w:tcBorders>
                  <w:shd w:val="clear" w:color="auto" w:fill="auto"/>
                  <w:tcMar>
                    <w:top w:w="120" w:type="dxa"/>
                    <w:left w:w="120" w:type="dxa"/>
                    <w:bottom w:w="120" w:type="dxa"/>
                    <w:right w:w="120" w:type="dxa"/>
                  </w:tcMar>
                  <w:vAlign w:val="center"/>
                </w:tcPr>
                <w:p w14:paraId="217AF87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p>
              </w:tc>
              <w:tc>
                <w:tcPr>
                  <w:tcW w:w="766" w:type="dxa"/>
                  <w:vMerge w:val="continue"/>
                  <w:tcBorders>
                    <w:tl2br w:val="nil"/>
                    <w:tr2bl w:val="nil"/>
                  </w:tcBorders>
                  <w:shd w:val="clear" w:color="auto" w:fill="auto"/>
                  <w:tcMar>
                    <w:top w:w="120" w:type="dxa"/>
                    <w:left w:w="120" w:type="dxa"/>
                    <w:bottom w:w="120" w:type="dxa"/>
                    <w:right w:w="120" w:type="dxa"/>
                  </w:tcMar>
                  <w:vAlign w:val="center"/>
                </w:tcPr>
                <w:p w14:paraId="1482497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p>
              </w:tc>
              <w:tc>
                <w:tcPr>
                  <w:tcW w:w="1183" w:type="dxa"/>
                  <w:tcBorders>
                    <w:tl2br w:val="nil"/>
                    <w:tr2bl w:val="nil"/>
                  </w:tcBorders>
                  <w:shd w:val="clear" w:color="auto" w:fill="auto"/>
                  <w:tcMar>
                    <w:top w:w="120" w:type="dxa"/>
                    <w:left w:w="120" w:type="dxa"/>
                    <w:bottom w:w="120" w:type="dxa"/>
                    <w:right w:w="120" w:type="dxa"/>
                  </w:tcMar>
                  <w:vAlign w:val="center"/>
                </w:tcPr>
                <w:p w14:paraId="4EEF79F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1020.4m</w:t>
                  </w:r>
                  <w:r>
                    <w:rPr>
                      <w:rFonts w:hint="default" w:ascii="Times New Roman" w:hAnsi="Times New Roman" w:eastAsia="宋体" w:cs="Times New Roman"/>
                      <w:b w:val="0"/>
                      <w:bCs/>
                      <w:color w:val="auto"/>
                      <w:sz w:val="18"/>
                      <w:szCs w:val="18"/>
                      <w:highlight w:val="none"/>
                      <w:vertAlign w:val="superscript"/>
                      <w:lang w:val="en-US" w:eastAsia="zh-CN"/>
                    </w:rPr>
                    <w:t>3</w:t>
                  </w:r>
                </w:p>
              </w:tc>
              <w:tc>
                <w:tcPr>
                  <w:tcW w:w="1178" w:type="dxa"/>
                  <w:tcBorders>
                    <w:tl2br w:val="nil"/>
                    <w:tr2bl w:val="nil"/>
                  </w:tcBorders>
                  <w:shd w:val="clear" w:color="auto" w:fill="auto"/>
                  <w:tcMar>
                    <w:top w:w="120" w:type="dxa"/>
                    <w:left w:w="120" w:type="dxa"/>
                    <w:bottom w:w="120" w:type="dxa"/>
                    <w:right w:w="120" w:type="dxa"/>
                  </w:tcMar>
                  <w:vAlign w:val="center"/>
                </w:tcPr>
                <w:p w14:paraId="7DFD71F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eastAsia="宋体" w:cs="Times New Roman"/>
                      <w:b w:val="0"/>
                      <w:bCs/>
                      <w:color w:val="auto"/>
                      <w:sz w:val="18"/>
                      <w:szCs w:val="18"/>
                      <w:highlight w:val="none"/>
                      <w:lang w:val="en-US" w:eastAsia="zh-CN"/>
                    </w:rPr>
                    <w:t>816.32m</w:t>
                  </w:r>
                  <w:r>
                    <w:rPr>
                      <w:rFonts w:hint="default" w:ascii="Times New Roman" w:hAnsi="Times New Roman" w:eastAsia="宋体" w:cs="Times New Roman"/>
                      <w:b w:val="0"/>
                      <w:bCs/>
                      <w:color w:val="auto"/>
                      <w:sz w:val="18"/>
                      <w:szCs w:val="18"/>
                      <w:highlight w:val="none"/>
                      <w:vertAlign w:val="superscript"/>
                      <w:lang w:val="en-US" w:eastAsia="zh-CN"/>
                    </w:rPr>
                    <w:t>3</w:t>
                  </w:r>
                </w:p>
              </w:tc>
              <w:tc>
                <w:tcPr>
                  <w:tcW w:w="1109" w:type="dxa"/>
                  <w:vMerge w:val="continue"/>
                  <w:tcBorders>
                    <w:tl2br w:val="nil"/>
                    <w:tr2bl w:val="nil"/>
                  </w:tcBorders>
                  <w:shd w:val="clear" w:color="auto" w:fill="auto"/>
                  <w:tcMar>
                    <w:top w:w="120" w:type="dxa"/>
                    <w:left w:w="120" w:type="dxa"/>
                    <w:bottom w:w="120" w:type="dxa"/>
                    <w:right w:w="120" w:type="dxa"/>
                  </w:tcMar>
                  <w:vAlign w:val="center"/>
                </w:tcPr>
                <w:p w14:paraId="4CAB5B5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p>
              </w:tc>
            </w:tr>
            <w:tr w14:paraId="0F6FF26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tcMar>
                    <w:top w:w="120" w:type="dxa"/>
                    <w:left w:w="120" w:type="dxa"/>
                    <w:bottom w:w="120" w:type="dxa"/>
                    <w:right w:w="120" w:type="dxa"/>
                  </w:tcMar>
                  <w:vAlign w:val="center"/>
                </w:tcPr>
                <w:p w14:paraId="68E2E88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18"/>
                      <w:szCs w:val="18"/>
                      <w:highlight w:val="none"/>
                      <w:lang w:val="en-US" w:eastAsia="zh-CN" w:bidi="ar-SA"/>
                    </w:rPr>
                  </w:pPr>
                  <w:r>
                    <w:rPr>
                      <w:rFonts w:hint="default" w:ascii="Times New Roman" w:hAnsi="Times New Roman" w:cs="Times New Roman"/>
                      <w:b w:val="0"/>
                      <w:bCs/>
                      <w:color w:val="auto"/>
                      <w:w w:val="80"/>
                      <w:sz w:val="18"/>
                      <w:szCs w:val="18"/>
                      <w:highlight w:val="none"/>
                      <w:lang w:val="en-US" w:eastAsia="zh-CN"/>
                    </w:rPr>
                    <w:t>PET 诊断区（门诊）</w:t>
                  </w:r>
                </w:p>
              </w:tc>
              <w:tc>
                <w:tcPr>
                  <w:tcW w:w="867" w:type="dxa"/>
                  <w:tcBorders>
                    <w:tl2br w:val="nil"/>
                    <w:tr2bl w:val="nil"/>
                  </w:tcBorders>
                  <w:shd w:val="clear" w:color="auto" w:fill="auto"/>
                  <w:tcMar>
                    <w:top w:w="120" w:type="dxa"/>
                    <w:left w:w="120" w:type="dxa"/>
                    <w:bottom w:w="120" w:type="dxa"/>
                    <w:right w:w="120" w:type="dxa"/>
                  </w:tcMar>
                  <w:vAlign w:val="center"/>
                </w:tcPr>
                <w:p w14:paraId="705C687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vertAlign w:val="baseline"/>
                      <w:lang w:val="en-US" w:eastAsia="zh-CN"/>
                    </w:rPr>
                    <w:t>F-18</w:t>
                  </w:r>
                </w:p>
              </w:tc>
              <w:tc>
                <w:tcPr>
                  <w:tcW w:w="882" w:type="dxa"/>
                  <w:tcBorders>
                    <w:tl2br w:val="nil"/>
                    <w:tr2bl w:val="nil"/>
                  </w:tcBorders>
                  <w:shd w:val="clear" w:color="auto" w:fill="auto"/>
                  <w:tcMar>
                    <w:top w:w="120" w:type="dxa"/>
                    <w:left w:w="120" w:type="dxa"/>
                    <w:bottom w:w="120" w:type="dxa"/>
                    <w:right w:w="120" w:type="dxa"/>
                  </w:tcMar>
                  <w:vAlign w:val="center"/>
                </w:tcPr>
                <w:p w14:paraId="3660185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50</w:t>
                  </w:r>
                </w:p>
              </w:tc>
              <w:tc>
                <w:tcPr>
                  <w:tcW w:w="844" w:type="dxa"/>
                  <w:tcBorders>
                    <w:tl2br w:val="nil"/>
                    <w:tr2bl w:val="nil"/>
                  </w:tcBorders>
                  <w:shd w:val="clear" w:color="auto" w:fill="auto"/>
                  <w:tcMar>
                    <w:top w:w="120" w:type="dxa"/>
                    <w:left w:w="120" w:type="dxa"/>
                    <w:bottom w:w="120" w:type="dxa"/>
                    <w:right w:w="120" w:type="dxa"/>
                  </w:tcMar>
                  <w:vAlign w:val="center"/>
                </w:tcPr>
                <w:p w14:paraId="2EB7472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w:t>
                  </w:r>
                </w:p>
              </w:tc>
              <w:tc>
                <w:tcPr>
                  <w:tcW w:w="766" w:type="dxa"/>
                  <w:tcBorders>
                    <w:tl2br w:val="nil"/>
                    <w:tr2bl w:val="nil"/>
                  </w:tcBorders>
                  <w:shd w:val="clear" w:color="auto" w:fill="auto"/>
                  <w:tcMar>
                    <w:top w:w="120" w:type="dxa"/>
                    <w:left w:w="120" w:type="dxa"/>
                    <w:bottom w:w="120" w:type="dxa"/>
                    <w:right w:w="120" w:type="dxa"/>
                  </w:tcMar>
                  <w:vAlign w:val="center"/>
                </w:tcPr>
                <w:p w14:paraId="02F9E92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w:t>
                  </w:r>
                </w:p>
              </w:tc>
              <w:tc>
                <w:tcPr>
                  <w:tcW w:w="1183" w:type="dxa"/>
                  <w:tcBorders>
                    <w:tl2br w:val="nil"/>
                    <w:tr2bl w:val="nil"/>
                  </w:tcBorders>
                  <w:shd w:val="clear" w:color="auto" w:fill="auto"/>
                  <w:tcMar>
                    <w:top w:w="120" w:type="dxa"/>
                    <w:left w:w="120" w:type="dxa"/>
                    <w:bottom w:w="120" w:type="dxa"/>
                    <w:right w:w="120" w:type="dxa"/>
                  </w:tcMar>
                  <w:vAlign w:val="center"/>
                </w:tcPr>
                <w:p w14:paraId="42FC8FA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375000</w:t>
                  </w:r>
                </w:p>
              </w:tc>
              <w:tc>
                <w:tcPr>
                  <w:tcW w:w="1178" w:type="dxa"/>
                  <w:tcBorders>
                    <w:tl2br w:val="nil"/>
                    <w:tr2bl w:val="nil"/>
                  </w:tcBorders>
                  <w:shd w:val="clear" w:color="auto" w:fill="auto"/>
                  <w:tcMar>
                    <w:top w:w="120" w:type="dxa"/>
                    <w:left w:w="120" w:type="dxa"/>
                    <w:bottom w:w="120" w:type="dxa"/>
                    <w:right w:w="120" w:type="dxa"/>
                  </w:tcMar>
                  <w:vAlign w:val="center"/>
                </w:tcPr>
                <w:p w14:paraId="6EE5FEC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300000</w:t>
                  </w:r>
                </w:p>
              </w:tc>
              <w:tc>
                <w:tcPr>
                  <w:tcW w:w="1109" w:type="dxa"/>
                  <w:vMerge w:val="restart"/>
                  <w:tcBorders>
                    <w:tl2br w:val="nil"/>
                    <w:tr2bl w:val="nil"/>
                  </w:tcBorders>
                  <w:shd w:val="clear" w:color="auto" w:fill="auto"/>
                  <w:tcMar>
                    <w:top w:w="120" w:type="dxa"/>
                    <w:left w:w="120" w:type="dxa"/>
                    <w:bottom w:w="120" w:type="dxa"/>
                    <w:right w:w="120" w:type="dxa"/>
                  </w:tcMar>
                  <w:vAlign w:val="center"/>
                </w:tcPr>
                <w:p w14:paraId="033C96B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r>
                    <w:rPr>
                      <w:rFonts w:hint="default" w:ascii="Times New Roman" w:hAnsi="Times New Roman" w:cs="Times New Roman"/>
                      <w:b w:val="0"/>
                      <w:bCs/>
                      <w:color w:val="auto"/>
                      <w:sz w:val="20"/>
                      <w:szCs w:val="20"/>
                      <w:highlight w:val="none"/>
                      <w:lang w:val="en-US" w:eastAsia="zh-CN"/>
                    </w:rPr>
                    <w:t>短</w:t>
                  </w:r>
                </w:p>
              </w:tc>
            </w:tr>
            <w:tr w14:paraId="2CAEF04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vAlign w:val="center"/>
                </w:tcPr>
                <w:p w14:paraId="3D060E7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18"/>
                      <w:szCs w:val="18"/>
                      <w:highlight w:val="none"/>
                      <w:lang w:val="en-US" w:eastAsia="zh-CN" w:bidi="ar-SA"/>
                    </w:rPr>
                  </w:pPr>
                  <w:r>
                    <w:rPr>
                      <w:rFonts w:hint="default" w:ascii="Times New Roman" w:hAnsi="Times New Roman" w:cs="Times New Roman"/>
                      <w:b w:val="0"/>
                      <w:bCs/>
                      <w:color w:val="auto"/>
                      <w:w w:val="80"/>
                      <w:sz w:val="18"/>
                      <w:szCs w:val="18"/>
                      <w:highlight w:val="none"/>
                      <w:lang w:val="en-US" w:eastAsia="zh-CN"/>
                    </w:rPr>
                    <w:t>PET 诊断区（门诊）</w:t>
                  </w:r>
                </w:p>
              </w:tc>
              <w:tc>
                <w:tcPr>
                  <w:tcW w:w="867" w:type="dxa"/>
                  <w:tcBorders>
                    <w:tl2br w:val="nil"/>
                    <w:tr2bl w:val="nil"/>
                  </w:tcBorders>
                  <w:shd w:val="clear" w:color="auto" w:fill="auto"/>
                  <w:vAlign w:val="center"/>
                </w:tcPr>
                <w:p w14:paraId="7589709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Ga-68</w:t>
                  </w:r>
                </w:p>
              </w:tc>
              <w:tc>
                <w:tcPr>
                  <w:tcW w:w="882" w:type="dxa"/>
                  <w:tcBorders>
                    <w:tl2br w:val="nil"/>
                    <w:tr2bl w:val="nil"/>
                  </w:tcBorders>
                  <w:shd w:val="clear" w:color="auto" w:fill="auto"/>
                  <w:vAlign w:val="center"/>
                </w:tcPr>
                <w:p w14:paraId="3B21E0B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25</w:t>
                  </w:r>
                </w:p>
              </w:tc>
              <w:tc>
                <w:tcPr>
                  <w:tcW w:w="844" w:type="dxa"/>
                  <w:tcBorders>
                    <w:tl2br w:val="nil"/>
                    <w:tr2bl w:val="nil"/>
                  </w:tcBorders>
                  <w:shd w:val="clear" w:color="auto" w:fill="auto"/>
                  <w:vAlign w:val="center"/>
                </w:tcPr>
                <w:p w14:paraId="65F1B9E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w:t>
                  </w:r>
                </w:p>
              </w:tc>
              <w:tc>
                <w:tcPr>
                  <w:tcW w:w="766" w:type="dxa"/>
                  <w:tcBorders>
                    <w:tl2br w:val="nil"/>
                    <w:tr2bl w:val="nil"/>
                  </w:tcBorders>
                  <w:shd w:val="clear" w:color="auto" w:fill="auto"/>
                  <w:vAlign w:val="center"/>
                </w:tcPr>
                <w:p w14:paraId="3D831C1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w:t>
                  </w:r>
                </w:p>
              </w:tc>
              <w:tc>
                <w:tcPr>
                  <w:tcW w:w="1183" w:type="dxa"/>
                  <w:tcBorders>
                    <w:tl2br w:val="nil"/>
                    <w:tr2bl w:val="nil"/>
                  </w:tcBorders>
                  <w:shd w:val="clear" w:color="auto" w:fill="auto"/>
                  <w:vAlign w:val="center"/>
                </w:tcPr>
                <w:p w14:paraId="3C45A17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187500</w:t>
                  </w:r>
                </w:p>
              </w:tc>
              <w:tc>
                <w:tcPr>
                  <w:tcW w:w="1178" w:type="dxa"/>
                  <w:tcBorders>
                    <w:tl2br w:val="nil"/>
                    <w:tr2bl w:val="nil"/>
                  </w:tcBorders>
                  <w:shd w:val="clear" w:color="auto" w:fill="auto"/>
                  <w:vAlign w:val="center"/>
                </w:tcPr>
                <w:p w14:paraId="1DD358F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150000</w:t>
                  </w:r>
                </w:p>
              </w:tc>
              <w:tc>
                <w:tcPr>
                  <w:tcW w:w="1109" w:type="dxa"/>
                  <w:vMerge w:val="continue"/>
                  <w:tcBorders>
                    <w:tl2br w:val="nil"/>
                    <w:tr2bl w:val="nil"/>
                  </w:tcBorders>
                  <w:shd w:val="clear" w:color="auto" w:fill="auto"/>
                  <w:vAlign w:val="center"/>
                </w:tcPr>
                <w:p w14:paraId="275B719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491DC50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vAlign w:val="center"/>
                </w:tcPr>
                <w:p w14:paraId="5151764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18"/>
                      <w:szCs w:val="18"/>
                      <w:highlight w:val="none"/>
                      <w:lang w:val="en-US" w:eastAsia="zh-CN" w:bidi="ar-SA"/>
                    </w:rPr>
                  </w:pPr>
                  <w:r>
                    <w:rPr>
                      <w:rFonts w:hint="default" w:ascii="Times New Roman" w:hAnsi="Times New Roman" w:cs="Times New Roman"/>
                      <w:b w:val="0"/>
                      <w:bCs/>
                      <w:color w:val="auto"/>
                      <w:w w:val="80"/>
                      <w:sz w:val="18"/>
                      <w:szCs w:val="18"/>
                      <w:highlight w:val="none"/>
                      <w:lang w:val="en-US" w:eastAsia="zh-CN"/>
                    </w:rPr>
                    <w:t>PET 诊断区（门诊）</w:t>
                  </w:r>
                </w:p>
              </w:tc>
              <w:tc>
                <w:tcPr>
                  <w:tcW w:w="867" w:type="dxa"/>
                  <w:tcBorders>
                    <w:tl2br w:val="nil"/>
                    <w:tr2bl w:val="nil"/>
                  </w:tcBorders>
                  <w:shd w:val="clear" w:color="auto" w:fill="auto"/>
                  <w:vAlign w:val="center"/>
                </w:tcPr>
                <w:p w14:paraId="491A6BB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C-11</w:t>
                  </w:r>
                </w:p>
              </w:tc>
              <w:tc>
                <w:tcPr>
                  <w:tcW w:w="882" w:type="dxa"/>
                  <w:tcBorders>
                    <w:tl2br w:val="nil"/>
                    <w:tr2bl w:val="nil"/>
                  </w:tcBorders>
                  <w:shd w:val="clear" w:color="auto" w:fill="auto"/>
                  <w:vAlign w:val="center"/>
                </w:tcPr>
                <w:p w14:paraId="4C38CDA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10</w:t>
                  </w:r>
                </w:p>
              </w:tc>
              <w:tc>
                <w:tcPr>
                  <w:tcW w:w="844" w:type="dxa"/>
                  <w:tcBorders>
                    <w:tl2br w:val="nil"/>
                    <w:tr2bl w:val="nil"/>
                  </w:tcBorders>
                  <w:shd w:val="clear" w:color="auto" w:fill="auto"/>
                  <w:vAlign w:val="center"/>
                </w:tcPr>
                <w:p w14:paraId="3C5A0B0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w:t>
                  </w:r>
                </w:p>
              </w:tc>
              <w:tc>
                <w:tcPr>
                  <w:tcW w:w="766" w:type="dxa"/>
                  <w:tcBorders>
                    <w:tl2br w:val="nil"/>
                    <w:tr2bl w:val="nil"/>
                  </w:tcBorders>
                  <w:shd w:val="clear" w:color="auto" w:fill="auto"/>
                  <w:vAlign w:val="center"/>
                </w:tcPr>
                <w:p w14:paraId="2324854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w:t>
                  </w:r>
                </w:p>
              </w:tc>
              <w:tc>
                <w:tcPr>
                  <w:tcW w:w="1183" w:type="dxa"/>
                  <w:tcBorders>
                    <w:tl2br w:val="nil"/>
                    <w:tr2bl w:val="nil"/>
                  </w:tcBorders>
                  <w:shd w:val="clear" w:color="auto" w:fill="auto"/>
                  <w:vAlign w:val="center"/>
                </w:tcPr>
                <w:p w14:paraId="0E49146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75000</w:t>
                  </w:r>
                </w:p>
              </w:tc>
              <w:tc>
                <w:tcPr>
                  <w:tcW w:w="1178" w:type="dxa"/>
                  <w:tcBorders>
                    <w:tl2br w:val="nil"/>
                    <w:tr2bl w:val="nil"/>
                  </w:tcBorders>
                  <w:shd w:val="clear" w:color="auto" w:fill="auto"/>
                  <w:vAlign w:val="center"/>
                </w:tcPr>
                <w:p w14:paraId="076772C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60000</w:t>
                  </w:r>
                </w:p>
              </w:tc>
              <w:tc>
                <w:tcPr>
                  <w:tcW w:w="1109" w:type="dxa"/>
                  <w:vMerge w:val="continue"/>
                  <w:tcBorders>
                    <w:tl2br w:val="nil"/>
                    <w:tr2bl w:val="nil"/>
                  </w:tcBorders>
                  <w:shd w:val="clear" w:color="auto" w:fill="auto"/>
                  <w:vAlign w:val="center"/>
                </w:tcPr>
                <w:p w14:paraId="430FEBE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0A9A0F4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vAlign w:val="center"/>
                </w:tcPr>
                <w:p w14:paraId="3D0FACF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18"/>
                      <w:szCs w:val="18"/>
                      <w:highlight w:val="none"/>
                      <w:lang w:val="en-US" w:eastAsia="zh-CN" w:bidi="ar-SA"/>
                    </w:rPr>
                  </w:pPr>
                  <w:r>
                    <w:rPr>
                      <w:rFonts w:hint="default" w:ascii="Times New Roman" w:hAnsi="Times New Roman" w:cs="Times New Roman"/>
                      <w:b w:val="0"/>
                      <w:bCs/>
                      <w:color w:val="auto"/>
                      <w:w w:val="80"/>
                      <w:sz w:val="18"/>
                      <w:szCs w:val="18"/>
                      <w:highlight w:val="none"/>
                      <w:lang w:val="en-US" w:eastAsia="zh-CN"/>
                    </w:rPr>
                    <w:t>PET 诊断区（门诊）</w:t>
                  </w:r>
                </w:p>
              </w:tc>
              <w:tc>
                <w:tcPr>
                  <w:tcW w:w="867" w:type="dxa"/>
                  <w:tcBorders>
                    <w:tl2br w:val="nil"/>
                    <w:tr2bl w:val="nil"/>
                  </w:tcBorders>
                  <w:shd w:val="clear" w:color="auto" w:fill="auto"/>
                  <w:vAlign w:val="center"/>
                </w:tcPr>
                <w:p w14:paraId="6792AAF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N-13</w:t>
                  </w:r>
                </w:p>
              </w:tc>
              <w:tc>
                <w:tcPr>
                  <w:tcW w:w="882" w:type="dxa"/>
                  <w:tcBorders>
                    <w:tl2br w:val="nil"/>
                    <w:tr2bl w:val="nil"/>
                  </w:tcBorders>
                  <w:shd w:val="clear" w:color="auto" w:fill="auto"/>
                  <w:vAlign w:val="center"/>
                </w:tcPr>
                <w:p w14:paraId="184BFB9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10</w:t>
                  </w:r>
                </w:p>
              </w:tc>
              <w:tc>
                <w:tcPr>
                  <w:tcW w:w="844" w:type="dxa"/>
                  <w:tcBorders>
                    <w:tl2br w:val="nil"/>
                    <w:tr2bl w:val="nil"/>
                  </w:tcBorders>
                  <w:shd w:val="clear" w:color="auto" w:fill="auto"/>
                  <w:vAlign w:val="center"/>
                </w:tcPr>
                <w:p w14:paraId="4F1AA27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w:t>
                  </w:r>
                </w:p>
              </w:tc>
              <w:tc>
                <w:tcPr>
                  <w:tcW w:w="766" w:type="dxa"/>
                  <w:tcBorders>
                    <w:tl2br w:val="nil"/>
                    <w:tr2bl w:val="nil"/>
                  </w:tcBorders>
                  <w:shd w:val="clear" w:color="auto" w:fill="auto"/>
                  <w:vAlign w:val="center"/>
                </w:tcPr>
                <w:p w14:paraId="08B81EA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w:t>
                  </w:r>
                </w:p>
              </w:tc>
              <w:tc>
                <w:tcPr>
                  <w:tcW w:w="1183" w:type="dxa"/>
                  <w:tcBorders>
                    <w:tl2br w:val="nil"/>
                    <w:tr2bl w:val="nil"/>
                  </w:tcBorders>
                  <w:shd w:val="clear" w:color="auto" w:fill="auto"/>
                  <w:vAlign w:val="center"/>
                </w:tcPr>
                <w:p w14:paraId="63C0937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75000</w:t>
                  </w:r>
                </w:p>
              </w:tc>
              <w:tc>
                <w:tcPr>
                  <w:tcW w:w="1178" w:type="dxa"/>
                  <w:tcBorders>
                    <w:tl2br w:val="nil"/>
                    <w:tr2bl w:val="nil"/>
                  </w:tcBorders>
                  <w:shd w:val="clear" w:color="auto" w:fill="auto"/>
                  <w:vAlign w:val="center"/>
                </w:tcPr>
                <w:p w14:paraId="6DE340F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60000</w:t>
                  </w:r>
                </w:p>
              </w:tc>
              <w:tc>
                <w:tcPr>
                  <w:tcW w:w="1109" w:type="dxa"/>
                  <w:vMerge w:val="continue"/>
                  <w:tcBorders>
                    <w:tl2br w:val="nil"/>
                    <w:tr2bl w:val="nil"/>
                  </w:tcBorders>
                  <w:shd w:val="clear" w:color="auto" w:fill="auto"/>
                  <w:vAlign w:val="center"/>
                </w:tcPr>
                <w:p w14:paraId="6651676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0636E69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vAlign w:val="center"/>
                </w:tcPr>
                <w:p w14:paraId="57E955E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18"/>
                      <w:szCs w:val="18"/>
                      <w:highlight w:val="none"/>
                      <w:lang w:val="en-US" w:eastAsia="zh-CN" w:bidi="ar-SA"/>
                    </w:rPr>
                  </w:pPr>
                  <w:r>
                    <w:rPr>
                      <w:rFonts w:hint="default" w:ascii="Times New Roman" w:hAnsi="Times New Roman" w:cs="Times New Roman"/>
                      <w:b w:val="0"/>
                      <w:bCs/>
                      <w:color w:val="auto"/>
                      <w:w w:val="80"/>
                      <w:sz w:val="18"/>
                      <w:szCs w:val="18"/>
                      <w:highlight w:val="none"/>
                      <w:lang w:val="en-US" w:eastAsia="zh-CN"/>
                    </w:rPr>
                    <w:t>SPECT 诊断区（门诊）</w:t>
                  </w:r>
                </w:p>
              </w:tc>
              <w:tc>
                <w:tcPr>
                  <w:tcW w:w="867" w:type="dxa"/>
                  <w:tcBorders>
                    <w:tl2br w:val="nil"/>
                    <w:tr2bl w:val="nil"/>
                  </w:tcBorders>
                  <w:shd w:val="clear" w:color="auto" w:fill="auto"/>
                  <w:vAlign w:val="center"/>
                </w:tcPr>
                <w:p w14:paraId="3146567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Tc-99m</w:t>
                  </w:r>
                </w:p>
              </w:tc>
              <w:tc>
                <w:tcPr>
                  <w:tcW w:w="882" w:type="dxa"/>
                  <w:tcBorders>
                    <w:tl2br w:val="nil"/>
                    <w:tr2bl w:val="nil"/>
                  </w:tcBorders>
                  <w:shd w:val="clear" w:color="auto" w:fill="auto"/>
                  <w:vAlign w:val="center"/>
                </w:tcPr>
                <w:p w14:paraId="12043B0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100</w:t>
                  </w:r>
                </w:p>
              </w:tc>
              <w:tc>
                <w:tcPr>
                  <w:tcW w:w="844" w:type="dxa"/>
                  <w:tcBorders>
                    <w:tl2br w:val="nil"/>
                    <w:tr2bl w:val="nil"/>
                  </w:tcBorders>
                  <w:shd w:val="clear" w:color="auto" w:fill="auto"/>
                  <w:vAlign w:val="center"/>
                </w:tcPr>
                <w:p w14:paraId="4EBC67C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w:t>
                  </w:r>
                </w:p>
              </w:tc>
              <w:tc>
                <w:tcPr>
                  <w:tcW w:w="766" w:type="dxa"/>
                  <w:tcBorders>
                    <w:tl2br w:val="nil"/>
                    <w:tr2bl w:val="nil"/>
                  </w:tcBorders>
                  <w:shd w:val="clear" w:color="auto" w:fill="auto"/>
                  <w:vAlign w:val="center"/>
                </w:tcPr>
                <w:p w14:paraId="7CE2F7D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30</w:t>
                  </w:r>
                </w:p>
              </w:tc>
              <w:tc>
                <w:tcPr>
                  <w:tcW w:w="1183" w:type="dxa"/>
                  <w:tcBorders>
                    <w:tl2br w:val="nil"/>
                    <w:tr2bl w:val="nil"/>
                  </w:tcBorders>
                  <w:shd w:val="clear" w:color="auto" w:fill="auto"/>
                  <w:vAlign w:val="center"/>
                </w:tcPr>
                <w:p w14:paraId="41883B5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750000</w:t>
                  </w:r>
                </w:p>
              </w:tc>
              <w:tc>
                <w:tcPr>
                  <w:tcW w:w="1178" w:type="dxa"/>
                  <w:tcBorders>
                    <w:tl2br w:val="nil"/>
                    <w:tr2bl w:val="nil"/>
                  </w:tcBorders>
                  <w:shd w:val="clear" w:color="auto" w:fill="auto"/>
                  <w:vAlign w:val="center"/>
                </w:tcPr>
                <w:p w14:paraId="59E5886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600000</w:t>
                  </w:r>
                </w:p>
              </w:tc>
              <w:tc>
                <w:tcPr>
                  <w:tcW w:w="1109" w:type="dxa"/>
                  <w:vMerge w:val="continue"/>
                  <w:tcBorders>
                    <w:tl2br w:val="nil"/>
                    <w:tr2bl w:val="nil"/>
                  </w:tcBorders>
                  <w:shd w:val="clear" w:color="auto" w:fill="auto"/>
                  <w:vAlign w:val="center"/>
                </w:tcPr>
                <w:p w14:paraId="18E774F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00EEBA7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tcBorders>
                    <w:tl2br w:val="nil"/>
                    <w:tr2bl w:val="nil"/>
                  </w:tcBorders>
                  <w:shd w:val="clear" w:color="auto" w:fill="auto"/>
                  <w:vAlign w:val="center"/>
                </w:tcPr>
                <w:p w14:paraId="088E051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18"/>
                      <w:szCs w:val="18"/>
                      <w:highlight w:val="none"/>
                      <w:lang w:val="en-US" w:eastAsia="zh-CN" w:bidi="ar-SA"/>
                    </w:rPr>
                  </w:pPr>
                  <w:r>
                    <w:rPr>
                      <w:rFonts w:hint="default" w:ascii="Times New Roman" w:hAnsi="Times New Roman" w:cs="Times New Roman"/>
                      <w:b w:val="0"/>
                      <w:bCs/>
                      <w:color w:val="auto"/>
                      <w:w w:val="80"/>
                      <w:sz w:val="18"/>
                      <w:szCs w:val="18"/>
                      <w:highlight w:val="none"/>
                      <w:lang w:val="en-US" w:eastAsia="zh-CN"/>
                    </w:rPr>
                    <w:t>场所清洁</w:t>
                  </w:r>
                </w:p>
              </w:tc>
              <w:tc>
                <w:tcPr>
                  <w:tcW w:w="867" w:type="dxa"/>
                  <w:tcBorders>
                    <w:tl2br w:val="nil"/>
                    <w:tr2bl w:val="nil"/>
                  </w:tcBorders>
                  <w:shd w:val="clear" w:color="auto" w:fill="auto"/>
                  <w:vAlign w:val="center"/>
                </w:tcPr>
                <w:p w14:paraId="000137F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w:t>
                  </w:r>
                </w:p>
              </w:tc>
              <w:tc>
                <w:tcPr>
                  <w:tcW w:w="882" w:type="dxa"/>
                  <w:tcBorders>
                    <w:tl2br w:val="nil"/>
                    <w:tr2bl w:val="nil"/>
                  </w:tcBorders>
                  <w:shd w:val="clear" w:color="auto" w:fill="auto"/>
                  <w:vAlign w:val="center"/>
                </w:tcPr>
                <w:p w14:paraId="2B41521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kern w:val="2"/>
                      <w:sz w:val="18"/>
                      <w:szCs w:val="18"/>
                      <w:highlight w:val="none"/>
                      <w:lang w:val="en-US" w:eastAsia="zh-CN" w:bidi="ar-SA"/>
                    </w:rPr>
                    <w:t>/</w:t>
                  </w:r>
                </w:p>
              </w:tc>
              <w:tc>
                <w:tcPr>
                  <w:tcW w:w="844" w:type="dxa"/>
                  <w:tcBorders>
                    <w:tl2br w:val="nil"/>
                    <w:tr2bl w:val="nil"/>
                  </w:tcBorders>
                  <w:shd w:val="clear" w:color="auto" w:fill="auto"/>
                  <w:vAlign w:val="center"/>
                </w:tcPr>
                <w:p w14:paraId="6DAA19A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w:t>
                  </w:r>
                </w:p>
              </w:tc>
              <w:tc>
                <w:tcPr>
                  <w:tcW w:w="766" w:type="dxa"/>
                  <w:tcBorders>
                    <w:tl2br w:val="nil"/>
                    <w:tr2bl w:val="nil"/>
                  </w:tcBorders>
                  <w:shd w:val="clear" w:color="auto" w:fill="auto"/>
                  <w:vAlign w:val="center"/>
                </w:tcPr>
                <w:p w14:paraId="3614914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100</w:t>
                  </w:r>
                </w:p>
              </w:tc>
              <w:tc>
                <w:tcPr>
                  <w:tcW w:w="1183" w:type="dxa"/>
                  <w:tcBorders>
                    <w:tl2br w:val="nil"/>
                    <w:tr2bl w:val="nil"/>
                  </w:tcBorders>
                  <w:shd w:val="clear" w:color="auto" w:fill="auto"/>
                  <w:vAlign w:val="center"/>
                </w:tcPr>
                <w:p w14:paraId="32BA0DA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25000</w:t>
                  </w:r>
                </w:p>
              </w:tc>
              <w:tc>
                <w:tcPr>
                  <w:tcW w:w="1178" w:type="dxa"/>
                  <w:tcBorders>
                    <w:tl2br w:val="nil"/>
                    <w:tr2bl w:val="nil"/>
                  </w:tcBorders>
                  <w:shd w:val="clear" w:color="auto" w:fill="auto"/>
                  <w:vAlign w:val="center"/>
                </w:tcPr>
                <w:p w14:paraId="4080706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20000</w:t>
                  </w:r>
                </w:p>
              </w:tc>
              <w:tc>
                <w:tcPr>
                  <w:tcW w:w="1109" w:type="dxa"/>
                  <w:vMerge w:val="continue"/>
                  <w:tcBorders>
                    <w:tl2br w:val="nil"/>
                    <w:tr2bl w:val="nil"/>
                  </w:tcBorders>
                  <w:shd w:val="clear" w:color="auto" w:fill="auto"/>
                  <w:vAlign w:val="center"/>
                </w:tcPr>
                <w:p w14:paraId="19F65C3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57D1AAA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vMerge w:val="restart"/>
                  <w:tcBorders>
                    <w:tl2br w:val="nil"/>
                    <w:tr2bl w:val="nil"/>
                  </w:tcBorders>
                  <w:shd w:val="clear" w:color="auto" w:fill="auto"/>
                  <w:vAlign w:val="center"/>
                </w:tcPr>
                <w:p w14:paraId="35FC28D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18"/>
                      <w:szCs w:val="18"/>
                      <w:highlight w:val="none"/>
                      <w:lang w:val="en-US" w:eastAsia="zh-CN" w:bidi="ar-SA"/>
                    </w:rPr>
                  </w:pPr>
                  <w:r>
                    <w:rPr>
                      <w:rFonts w:hint="default" w:ascii="Times New Roman" w:hAnsi="Times New Roman" w:cs="Times New Roman"/>
                      <w:b w:val="0"/>
                      <w:bCs/>
                      <w:color w:val="auto"/>
                      <w:w w:val="80"/>
                      <w:sz w:val="18"/>
                      <w:szCs w:val="18"/>
                      <w:highlight w:val="none"/>
                      <w:lang w:val="en-US" w:eastAsia="zh-CN"/>
                    </w:rPr>
                    <w:t>小计</w:t>
                  </w:r>
                  <w:r>
                    <w:rPr>
                      <w:rFonts w:hint="default" w:ascii="Times New Roman" w:hAnsi="Times New Roman" w:eastAsia="宋体" w:cs="Times New Roman"/>
                      <w:b w:val="0"/>
                      <w:bCs/>
                      <w:color w:val="auto"/>
                      <w:w w:val="80"/>
                      <w:sz w:val="18"/>
                      <w:szCs w:val="18"/>
                      <w:highlight w:val="none"/>
                      <w:lang w:val="en-US" w:eastAsia="zh-CN"/>
                    </w:rPr>
                    <w:t>②</w:t>
                  </w:r>
                </w:p>
              </w:tc>
              <w:tc>
                <w:tcPr>
                  <w:tcW w:w="867" w:type="dxa"/>
                  <w:vMerge w:val="restart"/>
                  <w:tcBorders>
                    <w:tl2br w:val="nil"/>
                    <w:tr2bl w:val="nil"/>
                  </w:tcBorders>
                  <w:shd w:val="clear" w:color="auto" w:fill="auto"/>
                  <w:vAlign w:val="center"/>
                </w:tcPr>
                <w:p w14:paraId="0FDD740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w:t>
                  </w:r>
                </w:p>
              </w:tc>
              <w:tc>
                <w:tcPr>
                  <w:tcW w:w="882" w:type="dxa"/>
                  <w:vMerge w:val="restart"/>
                  <w:tcBorders>
                    <w:tl2br w:val="nil"/>
                    <w:tr2bl w:val="nil"/>
                  </w:tcBorders>
                  <w:shd w:val="clear" w:color="auto" w:fill="auto"/>
                  <w:vAlign w:val="center"/>
                </w:tcPr>
                <w:p w14:paraId="2F359E3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18"/>
                      <w:szCs w:val="18"/>
                      <w:highlight w:val="none"/>
                      <w:lang w:val="en-US" w:eastAsia="zh-CN" w:bidi="ar-SA"/>
                    </w:rPr>
                  </w:pPr>
                  <w:r>
                    <w:rPr>
                      <w:rFonts w:hint="default" w:ascii="Times New Roman" w:hAnsi="Times New Roman" w:cs="Times New Roman"/>
                      <w:b w:val="0"/>
                      <w:bCs/>
                      <w:color w:val="auto"/>
                      <w:sz w:val="18"/>
                      <w:szCs w:val="18"/>
                      <w:highlight w:val="none"/>
                      <w:lang w:val="en-US" w:eastAsia="zh-CN"/>
                    </w:rPr>
                    <w:t>—</w:t>
                  </w:r>
                </w:p>
              </w:tc>
              <w:tc>
                <w:tcPr>
                  <w:tcW w:w="844" w:type="dxa"/>
                  <w:vMerge w:val="restart"/>
                  <w:tcBorders>
                    <w:tl2br w:val="nil"/>
                    <w:tr2bl w:val="nil"/>
                  </w:tcBorders>
                  <w:shd w:val="clear" w:color="auto" w:fill="auto"/>
                  <w:vAlign w:val="center"/>
                </w:tcPr>
                <w:p w14:paraId="495E8F9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w:t>
                  </w:r>
                </w:p>
              </w:tc>
              <w:tc>
                <w:tcPr>
                  <w:tcW w:w="766" w:type="dxa"/>
                  <w:vMerge w:val="restart"/>
                  <w:tcBorders>
                    <w:tl2br w:val="nil"/>
                    <w:tr2bl w:val="nil"/>
                  </w:tcBorders>
                  <w:shd w:val="clear" w:color="auto" w:fill="auto"/>
                  <w:vAlign w:val="center"/>
                </w:tcPr>
                <w:p w14:paraId="556FAE7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w:t>
                  </w:r>
                </w:p>
              </w:tc>
              <w:tc>
                <w:tcPr>
                  <w:tcW w:w="1183" w:type="dxa"/>
                  <w:tcBorders>
                    <w:tl2br w:val="nil"/>
                    <w:tr2bl w:val="nil"/>
                  </w:tcBorders>
                  <w:shd w:val="clear" w:color="auto" w:fill="auto"/>
                  <w:vAlign w:val="center"/>
                </w:tcPr>
                <w:p w14:paraId="69A1643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1487500</w:t>
                  </w:r>
                </w:p>
              </w:tc>
              <w:tc>
                <w:tcPr>
                  <w:tcW w:w="1178" w:type="dxa"/>
                  <w:tcBorders>
                    <w:tl2br w:val="nil"/>
                    <w:tr2bl w:val="nil"/>
                  </w:tcBorders>
                  <w:shd w:val="clear" w:color="auto" w:fill="auto"/>
                  <w:vAlign w:val="center"/>
                </w:tcPr>
                <w:p w14:paraId="7168587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18"/>
                      <w:szCs w:val="18"/>
                      <w:highlight w:val="none"/>
                      <w:lang w:val="en-US" w:eastAsia="zh-CN"/>
                    </w:rPr>
                  </w:pPr>
                  <w:r>
                    <w:rPr>
                      <w:rFonts w:hint="default" w:ascii="Times New Roman" w:hAnsi="Times New Roman" w:cs="Times New Roman"/>
                      <w:b w:val="0"/>
                      <w:bCs/>
                      <w:color w:val="auto"/>
                      <w:sz w:val="18"/>
                      <w:szCs w:val="18"/>
                      <w:highlight w:val="none"/>
                      <w:lang w:val="en-US" w:eastAsia="zh-CN"/>
                    </w:rPr>
                    <w:t>1190000</w:t>
                  </w:r>
                </w:p>
              </w:tc>
              <w:tc>
                <w:tcPr>
                  <w:tcW w:w="1109" w:type="dxa"/>
                  <w:vMerge w:val="continue"/>
                  <w:tcBorders>
                    <w:tl2br w:val="nil"/>
                    <w:tr2bl w:val="nil"/>
                  </w:tcBorders>
                  <w:shd w:val="clear" w:color="auto" w:fill="auto"/>
                  <w:vAlign w:val="center"/>
                </w:tcPr>
                <w:p w14:paraId="689CB60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095D7C3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1847" w:type="dxa"/>
                  <w:vMerge w:val="continue"/>
                  <w:tcBorders>
                    <w:tl2br w:val="nil"/>
                    <w:tr2bl w:val="nil"/>
                  </w:tcBorders>
                  <w:shd w:val="clear" w:color="auto" w:fill="auto"/>
                  <w:vAlign w:val="center"/>
                </w:tcPr>
                <w:p w14:paraId="45A8D7E1">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p>
              </w:tc>
              <w:tc>
                <w:tcPr>
                  <w:tcW w:w="867" w:type="dxa"/>
                  <w:vMerge w:val="continue"/>
                  <w:tcBorders>
                    <w:tl2br w:val="nil"/>
                    <w:tr2bl w:val="nil"/>
                  </w:tcBorders>
                  <w:shd w:val="clear" w:color="auto" w:fill="auto"/>
                  <w:vAlign w:val="center"/>
                </w:tcPr>
                <w:p w14:paraId="2CEF2C6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p>
              </w:tc>
              <w:tc>
                <w:tcPr>
                  <w:tcW w:w="882" w:type="dxa"/>
                  <w:vMerge w:val="continue"/>
                  <w:tcBorders>
                    <w:tl2br w:val="nil"/>
                    <w:tr2bl w:val="nil"/>
                  </w:tcBorders>
                  <w:shd w:val="clear" w:color="auto" w:fill="auto"/>
                  <w:vAlign w:val="center"/>
                </w:tcPr>
                <w:p w14:paraId="70C5A13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p>
              </w:tc>
              <w:tc>
                <w:tcPr>
                  <w:tcW w:w="844" w:type="dxa"/>
                  <w:vMerge w:val="continue"/>
                  <w:tcBorders>
                    <w:tl2br w:val="nil"/>
                    <w:tr2bl w:val="nil"/>
                  </w:tcBorders>
                  <w:shd w:val="clear" w:color="auto" w:fill="auto"/>
                  <w:vAlign w:val="center"/>
                </w:tcPr>
                <w:p w14:paraId="3809A60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p>
              </w:tc>
              <w:tc>
                <w:tcPr>
                  <w:tcW w:w="766" w:type="dxa"/>
                  <w:vMerge w:val="continue"/>
                  <w:tcBorders>
                    <w:tl2br w:val="nil"/>
                    <w:tr2bl w:val="nil"/>
                  </w:tcBorders>
                  <w:shd w:val="clear" w:color="auto" w:fill="auto"/>
                  <w:vAlign w:val="center"/>
                </w:tcPr>
                <w:p w14:paraId="15C771D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p>
              </w:tc>
              <w:tc>
                <w:tcPr>
                  <w:tcW w:w="1183" w:type="dxa"/>
                  <w:tcBorders>
                    <w:tl2br w:val="nil"/>
                    <w:tr2bl w:val="nil"/>
                  </w:tcBorders>
                  <w:shd w:val="clear" w:color="auto" w:fill="auto"/>
                  <w:vAlign w:val="center"/>
                </w:tcPr>
                <w:p w14:paraId="45395C6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r>
                    <w:rPr>
                      <w:rFonts w:hint="default" w:ascii="Times New Roman" w:hAnsi="Times New Roman" w:eastAsia="宋体" w:cs="Times New Roman"/>
                      <w:b w:val="0"/>
                      <w:bCs/>
                      <w:color w:val="auto"/>
                      <w:sz w:val="20"/>
                      <w:szCs w:val="20"/>
                      <w:highlight w:val="none"/>
                      <w:lang w:val="en-US" w:eastAsia="zh-CN"/>
                    </w:rPr>
                    <w:t>1487.5m</w:t>
                  </w:r>
                  <w:r>
                    <w:rPr>
                      <w:rFonts w:hint="default" w:ascii="Times New Roman" w:hAnsi="Times New Roman" w:eastAsia="宋体" w:cs="Times New Roman"/>
                      <w:b w:val="0"/>
                      <w:bCs/>
                      <w:color w:val="auto"/>
                      <w:sz w:val="20"/>
                      <w:szCs w:val="20"/>
                      <w:highlight w:val="none"/>
                      <w:vertAlign w:val="superscript"/>
                      <w:lang w:val="en-US" w:eastAsia="zh-CN"/>
                    </w:rPr>
                    <w:t>3</w:t>
                  </w:r>
                </w:p>
              </w:tc>
              <w:tc>
                <w:tcPr>
                  <w:tcW w:w="1178" w:type="dxa"/>
                  <w:tcBorders>
                    <w:tl2br w:val="nil"/>
                    <w:tr2bl w:val="nil"/>
                  </w:tcBorders>
                  <w:shd w:val="clear" w:color="auto" w:fill="auto"/>
                  <w:vAlign w:val="center"/>
                </w:tcPr>
                <w:p w14:paraId="3DB56B9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r>
                    <w:rPr>
                      <w:rFonts w:hint="default" w:ascii="Times New Roman" w:hAnsi="Times New Roman" w:eastAsia="宋体" w:cs="Times New Roman"/>
                      <w:b w:val="0"/>
                      <w:bCs/>
                      <w:color w:val="auto"/>
                      <w:sz w:val="20"/>
                      <w:szCs w:val="20"/>
                      <w:highlight w:val="none"/>
                      <w:lang w:val="en-US" w:eastAsia="zh-CN"/>
                    </w:rPr>
                    <w:t>1190m</w:t>
                  </w:r>
                  <w:r>
                    <w:rPr>
                      <w:rFonts w:hint="default" w:ascii="Times New Roman" w:hAnsi="Times New Roman" w:eastAsia="宋体" w:cs="Times New Roman"/>
                      <w:b w:val="0"/>
                      <w:bCs/>
                      <w:color w:val="auto"/>
                      <w:sz w:val="20"/>
                      <w:szCs w:val="20"/>
                      <w:highlight w:val="none"/>
                      <w:vertAlign w:val="superscript"/>
                      <w:lang w:val="en-US" w:eastAsia="zh-CN"/>
                    </w:rPr>
                    <w:t>3</w:t>
                  </w:r>
                </w:p>
              </w:tc>
              <w:tc>
                <w:tcPr>
                  <w:tcW w:w="1109" w:type="dxa"/>
                  <w:vMerge w:val="continue"/>
                  <w:tcBorders>
                    <w:tl2br w:val="nil"/>
                    <w:tr2bl w:val="nil"/>
                  </w:tcBorders>
                  <w:shd w:val="clear" w:color="auto" w:fill="auto"/>
                  <w:vAlign w:val="center"/>
                </w:tcPr>
                <w:p w14:paraId="68F2658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p>
              </w:tc>
            </w:tr>
            <w:tr w14:paraId="1D71EB6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5206" w:type="dxa"/>
                  <w:gridSpan w:val="5"/>
                  <w:tcBorders>
                    <w:tl2br w:val="nil"/>
                    <w:tr2bl w:val="nil"/>
                  </w:tcBorders>
                  <w:shd w:val="clear" w:color="auto" w:fill="auto"/>
                  <w:vAlign w:val="center"/>
                </w:tcPr>
                <w:p w14:paraId="162EA8F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r>
                    <w:rPr>
                      <w:rFonts w:hint="default" w:ascii="Times New Roman" w:hAnsi="Times New Roman" w:eastAsia="宋体" w:cs="Times New Roman"/>
                      <w:b w:val="0"/>
                      <w:bCs/>
                      <w:color w:val="auto"/>
                      <w:sz w:val="20"/>
                      <w:szCs w:val="20"/>
                      <w:highlight w:val="none"/>
                      <w:lang w:val="en-US" w:eastAsia="zh-CN"/>
                    </w:rPr>
                    <w:t>合计①+②  单位L</w:t>
                  </w:r>
                </w:p>
              </w:tc>
              <w:tc>
                <w:tcPr>
                  <w:tcW w:w="1183" w:type="dxa"/>
                  <w:tcBorders>
                    <w:tl2br w:val="nil"/>
                    <w:tr2bl w:val="nil"/>
                  </w:tcBorders>
                  <w:shd w:val="clear" w:color="auto" w:fill="auto"/>
                  <w:vAlign w:val="center"/>
                </w:tcPr>
                <w:p w14:paraId="6B39A97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r>
                    <w:rPr>
                      <w:rFonts w:hint="default" w:ascii="Times New Roman" w:hAnsi="Times New Roman" w:eastAsia="宋体" w:cs="Times New Roman"/>
                      <w:b w:val="0"/>
                      <w:bCs/>
                      <w:color w:val="auto"/>
                      <w:sz w:val="20"/>
                      <w:szCs w:val="20"/>
                      <w:highlight w:val="none"/>
                      <w:lang w:val="en-US" w:eastAsia="zh-CN"/>
                    </w:rPr>
                    <w:t>2507900</w:t>
                  </w:r>
                </w:p>
              </w:tc>
              <w:tc>
                <w:tcPr>
                  <w:tcW w:w="1178" w:type="dxa"/>
                  <w:tcBorders>
                    <w:tl2br w:val="nil"/>
                    <w:tr2bl w:val="nil"/>
                  </w:tcBorders>
                  <w:shd w:val="clear" w:color="auto" w:fill="auto"/>
                  <w:vAlign w:val="center"/>
                </w:tcPr>
                <w:p w14:paraId="4F126E6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r>
                    <w:rPr>
                      <w:rFonts w:hint="default" w:ascii="Times New Roman" w:hAnsi="Times New Roman" w:eastAsia="宋体" w:cs="Times New Roman"/>
                      <w:b w:val="0"/>
                      <w:bCs/>
                      <w:color w:val="auto"/>
                      <w:sz w:val="20"/>
                      <w:szCs w:val="20"/>
                      <w:highlight w:val="none"/>
                      <w:lang w:val="en-US" w:eastAsia="zh-CN"/>
                    </w:rPr>
                    <w:t>2006320</w:t>
                  </w:r>
                </w:p>
              </w:tc>
              <w:tc>
                <w:tcPr>
                  <w:tcW w:w="1109" w:type="dxa"/>
                  <w:vMerge w:val="continue"/>
                  <w:tcBorders>
                    <w:tl2br w:val="nil"/>
                    <w:tr2bl w:val="nil"/>
                  </w:tcBorders>
                  <w:shd w:val="clear" w:color="auto" w:fill="auto"/>
                  <w:vAlign w:val="center"/>
                </w:tcPr>
                <w:p w14:paraId="458D1F4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p>
              </w:tc>
            </w:tr>
            <w:tr w14:paraId="1C90FF98">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5206" w:type="dxa"/>
                  <w:gridSpan w:val="5"/>
                  <w:tcBorders>
                    <w:tl2br w:val="nil"/>
                    <w:tr2bl w:val="nil"/>
                  </w:tcBorders>
                  <w:shd w:val="clear" w:color="auto" w:fill="auto"/>
                  <w:vAlign w:val="center"/>
                </w:tcPr>
                <w:p w14:paraId="1807C861">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r>
                    <w:rPr>
                      <w:rFonts w:hint="default" w:ascii="Times New Roman" w:hAnsi="Times New Roman" w:eastAsia="宋体" w:cs="Times New Roman"/>
                      <w:b w:val="0"/>
                      <w:bCs/>
                      <w:color w:val="auto"/>
                      <w:sz w:val="20"/>
                      <w:szCs w:val="20"/>
                      <w:highlight w:val="none"/>
                      <w:lang w:val="en-US" w:eastAsia="zh-CN"/>
                    </w:rPr>
                    <w:t>合计①+②  单位m</w:t>
                  </w:r>
                  <w:r>
                    <w:rPr>
                      <w:rFonts w:hint="default" w:ascii="Times New Roman" w:hAnsi="Times New Roman" w:eastAsia="宋体" w:cs="Times New Roman"/>
                      <w:b w:val="0"/>
                      <w:bCs/>
                      <w:color w:val="auto"/>
                      <w:sz w:val="20"/>
                      <w:szCs w:val="20"/>
                      <w:highlight w:val="none"/>
                      <w:vertAlign w:val="superscript"/>
                      <w:lang w:val="en-US" w:eastAsia="zh-CN"/>
                    </w:rPr>
                    <w:t>3</w:t>
                  </w:r>
                </w:p>
              </w:tc>
              <w:tc>
                <w:tcPr>
                  <w:tcW w:w="1183" w:type="dxa"/>
                  <w:tcBorders>
                    <w:tl2br w:val="nil"/>
                    <w:tr2bl w:val="nil"/>
                  </w:tcBorders>
                  <w:shd w:val="clear" w:color="auto" w:fill="auto"/>
                  <w:vAlign w:val="center"/>
                </w:tcPr>
                <w:p w14:paraId="5A79428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r>
                    <w:rPr>
                      <w:rFonts w:hint="default" w:ascii="Times New Roman" w:hAnsi="Times New Roman" w:eastAsia="宋体" w:cs="Times New Roman"/>
                      <w:b w:val="0"/>
                      <w:bCs/>
                      <w:color w:val="auto"/>
                      <w:sz w:val="20"/>
                      <w:szCs w:val="20"/>
                      <w:highlight w:val="none"/>
                      <w:lang w:val="en-US" w:eastAsia="zh-CN"/>
                    </w:rPr>
                    <w:t>2507.9</w:t>
                  </w:r>
                </w:p>
              </w:tc>
              <w:tc>
                <w:tcPr>
                  <w:tcW w:w="1178" w:type="dxa"/>
                  <w:tcBorders>
                    <w:tl2br w:val="nil"/>
                    <w:tr2bl w:val="nil"/>
                  </w:tcBorders>
                  <w:shd w:val="clear" w:color="auto" w:fill="auto"/>
                  <w:vAlign w:val="center"/>
                </w:tcPr>
                <w:p w14:paraId="6027CD6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r>
                    <w:rPr>
                      <w:rFonts w:hint="default" w:ascii="Times New Roman" w:hAnsi="Times New Roman" w:eastAsia="宋体" w:cs="Times New Roman"/>
                      <w:b w:val="0"/>
                      <w:bCs/>
                      <w:color w:val="auto"/>
                      <w:sz w:val="20"/>
                      <w:szCs w:val="20"/>
                      <w:highlight w:val="none"/>
                      <w:lang w:val="en-US" w:eastAsia="zh-CN"/>
                    </w:rPr>
                    <w:t>2006.32</w:t>
                  </w:r>
                </w:p>
              </w:tc>
              <w:tc>
                <w:tcPr>
                  <w:tcW w:w="1109" w:type="dxa"/>
                  <w:vMerge w:val="continue"/>
                  <w:tcBorders>
                    <w:tl2br w:val="nil"/>
                    <w:tr2bl w:val="nil"/>
                  </w:tcBorders>
                  <w:shd w:val="clear" w:color="auto" w:fill="auto"/>
                  <w:vAlign w:val="center"/>
                </w:tcPr>
                <w:p w14:paraId="3856DC3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cs="Times New Roman"/>
                      <w:b w:val="0"/>
                      <w:bCs/>
                      <w:color w:val="auto"/>
                      <w:sz w:val="20"/>
                      <w:szCs w:val="20"/>
                      <w:highlight w:val="none"/>
                      <w:lang w:val="en-US" w:eastAsia="zh-CN"/>
                    </w:rPr>
                  </w:pPr>
                </w:p>
              </w:tc>
            </w:tr>
          </w:tbl>
          <w:p w14:paraId="22BA86AD">
            <w:pPr>
              <w:keepNext w:val="0"/>
              <w:keepLines w:val="0"/>
              <w:suppressLineNumbers w:val="0"/>
              <w:spacing w:before="0" w:beforeAutospacing="0" w:after="0" w:afterAutospacing="0"/>
              <w:ind w:left="0" w:right="0"/>
              <w:jc w:val="center"/>
              <w:rPr>
                <w:rFonts w:hint="default" w:ascii="Times New Roman" w:hAnsi="Times New Roman" w:cs="Times New Roman"/>
                <w:b w:val="0"/>
                <w:bCs/>
                <w:color w:val="auto"/>
                <w:sz w:val="21"/>
                <w:szCs w:val="21"/>
                <w:highlight w:val="none"/>
              </w:rPr>
            </w:pPr>
          </w:p>
          <w:p w14:paraId="7CE5F410">
            <w:pPr>
              <w:keepNext w:val="0"/>
              <w:keepLines w:val="0"/>
              <w:numPr>
                <w:ilvl w:val="0"/>
                <w:numId w:val="0"/>
              </w:numPr>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放射性废气</w:t>
            </w:r>
          </w:p>
          <w:p w14:paraId="2ABA1A12">
            <w:pPr>
              <w:keepNext w:val="0"/>
              <w:keepLines w:val="0"/>
              <w:numPr>
                <w:ilvl w:val="0"/>
                <w:numId w:val="0"/>
              </w:numPr>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核医学项目放射性药物制备、质控、分装、测活时，药物挥发产生的含放射性核素的废气。</w:t>
            </w:r>
          </w:p>
          <w:p w14:paraId="6B76F5BC">
            <w:pPr>
              <w:keepNext w:val="0"/>
              <w:keepLines w:val="0"/>
              <w:numPr>
                <w:ilvl w:val="0"/>
                <w:numId w:val="0"/>
              </w:numPr>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）放射性固废</w:t>
            </w:r>
          </w:p>
          <w:p w14:paraId="5F687604">
            <w:pPr>
              <w:keepNext w:val="0"/>
              <w:keepLines w:val="0"/>
              <w:numPr>
                <w:ilvl w:val="0"/>
                <w:numId w:val="0"/>
              </w:numPr>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rPr>
              <w:t>核医学项目放射性药物制备、质控、分装、测活时</w:t>
            </w:r>
            <w:r>
              <w:rPr>
                <w:rFonts w:hint="default" w:ascii="Times New Roman" w:hAnsi="Times New Roman" w:eastAsia="宋体" w:cs="Times New Roman"/>
                <w:color w:val="auto"/>
                <w:highlight w:val="none"/>
                <w:lang w:val="en-US" w:eastAsia="zh-CN"/>
              </w:rPr>
              <w:t>会产生</w:t>
            </w:r>
            <w:r>
              <w:rPr>
                <w:rFonts w:hint="default" w:ascii="Times New Roman" w:hAnsi="Times New Roman" w:eastAsia="宋体" w:cs="Times New Roman"/>
                <w:color w:val="auto"/>
                <w:highlight w:val="none"/>
              </w:rPr>
              <w:t>一次性注射器、针头、棉签、口罩、擦拭纸、手套、药瓶等，</w:t>
            </w:r>
            <w:r>
              <w:rPr>
                <w:rFonts w:hint="default" w:ascii="Times New Roman" w:hAnsi="Times New Roman" w:eastAsia="宋体" w:cs="Times New Roman"/>
                <w:color w:val="auto"/>
                <w:highlight w:val="none"/>
                <w:lang w:val="en-US" w:eastAsia="zh-CN"/>
              </w:rPr>
              <w:t>核素治疗住院患者还会产生沾有核素的生活垃圾，放射性固废（门诊）按50g/人•d，放射性固废（住院）按100</w:t>
            </w:r>
            <w:r>
              <w:rPr>
                <w:rFonts w:hint="eastAsia" w:cs="Times New Roman"/>
                <w:color w:val="auto"/>
                <w:highlight w:val="none"/>
                <w:lang w:val="en-US" w:eastAsia="zh-CN"/>
              </w:rPr>
              <w:t>0</w:t>
            </w:r>
            <w:r>
              <w:rPr>
                <w:rFonts w:hint="default" w:ascii="Times New Roman" w:hAnsi="Times New Roman" w:eastAsia="宋体" w:cs="Times New Roman"/>
                <w:color w:val="auto"/>
                <w:highlight w:val="none"/>
                <w:lang w:val="en-US" w:eastAsia="zh-CN"/>
              </w:rPr>
              <w:t>g/人•d。医院每周使用 4 套活度 500 mCi 的钼锝发生器，全年工作按 50 周计，全年共产生 200 套废钼锝发生器；每套废钼锝发生器质量约 1 kg，废钼锝发生器总质量合计 200 kg。则全年产生长半衰期固体废物5283kg、短半衰期固体废物</w:t>
            </w:r>
            <w:r>
              <w:rPr>
                <w:rFonts w:hint="eastAsia" w:cs="Times New Roman"/>
                <w:color w:val="auto"/>
                <w:highlight w:val="none"/>
                <w:lang w:eastAsia="zh-CN"/>
              </w:rPr>
              <w:t>2667.5</w:t>
            </w:r>
            <w:r>
              <w:rPr>
                <w:rFonts w:hint="default" w:ascii="Times New Roman" w:hAnsi="Times New Roman" w:cs="Times New Roman"/>
                <w:color w:val="auto"/>
                <w:highlight w:val="none"/>
                <w:lang w:val="en-US" w:eastAsia="zh-CN"/>
              </w:rPr>
              <w:t>kg</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合计</w:t>
            </w:r>
            <w:r>
              <w:rPr>
                <w:rFonts w:hint="eastAsia" w:cs="Times New Roman"/>
                <w:color w:val="auto"/>
                <w:highlight w:val="none"/>
                <w:lang w:val="en-US" w:eastAsia="zh-CN"/>
              </w:rPr>
              <w:t>7950.5</w:t>
            </w:r>
            <w:r>
              <w:rPr>
                <w:rFonts w:hint="default" w:ascii="Times New Roman" w:hAnsi="Times New Roman" w:cs="Times New Roman"/>
                <w:color w:val="auto"/>
                <w:highlight w:val="none"/>
                <w:lang w:val="en-US" w:eastAsia="zh-CN"/>
              </w:rPr>
              <w:t>kg。</w:t>
            </w:r>
          </w:p>
          <w:p w14:paraId="07B62991">
            <w:pPr>
              <w:pStyle w:val="9"/>
              <w:keepNext w:val="0"/>
              <w:keepLines w:val="0"/>
              <w:suppressLineNumbers w:val="0"/>
              <w:spacing w:before="0" w:beforeAutospacing="0" w:after="0" w:afterAutospacing="0"/>
              <w:jc w:val="center"/>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vertAlign w:val="baseline"/>
                <w:lang w:val="en-US" w:eastAsia="zh-CN"/>
              </w:rPr>
              <w:t>表9-</w:t>
            </w:r>
            <w:r>
              <w:rPr>
                <w:rFonts w:hint="eastAsia" w:cs="Times New Roman"/>
                <w:b/>
                <w:bCs/>
                <w:color w:val="auto"/>
                <w:sz w:val="24"/>
                <w:szCs w:val="24"/>
                <w:highlight w:val="none"/>
                <w:vertAlign w:val="baseline"/>
                <w:lang w:val="en-US" w:eastAsia="zh-CN"/>
              </w:rPr>
              <w:t>21</w:t>
            </w:r>
            <w:r>
              <w:rPr>
                <w:rFonts w:hint="default" w:ascii="Times New Roman" w:hAnsi="Times New Roman" w:cs="Times New Roman"/>
                <w:b/>
                <w:bCs/>
                <w:color w:val="auto"/>
                <w:sz w:val="24"/>
                <w:szCs w:val="24"/>
                <w:highlight w:val="none"/>
                <w:vertAlign w:val="baseline"/>
                <w:lang w:val="en-US" w:eastAsia="zh-CN"/>
              </w:rPr>
              <w:t xml:space="preserve"> 放射性废物产生情况</w:t>
            </w:r>
          </w:p>
          <w:tbl>
            <w:tblPr>
              <w:tblStyle w:val="22"/>
              <w:tblW w:w="8937" w:type="dxa"/>
              <w:jc w:val="cente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Layout w:type="fixed"/>
              <w:tblCellMar>
                <w:top w:w="15" w:type="dxa"/>
                <w:left w:w="15" w:type="dxa"/>
                <w:bottom w:w="15" w:type="dxa"/>
                <w:right w:w="15" w:type="dxa"/>
              </w:tblCellMar>
            </w:tblPr>
            <w:tblGrid>
              <w:gridCol w:w="2325"/>
              <w:gridCol w:w="1080"/>
              <w:gridCol w:w="994"/>
              <w:gridCol w:w="892"/>
              <w:gridCol w:w="913"/>
              <w:gridCol w:w="1411"/>
              <w:gridCol w:w="1322"/>
            </w:tblGrid>
            <w:tr w14:paraId="4D7747EF">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1038" w:hRule="exact"/>
                <w:tblHeader/>
                <w:jc w:val="center"/>
              </w:trPr>
              <w:tc>
                <w:tcPr>
                  <w:tcW w:w="2325" w:type="dxa"/>
                  <w:tcBorders>
                    <w:tl2br w:val="nil"/>
                    <w:tr2bl w:val="nil"/>
                  </w:tcBorders>
                  <w:shd w:val="clear" w:color="auto" w:fill="auto"/>
                  <w:tcMar>
                    <w:top w:w="120" w:type="dxa"/>
                    <w:left w:w="120" w:type="dxa"/>
                    <w:bottom w:w="120" w:type="dxa"/>
                    <w:right w:w="120" w:type="dxa"/>
                  </w:tcMar>
                  <w:vAlign w:val="center"/>
                </w:tcPr>
                <w:p w14:paraId="2007876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rPr>
                  </w:pPr>
                  <w:r>
                    <w:rPr>
                      <w:rFonts w:hint="default" w:ascii="Times New Roman" w:hAnsi="Times New Roman" w:eastAsia="宋体" w:cs="Times New Roman"/>
                      <w:b w:val="0"/>
                      <w:bCs/>
                      <w:color w:val="auto"/>
                      <w:w w:val="80"/>
                      <w:sz w:val="21"/>
                      <w:szCs w:val="21"/>
                      <w:highlight w:val="none"/>
                      <w:lang w:val="en-US" w:eastAsia="zh-CN"/>
                    </w:rPr>
                    <w:t>工作场所</w:t>
                  </w:r>
                </w:p>
              </w:tc>
              <w:tc>
                <w:tcPr>
                  <w:tcW w:w="1080" w:type="dxa"/>
                  <w:tcBorders>
                    <w:tl2br w:val="nil"/>
                    <w:tr2bl w:val="nil"/>
                  </w:tcBorders>
                  <w:shd w:val="clear" w:color="auto" w:fill="auto"/>
                  <w:tcMar>
                    <w:top w:w="120" w:type="dxa"/>
                    <w:left w:w="120" w:type="dxa"/>
                    <w:bottom w:w="120" w:type="dxa"/>
                    <w:right w:w="120" w:type="dxa"/>
                  </w:tcMar>
                  <w:vAlign w:val="center"/>
                </w:tcPr>
                <w:p w14:paraId="61532DA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lang w:val="en-US" w:eastAsia="zh-CN"/>
                    </w:rPr>
                  </w:pPr>
                  <w:r>
                    <w:rPr>
                      <w:rFonts w:hint="default" w:ascii="Times New Roman" w:hAnsi="Times New Roman" w:eastAsia="宋体" w:cs="Times New Roman"/>
                      <w:b w:val="0"/>
                      <w:bCs/>
                      <w:color w:val="auto"/>
                      <w:w w:val="80"/>
                      <w:sz w:val="21"/>
                      <w:szCs w:val="21"/>
                      <w:highlight w:val="none"/>
                      <w:lang w:val="en-US" w:eastAsia="zh-CN"/>
                    </w:rPr>
                    <w:t>核素</w:t>
                  </w:r>
                </w:p>
              </w:tc>
              <w:tc>
                <w:tcPr>
                  <w:tcW w:w="994" w:type="dxa"/>
                  <w:tcBorders>
                    <w:tl2br w:val="nil"/>
                    <w:tr2bl w:val="nil"/>
                  </w:tcBorders>
                  <w:shd w:val="clear" w:color="auto" w:fill="auto"/>
                  <w:tcMar>
                    <w:top w:w="120" w:type="dxa"/>
                    <w:left w:w="120" w:type="dxa"/>
                    <w:bottom w:w="120" w:type="dxa"/>
                    <w:right w:w="120" w:type="dxa"/>
                  </w:tcMar>
                  <w:vAlign w:val="center"/>
                </w:tcPr>
                <w:p w14:paraId="56C4737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lang w:val="en-US" w:eastAsia="zh-CN"/>
                    </w:rPr>
                  </w:pPr>
                  <w:r>
                    <w:rPr>
                      <w:rFonts w:hint="default" w:ascii="Times New Roman" w:hAnsi="Times New Roman" w:eastAsia="宋体" w:cs="Times New Roman"/>
                      <w:b w:val="0"/>
                      <w:bCs/>
                      <w:color w:val="auto"/>
                      <w:w w:val="80"/>
                      <w:sz w:val="21"/>
                      <w:szCs w:val="21"/>
                      <w:highlight w:val="none"/>
                      <w:lang w:val="en-US" w:eastAsia="zh-CN"/>
                    </w:rPr>
                    <w:t>日最大门诊量</w:t>
                  </w:r>
                </w:p>
                <w:p w14:paraId="0E8E36C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lang w:val="en-US" w:eastAsia="zh-CN"/>
                    </w:rPr>
                  </w:pPr>
                  <w:r>
                    <w:rPr>
                      <w:rFonts w:hint="default" w:ascii="Times New Roman" w:hAnsi="Times New Roman" w:eastAsia="宋体" w:cs="Times New Roman"/>
                      <w:b w:val="0"/>
                      <w:bCs/>
                      <w:color w:val="auto"/>
                      <w:w w:val="80"/>
                      <w:sz w:val="21"/>
                      <w:szCs w:val="21"/>
                      <w:highlight w:val="none"/>
                      <w:lang w:val="en-US" w:eastAsia="zh-CN"/>
                    </w:rPr>
                    <w:t>（人次）</w:t>
                  </w:r>
                </w:p>
              </w:tc>
              <w:tc>
                <w:tcPr>
                  <w:tcW w:w="892" w:type="dxa"/>
                  <w:tcBorders>
                    <w:tl2br w:val="nil"/>
                    <w:tr2bl w:val="nil"/>
                  </w:tcBorders>
                  <w:shd w:val="clear" w:color="auto" w:fill="auto"/>
                  <w:tcMar>
                    <w:top w:w="120" w:type="dxa"/>
                    <w:left w:w="120" w:type="dxa"/>
                    <w:bottom w:w="120" w:type="dxa"/>
                    <w:right w:w="120" w:type="dxa"/>
                  </w:tcMar>
                  <w:vAlign w:val="center"/>
                </w:tcPr>
                <w:p w14:paraId="788E4BF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lang w:val="en-US" w:eastAsia="zh-CN"/>
                    </w:rPr>
                  </w:pPr>
                  <w:r>
                    <w:rPr>
                      <w:rFonts w:hint="default" w:ascii="Times New Roman" w:hAnsi="Times New Roman" w:eastAsia="宋体" w:cs="Times New Roman"/>
                      <w:b w:val="0"/>
                      <w:bCs/>
                      <w:color w:val="auto"/>
                      <w:w w:val="80"/>
                      <w:sz w:val="21"/>
                      <w:szCs w:val="21"/>
                      <w:highlight w:val="none"/>
                      <w:lang w:val="en-US" w:eastAsia="zh-CN"/>
                    </w:rPr>
                    <w:t>年工作时间（天）</w:t>
                  </w:r>
                </w:p>
              </w:tc>
              <w:tc>
                <w:tcPr>
                  <w:tcW w:w="913" w:type="dxa"/>
                  <w:tcBorders>
                    <w:tl2br w:val="nil"/>
                    <w:tr2bl w:val="nil"/>
                  </w:tcBorders>
                  <w:shd w:val="clear" w:color="auto" w:fill="auto"/>
                  <w:tcMar>
                    <w:top w:w="120" w:type="dxa"/>
                    <w:left w:w="120" w:type="dxa"/>
                    <w:bottom w:w="120" w:type="dxa"/>
                    <w:right w:w="120" w:type="dxa"/>
                  </w:tcMar>
                  <w:vAlign w:val="center"/>
                </w:tcPr>
                <w:p w14:paraId="3E825D8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lang w:val="en-US" w:eastAsia="zh-CN"/>
                    </w:rPr>
                  </w:pPr>
                  <w:r>
                    <w:rPr>
                      <w:rFonts w:hint="default" w:ascii="Times New Roman" w:hAnsi="Times New Roman" w:eastAsia="宋体" w:cs="Times New Roman"/>
                      <w:b w:val="0"/>
                      <w:bCs/>
                      <w:color w:val="auto"/>
                      <w:w w:val="80"/>
                      <w:sz w:val="21"/>
                      <w:szCs w:val="21"/>
                      <w:highlight w:val="none"/>
                      <w:lang w:val="en-US" w:eastAsia="zh-CN"/>
                    </w:rPr>
                    <w:t>放射性废物产生定额（g）</w:t>
                  </w:r>
                </w:p>
              </w:tc>
              <w:tc>
                <w:tcPr>
                  <w:tcW w:w="1411" w:type="dxa"/>
                  <w:tcBorders>
                    <w:tl2br w:val="nil"/>
                    <w:tr2bl w:val="nil"/>
                  </w:tcBorders>
                  <w:shd w:val="clear" w:color="auto" w:fill="auto"/>
                  <w:tcMar>
                    <w:top w:w="120" w:type="dxa"/>
                    <w:left w:w="120" w:type="dxa"/>
                    <w:bottom w:w="120" w:type="dxa"/>
                    <w:right w:w="120" w:type="dxa"/>
                  </w:tcMar>
                  <w:vAlign w:val="center"/>
                </w:tcPr>
                <w:p w14:paraId="27A4C96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lang w:val="en-US" w:eastAsia="zh-CN"/>
                    </w:rPr>
                  </w:pPr>
                  <w:r>
                    <w:rPr>
                      <w:rFonts w:hint="default" w:ascii="Times New Roman" w:hAnsi="Times New Roman" w:eastAsia="宋体" w:cs="Times New Roman"/>
                      <w:b w:val="0"/>
                      <w:bCs/>
                      <w:color w:val="auto"/>
                      <w:w w:val="80"/>
                      <w:sz w:val="21"/>
                      <w:szCs w:val="21"/>
                      <w:highlight w:val="none"/>
                      <w:lang w:val="en-US" w:eastAsia="zh-CN"/>
                    </w:rPr>
                    <w:t>全年放射性废物产生量</w:t>
                  </w:r>
                </w:p>
                <w:p w14:paraId="5FBF69C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lang w:val="en-US" w:eastAsia="zh-CN"/>
                    </w:rPr>
                  </w:pPr>
                  <w:r>
                    <w:rPr>
                      <w:rFonts w:hint="default" w:ascii="Times New Roman" w:hAnsi="Times New Roman" w:eastAsia="宋体" w:cs="Times New Roman"/>
                      <w:b w:val="0"/>
                      <w:bCs/>
                      <w:color w:val="auto"/>
                      <w:w w:val="80"/>
                      <w:sz w:val="21"/>
                      <w:szCs w:val="21"/>
                      <w:highlight w:val="none"/>
                      <w:lang w:val="en-US" w:eastAsia="zh-CN"/>
                    </w:rPr>
                    <w:t>（kg）</w:t>
                  </w:r>
                </w:p>
              </w:tc>
              <w:tc>
                <w:tcPr>
                  <w:tcW w:w="1322" w:type="dxa"/>
                  <w:tcBorders>
                    <w:tl2br w:val="nil"/>
                    <w:tr2bl w:val="nil"/>
                  </w:tcBorders>
                  <w:shd w:val="clear" w:color="auto" w:fill="auto"/>
                  <w:tcMar>
                    <w:top w:w="120" w:type="dxa"/>
                    <w:left w:w="120" w:type="dxa"/>
                    <w:bottom w:w="120" w:type="dxa"/>
                    <w:right w:w="120" w:type="dxa"/>
                  </w:tcMar>
                  <w:vAlign w:val="center"/>
                </w:tcPr>
                <w:p w14:paraId="2EA20DD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0"/>
                      <w:szCs w:val="20"/>
                      <w:highlight w:val="none"/>
                      <w:lang w:val="en-US" w:eastAsia="zh-CN"/>
                    </w:rPr>
                  </w:pPr>
                  <w:r>
                    <w:rPr>
                      <w:rFonts w:hint="default" w:ascii="Times New Roman" w:hAnsi="Times New Roman" w:eastAsia="宋体" w:cs="Times New Roman"/>
                      <w:b w:val="0"/>
                      <w:bCs/>
                      <w:color w:val="auto"/>
                      <w:w w:val="80"/>
                      <w:sz w:val="20"/>
                      <w:szCs w:val="20"/>
                      <w:highlight w:val="none"/>
                      <w:lang w:val="en-US" w:eastAsia="zh-CN"/>
                    </w:rPr>
                    <w:t>半衰期类别</w:t>
                  </w:r>
                </w:p>
              </w:tc>
            </w:tr>
            <w:tr w14:paraId="3CCB2E4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tcMar>
                    <w:top w:w="120" w:type="dxa"/>
                    <w:left w:w="120" w:type="dxa"/>
                    <w:bottom w:w="120" w:type="dxa"/>
                    <w:right w:w="120" w:type="dxa"/>
                  </w:tcMar>
                  <w:vAlign w:val="center"/>
                </w:tcPr>
                <w:p w14:paraId="617BF27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rPr>
                  </w:pPr>
                  <w:r>
                    <w:rPr>
                      <w:rFonts w:hint="default" w:ascii="Times New Roman" w:hAnsi="Times New Roman" w:eastAsia="宋体" w:cs="Times New Roman"/>
                      <w:b w:val="0"/>
                      <w:bCs/>
                      <w:color w:val="auto"/>
                      <w:w w:val="80"/>
                      <w:sz w:val="21"/>
                      <w:szCs w:val="21"/>
                      <w:highlight w:val="none"/>
                      <w:lang w:val="en-US" w:eastAsia="zh-CN"/>
                    </w:rPr>
                    <w:t>SPECT诊断区（门诊）</w:t>
                  </w:r>
                </w:p>
              </w:tc>
              <w:tc>
                <w:tcPr>
                  <w:tcW w:w="1080" w:type="dxa"/>
                  <w:tcBorders>
                    <w:tl2br w:val="nil"/>
                    <w:tr2bl w:val="nil"/>
                  </w:tcBorders>
                  <w:shd w:val="clear" w:color="auto" w:fill="auto"/>
                  <w:tcMar>
                    <w:top w:w="120" w:type="dxa"/>
                    <w:left w:w="120" w:type="dxa"/>
                    <w:bottom w:w="120" w:type="dxa"/>
                    <w:right w:w="120" w:type="dxa"/>
                  </w:tcMar>
                  <w:vAlign w:val="center"/>
                </w:tcPr>
                <w:p w14:paraId="1ADA1DC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vertAlign w:val="baseline"/>
                      <w:lang w:val="en-US" w:eastAsia="zh-CN"/>
                    </w:rPr>
                    <w:t>I-131</w:t>
                  </w:r>
                </w:p>
              </w:tc>
              <w:tc>
                <w:tcPr>
                  <w:tcW w:w="994" w:type="dxa"/>
                  <w:tcBorders>
                    <w:tl2br w:val="nil"/>
                    <w:tr2bl w:val="nil"/>
                  </w:tcBorders>
                  <w:shd w:val="clear" w:color="auto" w:fill="auto"/>
                  <w:tcMar>
                    <w:top w:w="120" w:type="dxa"/>
                    <w:left w:w="120" w:type="dxa"/>
                    <w:bottom w:w="120" w:type="dxa"/>
                    <w:right w:w="120" w:type="dxa"/>
                  </w:tcMar>
                  <w:vAlign w:val="center"/>
                </w:tcPr>
                <w:p w14:paraId="0EF5A68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60</w:t>
                  </w:r>
                </w:p>
              </w:tc>
              <w:tc>
                <w:tcPr>
                  <w:tcW w:w="892" w:type="dxa"/>
                  <w:tcBorders>
                    <w:tl2br w:val="nil"/>
                    <w:tr2bl w:val="nil"/>
                  </w:tcBorders>
                  <w:shd w:val="clear" w:color="auto" w:fill="auto"/>
                  <w:tcMar>
                    <w:top w:w="120" w:type="dxa"/>
                    <w:left w:w="120" w:type="dxa"/>
                    <w:bottom w:w="120" w:type="dxa"/>
                    <w:right w:w="120" w:type="dxa"/>
                  </w:tcMar>
                  <w:vAlign w:val="center"/>
                </w:tcPr>
                <w:p w14:paraId="32CA815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250</w:t>
                  </w:r>
                </w:p>
              </w:tc>
              <w:tc>
                <w:tcPr>
                  <w:tcW w:w="913" w:type="dxa"/>
                  <w:tcBorders>
                    <w:tl2br w:val="nil"/>
                    <w:tr2bl w:val="nil"/>
                  </w:tcBorders>
                  <w:shd w:val="clear" w:color="auto" w:fill="auto"/>
                  <w:tcMar>
                    <w:top w:w="120" w:type="dxa"/>
                    <w:left w:w="120" w:type="dxa"/>
                    <w:bottom w:w="120" w:type="dxa"/>
                    <w:right w:w="120" w:type="dxa"/>
                  </w:tcMar>
                  <w:vAlign w:val="center"/>
                </w:tcPr>
                <w:p w14:paraId="11B639A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50</w:t>
                  </w:r>
                </w:p>
              </w:tc>
              <w:tc>
                <w:tcPr>
                  <w:tcW w:w="1411" w:type="dxa"/>
                  <w:tcBorders>
                    <w:tl2br w:val="nil"/>
                    <w:tr2bl w:val="nil"/>
                  </w:tcBorders>
                  <w:shd w:val="clear" w:color="auto" w:fill="auto"/>
                  <w:tcMar>
                    <w:top w:w="120" w:type="dxa"/>
                    <w:left w:w="120" w:type="dxa"/>
                    <w:bottom w:w="120" w:type="dxa"/>
                    <w:right w:w="120" w:type="dxa"/>
                  </w:tcMar>
                  <w:vAlign w:val="center"/>
                </w:tcPr>
                <w:p w14:paraId="2350980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750</w:t>
                  </w:r>
                </w:p>
              </w:tc>
              <w:tc>
                <w:tcPr>
                  <w:tcW w:w="1322" w:type="dxa"/>
                  <w:vMerge w:val="restart"/>
                  <w:tcBorders>
                    <w:tl2br w:val="nil"/>
                    <w:tr2bl w:val="nil"/>
                  </w:tcBorders>
                  <w:shd w:val="clear" w:color="auto" w:fill="auto"/>
                  <w:tcMar>
                    <w:top w:w="120" w:type="dxa"/>
                    <w:left w:w="120" w:type="dxa"/>
                    <w:bottom w:w="120" w:type="dxa"/>
                    <w:right w:w="120" w:type="dxa"/>
                  </w:tcMar>
                  <w:vAlign w:val="center"/>
                </w:tcPr>
                <w:p w14:paraId="3BE02A0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0"/>
                      <w:szCs w:val="20"/>
                      <w:highlight w:val="none"/>
                    </w:rPr>
                  </w:pPr>
                  <w:r>
                    <w:rPr>
                      <w:rFonts w:hint="default" w:ascii="Times New Roman" w:hAnsi="Times New Roman" w:eastAsia="宋体" w:cs="Times New Roman"/>
                      <w:b w:val="0"/>
                      <w:bCs/>
                      <w:color w:val="auto"/>
                      <w:sz w:val="20"/>
                      <w:szCs w:val="20"/>
                      <w:highlight w:val="none"/>
                      <w:lang w:val="en-US" w:eastAsia="zh-CN"/>
                    </w:rPr>
                    <w:t>长</w:t>
                  </w:r>
                </w:p>
              </w:tc>
            </w:tr>
            <w:tr w14:paraId="533521BE">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tcMar>
                    <w:top w:w="120" w:type="dxa"/>
                    <w:left w:w="120" w:type="dxa"/>
                    <w:bottom w:w="120" w:type="dxa"/>
                    <w:right w:w="120" w:type="dxa"/>
                  </w:tcMar>
                  <w:vAlign w:val="center"/>
                </w:tcPr>
                <w:p w14:paraId="0EAEFA5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rPr>
                  </w:pPr>
                  <w:r>
                    <w:rPr>
                      <w:rFonts w:hint="default" w:ascii="Times New Roman" w:hAnsi="Times New Roman" w:eastAsia="宋体" w:cs="Times New Roman"/>
                      <w:b w:val="0"/>
                      <w:bCs/>
                      <w:color w:val="auto"/>
                      <w:w w:val="80"/>
                      <w:sz w:val="21"/>
                      <w:szCs w:val="21"/>
                      <w:highlight w:val="none"/>
                      <w:lang w:val="en-US" w:eastAsia="zh-CN"/>
                    </w:rPr>
                    <w:t>核素治疗区（住院）</w:t>
                  </w:r>
                </w:p>
              </w:tc>
              <w:tc>
                <w:tcPr>
                  <w:tcW w:w="1080" w:type="dxa"/>
                  <w:tcBorders>
                    <w:tl2br w:val="nil"/>
                    <w:tr2bl w:val="nil"/>
                  </w:tcBorders>
                  <w:shd w:val="clear" w:color="auto" w:fill="auto"/>
                  <w:tcMar>
                    <w:top w:w="120" w:type="dxa"/>
                    <w:left w:w="120" w:type="dxa"/>
                    <w:bottom w:w="120" w:type="dxa"/>
                    <w:right w:w="120" w:type="dxa"/>
                  </w:tcMar>
                  <w:vAlign w:val="center"/>
                </w:tcPr>
                <w:p w14:paraId="3A804F7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vertAlign w:val="baseline"/>
                      <w:lang w:val="en-US" w:eastAsia="zh-CN"/>
                    </w:rPr>
                    <w:t>I-131</w:t>
                  </w:r>
                </w:p>
              </w:tc>
              <w:tc>
                <w:tcPr>
                  <w:tcW w:w="994" w:type="dxa"/>
                  <w:tcBorders>
                    <w:tl2br w:val="nil"/>
                    <w:tr2bl w:val="nil"/>
                  </w:tcBorders>
                  <w:shd w:val="clear" w:color="auto" w:fill="auto"/>
                  <w:tcMar>
                    <w:top w:w="120" w:type="dxa"/>
                    <w:left w:w="120" w:type="dxa"/>
                    <w:bottom w:w="120" w:type="dxa"/>
                    <w:right w:w="120" w:type="dxa"/>
                  </w:tcMar>
                  <w:vAlign w:val="center"/>
                </w:tcPr>
                <w:p w14:paraId="3825D93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17</w:t>
                  </w:r>
                </w:p>
              </w:tc>
              <w:tc>
                <w:tcPr>
                  <w:tcW w:w="892" w:type="dxa"/>
                  <w:tcBorders>
                    <w:tl2br w:val="nil"/>
                    <w:tr2bl w:val="nil"/>
                  </w:tcBorders>
                  <w:shd w:val="clear" w:color="auto" w:fill="auto"/>
                  <w:tcMar>
                    <w:top w:w="120" w:type="dxa"/>
                    <w:left w:w="120" w:type="dxa"/>
                    <w:bottom w:w="120" w:type="dxa"/>
                    <w:right w:w="120" w:type="dxa"/>
                  </w:tcMar>
                  <w:vAlign w:val="center"/>
                </w:tcPr>
                <w:p w14:paraId="29BC0E9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250</w:t>
                  </w:r>
                </w:p>
              </w:tc>
              <w:tc>
                <w:tcPr>
                  <w:tcW w:w="913" w:type="dxa"/>
                  <w:tcBorders>
                    <w:tl2br w:val="nil"/>
                    <w:tr2bl w:val="nil"/>
                  </w:tcBorders>
                  <w:shd w:val="clear" w:color="auto" w:fill="auto"/>
                  <w:tcMar>
                    <w:top w:w="120" w:type="dxa"/>
                    <w:left w:w="120" w:type="dxa"/>
                    <w:bottom w:w="120" w:type="dxa"/>
                    <w:right w:w="120" w:type="dxa"/>
                  </w:tcMar>
                  <w:vAlign w:val="center"/>
                </w:tcPr>
                <w:p w14:paraId="55C8E71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1000</w:t>
                  </w:r>
                </w:p>
              </w:tc>
              <w:tc>
                <w:tcPr>
                  <w:tcW w:w="1411" w:type="dxa"/>
                  <w:tcBorders>
                    <w:tl2br w:val="nil"/>
                    <w:tr2bl w:val="nil"/>
                  </w:tcBorders>
                  <w:shd w:val="clear" w:color="auto" w:fill="auto"/>
                  <w:tcMar>
                    <w:top w:w="120" w:type="dxa"/>
                    <w:left w:w="120" w:type="dxa"/>
                    <w:bottom w:w="120" w:type="dxa"/>
                    <w:right w:w="120" w:type="dxa"/>
                  </w:tcMar>
                  <w:vAlign w:val="center"/>
                </w:tcPr>
                <w:p w14:paraId="6976E62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4250</w:t>
                  </w:r>
                </w:p>
              </w:tc>
              <w:tc>
                <w:tcPr>
                  <w:tcW w:w="1322" w:type="dxa"/>
                  <w:vMerge w:val="continue"/>
                  <w:tcBorders>
                    <w:tl2br w:val="nil"/>
                    <w:tr2bl w:val="nil"/>
                  </w:tcBorders>
                  <w:shd w:val="clear" w:color="auto" w:fill="auto"/>
                  <w:tcMar>
                    <w:top w:w="120" w:type="dxa"/>
                    <w:left w:w="120" w:type="dxa"/>
                    <w:bottom w:w="120" w:type="dxa"/>
                    <w:right w:w="120" w:type="dxa"/>
                  </w:tcMar>
                  <w:vAlign w:val="center"/>
                </w:tcPr>
                <w:p w14:paraId="10E5BDF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0"/>
                      <w:szCs w:val="20"/>
                      <w:highlight w:val="none"/>
                    </w:rPr>
                  </w:pPr>
                </w:p>
              </w:tc>
            </w:tr>
            <w:tr w14:paraId="25856F47">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tcMar>
                    <w:top w:w="120" w:type="dxa"/>
                    <w:left w:w="120" w:type="dxa"/>
                    <w:bottom w:w="120" w:type="dxa"/>
                    <w:right w:w="120" w:type="dxa"/>
                  </w:tcMar>
                  <w:vAlign w:val="center"/>
                </w:tcPr>
                <w:p w14:paraId="235E71D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rPr>
                  </w:pPr>
                  <w:r>
                    <w:rPr>
                      <w:rFonts w:hint="default" w:ascii="Times New Roman" w:hAnsi="Times New Roman" w:eastAsia="宋体" w:cs="Times New Roman"/>
                      <w:b w:val="0"/>
                      <w:bCs/>
                      <w:color w:val="auto"/>
                      <w:w w:val="80"/>
                      <w:sz w:val="21"/>
                      <w:szCs w:val="21"/>
                      <w:highlight w:val="none"/>
                      <w:lang w:val="en-US" w:eastAsia="zh-CN"/>
                    </w:rPr>
                    <w:t>核素治疗区（住院）</w:t>
                  </w:r>
                </w:p>
              </w:tc>
              <w:tc>
                <w:tcPr>
                  <w:tcW w:w="1080" w:type="dxa"/>
                  <w:tcBorders>
                    <w:tl2br w:val="nil"/>
                    <w:tr2bl w:val="nil"/>
                  </w:tcBorders>
                  <w:shd w:val="clear" w:color="auto" w:fill="auto"/>
                  <w:tcMar>
                    <w:top w:w="120" w:type="dxa"/>
                    <w:left w:w="120" w:type="dxa"/>
                    <w:bottom w:w="120" w:type="dxa"/>
                    <w:right w:w="120" w:type="dxa"/>
                  </w:tcMar>
                  <w:vAlign w:val="center"/>
                </w:tcPr>
                <w:p w14:paraId="0AA6B97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vertAlign w:val="baseline"/>
                      <w:lang w:val="en-US" w:eastAsia="zh-CN"/>
                    </w:rPr>
                    <w:t>Lu-177</w:t>
                  </w:r>
                </w:p>
              </w:tc>
              <w:tc>
                <w:tcPr>
                  <w:tcW w:w="994" w:type="dxa"/>
                  <w:tcBorders>
                    <w:tl2br w:val="nil"/>
                    <w:tr2bl w:val="nil"/>
                  </w:tcBorders>
                  <w:shd w:val="clear" w:color="auto" w:fill="auto"/>
                  <w:tcMar>
                    <w:top w:w="120" w:type="dxa"/>
                    <w:left w:w="120" w:type="dxa"/>
                    <w:bottom w:w="120" w:type="dxa"/>
                    <w:right w:w="120" w:type="dxa"/>
                  </w:tcMar>
                  <w:vAlign w:val="center"/>
                </w:tcPr>
                <w:p w14:paraId="62C4F68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1</w:t>
                  </w:r>
                </w:p>
              </w:tc>
              <w:tc>
                <w:tcPr>
                  <w:tcW w:w="892" w:type="dxa"/>
                  <w:tcBorders>
                    <w:tl2br w:val="nil"/>
                    <w:tr2bl w:val="nil"/>
                  </w:tcBorders>
                  <w:shd w:val="clear" w:color="auto" w:fill="auto"/>
                  <w:tcMar>
                    <w:top w:w="120" w:type="dxa"/>
                    <w:left w:w="120" w:type="dxa"/>
                    <w:bottom w:w="120" w:type="dxa"/>
                    <w:right w:w="120" w:type="dxa"/>
                  </w:tcMar>
                  <w:vAlign w:val="center"/>
                </w:tcPr>
                <w:p w14:paraId="7D3F9F1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250</w:t>
                  </w:r>
                </w:p>
              </w:tc>
              <w:tc>
                <w:tcPr>
                  <w:tcW w:w="913" w:type="dxa"/>
                  <w:tcBorders>
                    <w:tl2br w:val="nil"/>
                    <w:tr2bl w:val="nil"/>
                  </w:tcBorders>
                  <w:shd w:val="clear" w:color="auto" w:fill="auto"/>
                  <w:tcMar>
                    <w:top w:w="120" w:type="dxa"/>
                    <w:left w:w="120" w:type="dxa"/>
                    <w:bottom w:w="120" w:type="dxa"/>
                    <w:right w:w="120" w:type="dxa"/>
                  </w:tcMar>
                  <w:vAlign w:val="center"/>
                </w:tcPr>
                <w:p w14:paraId="67E9D73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1000</w:t>
                  </w:r>
                </w:p>
              </w:tc>
              <w:tc>
                <w:tcPr>
                  <w:tcW w:w="1411" w:type="dxa"/>
                  <w:tcBorders>
                    <w:tl2br w:val="nil"/>
                    <w:tr2bl w:val="nil"/>
                  </w:tcBorders>
                  <w:shd w:val="clear" w:color="auto" w:fill="auto"/>
                  <w:tcMar>
                    <w:top w:w="120" w:type="dxa"/>
                    <w:left w:w="120" w:type="dxa"/>
                    <w:bottom w:w="120" w:type="dxa"/>
                    <w:right w:w="120" w:type="dxa"/>
                  </w:tcMar>
                  <w:vAlign w:val="center"/>
                </w:tcPr>
                <w:p w14:paraId="5EF42A4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250</w:t>
                  </w:r>
                </w:p>
              </w:tc>
              <w:tc>
                <w:tcPr>
                  <w:tcW w:w="1322" w:type="dxa"/>
                  <w:vMerge w:val="continue"/>
                  <w:tcBorders>
                    <w:tl2br w:val="nil"/>
                    <w:tr2bl w:val="nil"/>
                  </w:tcBorders>
                  <w:shd w:val="clear" w:color="auto" w:fill="auto"/>
                  <w:tcMar>
                    <w:top w:w="120" w:type="dxa"/>
                    <w:left w:w="120" w:type="dxa"/>
                    <w:bottom w:w="120" w:type="dxa"/>
                    <w:right w:w="120" w:type="dxa"/>
                  </w:tcMar>
                  <w:vAlign w:val="center"/>
                </w:tcPr>
                <w:p w14:paraId="2993A80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0"/>
                      <w:szCs w:val="20"/>
                      <w:highlight w:val="none"/>
                    </w:rPr>
                  </w:pPr>
                </w:p>
              </w:tc>
            </w:tr>
            <w:tr w14:paraId="2BE93A60">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tcMar>
                    <w:top w:w="120" w:type="dxa"/>
                    <w:left w:w="120" w:type="dxa"/>
                    <w:bottom w:w="120" w:type="dxa"/>
                    <w:right w:w="120" w:type="dxa"/>
                  </w:tcMar>
                  <w:vAlign w:val="center"/>
                </w:tcPr>
                <w:p w14:paraId="38BC864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rPr>
                  </w:pPr>
                  <w:r>
                    <w:rPr>
                      <w:rFonts w:hint="default" w:ascii="Times New Roman" w:hAnsi="Times New Roman" w:eastAsia="宋体" w:cs="Times New Roman"/>
                      <w:b w:val="0"/>
                      <w:bCs/>
                      <w:color w:val="auto"/>
                      <w:w w:val="80"/>
                      <w:sz w:val="21"/>
                      <w:szCs w:val="21"/>
                      <w:highlight w:val="none"/>
                      <w:lang w:val="en-US" w:eastAsia="zh-CN"/>
                    </w:rPr>
                    <w:t>核素治疗区（门诊）</w:t>
                  </w:r>
                </w:p>
              </w:tc>
              <w:tc>
                <w:tcPr>
                  <w:tcW w:w="1080" w:type="dxa"/>
                  <w:tcBorders>
                    <w:tl2br w:val="nil"/>
                    <w:tr2bl w:val="nil"/>
                  </w:tcBorders>
                  <w:shd w:val="clear" w:color="auto" w:fill="auto"/>
                  <w:tcMar>
                    <w:top w:w="120" w:type="dxa"/>
                    <w:left w:w="120" w:type="dxa"/>
                    <w:bottom w:w="120" w:type="dxa"/>
                    <w:right w:w="120" w:type="dxa"/>
                  </w:tcMar>
                  <w:vAlign w:val="center"/>
                </w:tcPr>
                <w:p w14:paraId="3ABD015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vertAlign w:val="baseline"/>
                      <w:lang w:val="en-US" w:eastAsia="zh-CN"/>
                    </w:rPr>
                    <w:t>Ra-223</w:t>
                  </w:r>
                </w:p>
              </w:tc>
              <w:tc>
                <w:tcPr>
                  <w:tcW w:w="994" w:type="dxa"/>
                  <w:tcBorders>
                    <w:tl2br w:val="nil"/>
                    <w:tr2bl w:val="nil"/>
                  </w:tcBorders>
                  <w:shd w:val="clear" w:color="auto" w:fill="auto"/>
                  <w:tcMar>
                    <w:top w:w="120" w:type="dxa"/>
                    <w:left w:w="120" w:type="dxa"/>
                    <w:bottom w:w="120" w:type="dxa"/>
                    <w:right w:w="120" w:type="dxa"/>
                  </w:tcMar>
                  <w:vAlign w:val="center"/>
                </w:tcPr>
                <w:p w14:paraId="6E50CEC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1</w:t>
                  </w:r>
                </w:p>
              </w:tc>
              <w:tc>
                <w:tcPr>
                  <w:tcW w:w="892" w:type="dxa"/>
                  <w:tcBorders>
                    <w:tl2br w:val="nil"/>
                    <w:tr2bl w:val="nil"/>
                  </w:tcBorders>
                  <w:shd w:val="clear" w:color="auto" w:fill="auto"/>
                  <w:tcMar>
                    <w:top w:w="120" w:type="dxa"/>
                    <w:left w:w="120" w:type="dxa"/>
                    <w:bottom w:w="120" w:type="dxa"/>
                    <w:right w:w="120" w:type="dxa"/>
                  </w:tcMar>
                  <w:vAlign w:val="center"/>
                </w:tcPr>
                <w:p w14:paraId="57ED398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30</w:t>
                  </w:r>
                </w:p>
              </w:tc>
              <w:tc>
                <w:tcPr>
                  <w:tcW w:w="913" w:type="dxa"/>
                  <w:tcBorders>
                    <w:tl2br w:val="nil"/>
                    <w:tr2bl w:val="nil"/>
                  </w:tcBorders>
                  <w:shd w:val="clear" w:color="auto" w:fill="auto"/>
                  <w:tcMar>
                    <w:top w:w="120" w:type="dxa"/>
                    <w:left w:w="120" w:type="dxa"/>
                    <w:bottom w:w="120" w:type="dxa"/>
                    <w:right w:w="120" w:type="dxa"/>
                  </w:tcMar>
                  <w:vAlign w:val="center"/>
                </w:tcPr>
                <w:p w14:paraId="2680C7C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50</w:t>
                  </w:r>
                </w:p>
              </w:tc>
              <w:tc>
                <w:tcPr>
                  <w:tcW w:w="1411" w:type="dxa"/>
                  <w:tcBorders>
                    <w:tl2br w:val="nil"/>
                    <w:tr2bl w:val="nil"/>
                  </w:tcBorders>
                  <w:shd w:val="clear" w:color="auto" w:fill="auto"/>
                  <w:tcMar>
                    <w:top w:w="120" w:type="dxa"/>
                    <w:left w:w="120" w:type="dxa"/>
                    <w:bottom w:w="120" w:type="dxa"/>
                    <w:right w:w="120" w:type="dxa"/>
                  </w:tcMar>
                  <w:vAlign w:val="center"/>
                </w:tcPr>
                <w:p w14:paraId="27963B9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1.5</w:t>
                  </w:r>
                </w:p>
              </w:tc>
              <w:tc>
                <w:tcPr>
                  <w:tcW w:w="1322" w:type="dxa"/>
                  <w:vMerge w:val="continue"/>
                  <w:tcBorders>
                    <w:tl2br w:val="nil"/>
                    <w:tr2bl w:val="nil"/>
                  </w:tcBorders>
                  <w:shd w:val="clear" w:color="auto" w:fill="auto"/>
                  <w:tcMar>
                    <w:top w:w="120" w:type="dxa"/>
                    <w:left w:w="120" w:type="dxa"/>
                    <w:bottom w:w="120" w:type="dxa"/>
                    <w:right w:w="120" w:type="dxa"/>
                  </w:tcMar>
                  <w:vAlign w:val="center"/>
                </w:tcPr>
                <w:p w14:paraId="6B1A417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0"/>
                      <w:szCs w:val="20"/>
                      <w:highlight w:val="none"/>
                    </w:rPr>
                  </w:pPr>
                </w:p>
              </w:tc>
            </w:tr>
            <w:tr w14:paraId="5D15F224">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tcMar>
                    <w:top w:w="120" w:type="dxa"/>
                    <w:left w:w="120" w:type="dxa"/>
                    <w:bottom w:w="120" w:type="dxa"/>
                    <w:right w:w="120" w:type="dxa"/>
                  </w:tcMar>
                  <w:vAlign w:val="center"/>
                </w:tcPr>
                <w:p w14:paraId="70A965C1">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rPr>
                  </w:pPr>
                  <w:r>
                    <w:rPr>
                      <w:rFonts w:hint="default" w:ascii="Times New Roman" w:hAnsi="Times New Roman" w:eastAsia="宋体" w:cs="Times New Roman"/>
                      <w:b w:val="0"/>
                      <w:bCs/>
                      <w:color w:val="auto"/>
                      <w:w w:val="80"/>
                      <w:sz w:val="21"/>
                      <w:szCs w:val="21"/>
                      <w:highlight w:val="none"/>
                      <w:lang w:val="en-US" w:eastAsia="zh-CN"/>
                    </w:rPr>
                    <w:t>核素治疗区（门诊）</w:t>
                  </w:r>
                </w:p>
              </w:tc>
              <w:tc>
                <w:tcPr>
                  <w:tcW w:w="1080" w:type="dxa"/>
                  <w:tcBorders>
                    <w:tl2br w:val="nil"/>
                    <w:tr2bl w:val="nil"/>
                  </w:tcBorders>
                  <w:shd w:val="clear" w:color="auto" w:fill="auto"/>
                  <w:tcMar>
                    <w:top w:w="120" w:type="dxa"/>
                    <w:left w:w="120" w:type="dxa"/>
                    <w:bottom w:w="120" w:type="dxa"/>
                    <w:right w:w="120" w:type="dxa"/>
                  </w:tcMar>
                  <w:vAlign w:val="center"/>
                </w:tcPr>
                <w:p w14:paraId="36A174D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vertAlign w:val="baseline"/>
                      <w:lang w:val="en-US" w:eastAsia="zh-CN"/>
                    </w:rPr>
                    <w:t>Ac-225</w:t>
                  </w:r>
                </w:p>
              </w:tc>
              <w:tc>
                <w:tcPr>
                  <w:tcW w:w="994" w:type="dxa"/>
                  <w:tcBorders>
                    <w:tl2br w:val="nil"/>
                    <w:tr2bl w:val="nil"/>
                  </w:tcBorders>
                  <w:shd w:val="clear" w:color="auto" w:fill="auto"/>
                  <w:tcMar>
                    <w:top w:w="120" w:type="dxa"/>
                    <w:left w:w="120" w:type="dxa"/>
                    <w:bottom w:w="120" w:type="dxa"/>
                    <w:right w:w="120" w:type="dxa"/>
                  </w:tcMar>
                  <w:vAlign w:val="center"/>
                </w:tcPr>
                <w:p w14:paraId="46A6540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1</w:t>
                  </w:r>
                </w:p>
              </w:tc>
              <w:tc>
                <w:tcPr>
                  <w:tcW w:w="892" w:type="dxa"/>
                  <w:tcBorders>
                    <w:tl2br w:val="nil"/>
                    <w:tr2bl w:val="nil"/>
                  </w:tcBorders>
                  <w:shd w:val="clear" w:color="auto" w:fill="auto"/>
                  <w:tcMar>
                    <w:top w:w="120" w:type="dxa"/>
                    <w:left w:w="120" w:type="dxa"/>
                    <w:bottom w:w="120" w:type="dxa"/>
                    <w:right w:w="120" w:type="dxa"/>
                  </w:tcMar>
                  <w:vAlign w:val="center"/>
                </w:tcPr>
                <w:p w14:paraId="09DF5AF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30</w:t>
                  </w:r>
                </w:p>
              </w:tc>
              <w:tc>
                <w:tcPr>
                  <w:tcW w:w="913" w:type="dxa"/>
                  <w:tcBorders>
                    <w:tl2br w:val="nil"/>
                    <w:tr2bl w:val="nil"/>
                  </w:tcBorders>
                  <w:shd w:val="clear" w:color="auto" w:fill="auto"/>
                  <w:tcMar>
                    <w:top w:w="120" w:type="dxa"/>
                    <w:left w:w="120" w:type="dxa"/>
                    <w:bottom w:w="120" w:type="dxa"/>
                    <w:right w:w="120" w:type="dxa"/>
                  </w:tcMar>
                  <w:vAlign w:val="center"/>
                </w:tcPr>
                <w:p w14:paraId="707D2C8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50</w:t>
                  </w:r>
                </w:p>
              </w:tc>
              <w:tc>
                <w:tcPr>
                  <w:tcW w:w="1411" w:type="dxa"/>
                  <w:tcBorders>
                    <w:tl2br w:val="nil"/>
                    <w:tr2bl w:val="nil"/>
                  </w:tcBorders>
                  <w:shd w:val="clear" w:color="auto" w:fill="auto"/>
                  <w:tcMar>
                    <w:top w:w="120" w:type="dxa"/>
                    <w:left w:w="120" w:type="dxa"/>
                    <w:bottom w:w="120" w:type="dxa"/>
                    <w:right w:w="120" w:type="dxa"/>
                  </w:tcMar>
                  <w:vAlign w:val="center"/>
                </w:tcPr>
                <w:p w14:paraId="2A6F70F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1.5</w:t>
                  </w:r>
                </w:p>
              </w:tc>
              <w:tc>
                <w:tcPr>
                  <w:tcW w:w="1322" w:type="dxa"/>
                  <w:vMerge w:val="continue"/>
                  <w:tcBorders>
                    <w:tl2br w:val="nil"/>
                    <w:tr2bl w:val="nil"/>
                  </w:tcBorders>
                  <w:shd w:val="clear" w:color="auto" w:fill="auto"/>
                  <w:tcMar>
                    <w:top w:w="120" w:type="dxa"/>
                    <w:left w:w="120" w:type="dxa"/>
                    <w:bottom w:w="120" w:type="dxa"/>
                    <w:right w:w="120" w:type="dxa"/>
                  </w:tcMar>
                  <w:vAlign w:val="center"/>
                </w:tcPr>
                <w:p w14:paraId="6A60F96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0"/>
                      <w:szCs w:val="20"/>
                      <w:highlight w:val="none"/>
                    </w:rPr>
                  </w:pPr>
                </w:p>
              </w:tc>
            </w:tr>
            <w:tr w14:paraId="409EB0E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tcMar>
                    <w:top w:w="120" w:type="dxa"/>
                    <w:left w:w="120" w:type="dxa"/>
                    <w:bottom w:w="120" w:type="dxa"/>
                    <w:right w:w="120" w:type="dxa"/>
                  </w:tcMar>
                  <w:vAlign w:val="center"/>
                </w:tcPr>
                <w:p w14:paraId="04288AB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rPr>
                  </w:pPr>
                  <w:r>
                    <w:rPr>
                      <w:rFonts w:hint="default" w:ascii="Times New Roman" w:hAnsi="Times New Roman" w:eastAsia="宋体" w:cs="Times New Roman"/>
                      <w:b w:val="0"/>
                      <w:bCs/>
                      <w:color w:val="auto"/>
                      <w:w w:val="80"/>
                      <w:sz w:val="21"/>
                      <w:szCs w:val="21"/>
                      <w:highlight w:val="none"/>
                      <w:lang w:val="en-US" w:eastAsia="zh-CN"/>
                    </w:rPr>
                    <w:t>Y-90 介入（住院）</w:t>
                  </w:r>
                </w:p>
              </w:tc>
              <w:tc>
                <w:tcPr>
                  <w:tcW w:w="1080" w:type="dxa"/>
                  <w:tcBorders>
                    <w:tl2br w:val="nil"/>
                    <w:tr2bl w:val="nil"/>
                  </w:tcBorders>
                  <w:shd w:val="clear" w:color="auto" w:fill="auto"/>
                  <w:tcMar>
                    <w:top w:w="120" w:type="dxa"/>
                    <w:left w:w="120" w:type="dxa"/>
                    <w:bottom w:w="120" w:type="dxa"/>
                    <w:right w:w="120" w:type="dxa"/>
                  </w:tcMar>
                  <w:vAlign w:val="center"/>
                </w:tcPr>
                <w:p w14:paraId="19B394D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Y-90</w:t>
                  </w:r>
                </w:p>
              </w:tc>
              <w:tc>
                <w:tcPr>
                  <w:tcW w:w="994" w:type="dxa"/>
                  <w:tcBorders>
                    <w:tl2br w:val="nil"/>
                    <w:tr2bl w:val="nil"/>
                  </w:tcBorders>
                  <w:shd w:val="clear" w:color="auto" w:fill="auto"/>
                  <w:tcMar>
                    <w:top w:w="120" w:type="dxa"/>
                    <w:left w:w="120" w:type="dxa"/>
                    <w:bottom w:w="120" w:type="dxa"/>
                    <w:right w:w="120" w:type="dxa"/>
                  </w:tcMar>
                  <w:vAlign w:val="center"/>
                </w:tcPr>
                <w:p w14:paraId="46F8725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1</w:t>
                  </w:r>
                </w:p>
              </w:tc>
              <w:tc>
                <w:tcPr>
                  <w:tcW w:w="892" w:type="dxa"/>
                  <w:tcBorders>
                    <w:tl2br w:val="nil"/>
                    <w:tr2bl w:val="nil"/>
                  </w:tcBorders>
                  <w:shd w:val="clear" w:color="auto" w:fill="auto"/>
                  <w:tcMar>
                    <w:top w:w="120" w:type="dxa"/>
                    <w:left w:w="120" w:type="dxa"/>
                    <w:bottom w:w="120" w:type="dxa"/>
                    <w:right w:w="120" w:type="dxa"/>
                  </w:tcMar>
                  <w:vAlign w:val="center"/>
                </w:tcPr>
                <w:p w14:paraId="6DEA2BE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30</w:t>
                  </w:r>
                </w:p>
              </w:tc>
              <w:tc>
                <w:tcPr>
                  <w:tcW w:w="913" w:type="dxa"/>
                  <w:tcBorders>
                    <w:tl2br w:val="nil"/>
                    <w:tr2bl w:val="nil"/>
                  </w:tcBorders>
                  <w:shd w:val="clear" w:color="auto" w:fill="auto"/>
                  <w:tcMar>
                    <w:top w:w="120" w:type="dxa"/>
                    <w:left w:w="120" w:type="dxa"/>
                    <w:bottom w:w="120" w:type="dxa"/>
                    <w:right w:w="120" w:type="dxa"/>
                  </w:tcMar>
                  <w:vAlign w:val="center"/>
                </w:tcPr>
                <w:p w14:paraId="481CA1C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1000</w:t>
                  </w:r>
                </w:p>
              </w:tc>
              <w:tc>
                <w:tcPr>
                  <w:tcW w:w="1411" w:type="dxa"/>
                  <w:tcBorders>
                    <w:tl2br w:val="nil"/>
                    <w:tr2bl w:val="nil"/>
                  </w:tcBorders>
                  <w:shd w:val="clear" w:color="auto" w:fill="auto"/>
                  <w:tcMar>
                    <w:top w:w="120" w:type="dxa"/>
                    <w:left w:w="120" w:type="dxa"/>
                    <w:bottom w:w="120" w:type="dxa"/>
                    <w:right w:w="120" w:type="dxa"/>
                  </w:tcMar>
                  <w:vAlign w:val="center"/>
                </w:tcPr>
                <w:p w14:paraId="5ED3F96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30</w:t>
                  </w:r>
                </w:p>
              </w:tc>
              <w:tc>
                <w:tcPr>
                  <w:tcW w:w="1322" w:type="dxa"/>
                  <w:vMerge w:val="continue"/>
                  <w:tcBorders>
                    <w:tl2br w:val="nil"/>
                    <w:tr2bl w:val="nil"/>
                  </w:tcBorders>
                  <w:shd w:val="clear" w:color="auto" w:fill="auto"/>
                  <w:tcMar>
                    <w:top w:w="120" w:type="dxa"/>
                    <w:left w:w="120" w:type="dxa"/>
                    <w:bottom w:w="120" w:type="dxa"/>
                    <w:right w:w="120" w:type="dxa"/>
                  </w:tcMar>
                  <w:vAlign w:val="center"/>
                </w:tcPr>
                <w:p w14:paraId="06D591A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0"/>
                      <w:szCs w:val="20"/>
                      <w:highlight w:val="none"/>
                    </w:rPr>
                  </w:pPr>
                </w:p>
              </w:tc>
            </w:tr>
            <w:tr w14:paraId="4DE8549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tcMar>
                    <w:top w:w="120" w:type="dxa"/>
                    <w:left w:w="120" w:type="dxa"/>
                    <w:bottom w:w="120" w:type="dxa"/>
                    <w:right w:w="120" w:type="dxa"/>
                  </w:tcMar>
                  <w:vAlign w:val="center"/>
                </w:tcPr>
                <w:p w14:paraId="15FB20D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lang w:val="en-US"/>
                    </w:rPr>
                  </w:pPr>
                  <w:r>
                    <w:rPr>
                      <w:rFonts w:hint="default" w:ascii="Times New Roman" w:hAnsi="Times New Roman" w:eastAsia="宋体" w:cs="Times New Roman"/>
                      <w:b w:val="0"/>
                      <w:bCs/>
                      <w:color w:val="auto"/>
                      <w:w w:val="80"/>
                      <w:sz w:val="21"/>
                      <w:szCs w:val="21"/>
                      <w:highlight w:val="none"/>
                      <w:lang w:val="en-US" w:eastAsia="zh-CN"/>
                    </w:rPr>
                    <w:t>小计①</w:t>
                  </w:r>
                </w:p>
              </w:tc>
              <w:tc>
                <w:tcPr>
                  <w:tcW w:w="1080" w:type="dxa"/>
                  <w:tcBorders>
                    <w:tl2br w:val="nil"/>
                    <w:tr2bl w:val="nil"/>
                  </w:tcBorders>
                  <w:shd w:val="clear" w:color="auto" w:fill="auto"/>
                  <w:tcMar>
                    <w:top w:w="120" w:type="dxa"/>
                    <w:left w:w="120" w:type="dxa"/>
                    <w:bottom w:w="120" w:type="dxa"/>
                    <w:right w:w="120" w:type="dxa"/>
                  </w:tcMar>
                  <w:vAlign w:val="center"/>
                </w:tcPr>
                <w:p w14:paraId="5254CF5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w:t>
                  </w:r>
                </w:p>
              </w:tc>
              <w:tc>
                <w:tcPr>
                  <w:tcW w:w="994" w:type="dxa"/>
                  <w:tcBorders>
                    <w:tl2br w:val="nil"/>
                    <w:tr2bl w:val="nil"/>
                  </w:tcBorders>
                  <w:shd w:val="clear" w:color="auto" w:fill="auto"/>
                  <w:tcMar>
                    <w:top w:w="120" w:type="dxa"/>
                    <w:left w:w="120" w:type="dxa"/>
                    <w:bottom w:w="120" w:type="dxa"/>
                    <w:right w:w="120" w:type="dxa"/>
                  </w:tcMar>
                  <w:vAlign w:val="center"/>
                </w:tcPr>
                <w:p w14:paraId="3372D9E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lang w:val="en-US" w:eastAsia="zh-CN"/>
                    </w:rPr>
                    <w:t>—</w:t>
                  </w:r>
                </w:p>
              </w:tc>
              <w:tc>
                <w:tcPr>
                  <w:tcW w:w="892" w:type="dxa"/>
                  <w:tcBorders>
                    <w:tl2br w:val="nil"/>
                    <w:tr2bl w:val="nil"/>
                  </w:tcBorders>
                  <w:shd w:val="clear" w:color="auto" w:fill="auto"/>
                  <w:tcMar>
                    <w:top w:w="120" w:type="dxa"/>
                    <w:left w:w="120" w:type="dxa"/>
                    <w:bottom w:w="120" w:type="dxa"/>
                    <w:right w:w="120" w:type="dxa"/>
                  </w:tcMar>
                  <w:vAlign w:val="center"/>
                </w:tcPr>
                <w:p w14:paraId="6477FEF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w:t>
                  </w:r>
                </w:p>
              </w:tc>
              <w:tc>
                <w:tcPr>
                  <w:tcW w:w="913" w:type="dxa"/>
                  <w:tcBorders>
                    <w:tl2br w:val="nil"/>
                    <w:tr2bl w:val="nil"/>
                  </w:tcBorders>
                  <w:shd w:val="clear" w:color="auto" w:fill="auto"/>
                  <w:tcMar>
                    <w:top w:w="120" w:type="dxa"/>
                    <w:left w:w="120" w:type="dxa"/>
                    <w:bottom w:w="120" w:type="dxa"/>
                    <w:right w:w="120" w:type="dxa"/>
                  </w:tcMar>
                  <w:vAlign w:val="center"/>
                </w:tcPr>
                <w:p w14:paraId="19E6212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w:t>
                  </w:r>
                </w:p>
              </w:tc>
              <w:tc>
                <w:tcPr>
                  <w:tcW w:w="1411" w:type="dxa"/>
                  <w:tcBorders>
                    <w:tl2br w:val="nil"/>
                    <w:tr2bl w:val="nil"/>
                  </w:tcBorders>
                  <w:shd w:val="clear" w:color="auto" w:fill="auto"/>
                  <w:tcMar>
                    <w:top w:w="120" w:type="dxa"/>
                    <w:left w:w="120" w:type="dxa"/>
                    <w:bottom w:w="120" w:type="dxa"/>
                    <w:right w:w="120" w:type="dxa"/>
                  </w:tcMar>
                  <w:vAlign w:val="center"/>
                </w:tcPr>
                <w:p w14:paraId="771B7F54">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5283</w:t>
                  </w:r>
                </w:p>
              </w:tc>
              <w:tc>
                <w:tcPr>
                  <w:tcW w:w="1322" w:type="dxa"/>
                  <w:vMerge w:val="continue"/>
                  <w:tcBorders>
                    <w:tl2br w:val="nil"/>
                    <w:tr2bl w:val="nil"/>
                  </w:tcBorders>
                  <w:shd w:val="clear" w:color="auto" w:fill="auto"/>
                  <w:tcMar>
                    <w:top w:w="120" w:type="dxa"/>
                    <w:left w:w="120" w:type="dxa"/>
                    <w:bottom w:w="120" w:type="dxa"/>
                    <w:right w:w="120" w:type="dxa"/>
                  </w:tcMar>
                  <w:vAlign w:val="center"/>
                </w:tcPr>
                <w:p w14:paraId="5FB5F7F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0"/>
                      <w:szCs w:val="20"/>
                      <w:highlight w:val="none"/>
                    </w:rPr>
                  </w:pPr>
                </w:p>
              </w:tc>
            </w:tr>
            <w:tr w14:paraId="50062BB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tcMar>
                    <w:top w:w="120" w:type="dxa"/>
                    <w:left w:w="120" w:type="dxa"/>
                    <w:bottom w:w="120" w:type="dxa"/>
                    <w:right w:w="120" w:type="dxa"/>
                  </w:tcMar>
                  <w:vAlign w:val="center"/>
                </w:tcPr>
                <w:p w14:paraId="559E118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21"/>
                      <w:szCs w:val="21"/>
                      <w:highlight w:val="none"/>
                      <w:lang w:val="en-US" w:eastAsia="zh-CN" w:bidi="ar-SA"/>
                    </w:rPr>
                  </w:pPr>
                  <w:r>
                    <w:rPr>
                      <w:rFonts w:hint="default" w:ascii="Times New Roman" w:hAnsi="Times New Roman" w:eastAsia="宋体" w:cs="Times New Roman"/>
                      <w:b w:val="0"/>
                      <w:bCs/>
                      <w:color w:val="auto"/>
                      <w:w w:val="80"/>
                      <w:sz w:val="21"/>
                      <w:szCs w:val="21"/>
                      <w:highlight w:val="none"/>
                      <w:lang w:val="en-US" w:eastAsia="zh-CN"/>
                    </w:rPr>
                    <w:t>PET 诊断区（门诊）</w:t>
                  </w:r>
                </w:p>
              </w:tc>
              <w:tc>
                <w:tcPr>
                  <w:tcW w:w="1080" w:type="dxa"/>
                  <w:tcBorders>
                    <w:tl2br w:val="nil"/>
                    <w:tr2bl w:val="nil"/>
                  </w:tcBorders>
                  <w:shd w:val="clear" w:color="auto" w:fill="auto"/>
                  <w:tcMar>
                    <w:top w:w="120" w:type="dxa"/>
                    <w:left w:w="120" w:type="dxa"/>
                    <w:bottom w:w="120" w:type="dxa"/>
                    <w:right w:w="120" w:type="dxa"/>
                  </w:tcMar>
                  <w:vAlign w:val="center"/>
                </w:tcPr>
                <w:p w14:paraId="2EFB270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vertAlign w:val="baseline"/>
                      <w:lang w:val="en-US" w:eastAsia="zh-CN"/>
                    </w:rPr>
                    <w:t>F-18</w:t>
                  </w:r>
                </w:p>
              </w:tc>
              <w:tc>
                <w:tcPr>
                  <w:tcW w:w="994" w:type="dxa"/>
                  <w:tcBorders>
                    <w:tl2br w:val="nil"/>
                    <w:tr2bl w:val="nil"/>
                  </w:tcBorders>
                  <w:shd w:val="clear" w:color="auto" w:fill="auto"/>
                  <w:tcMar>
                    <w:top w:w="120" w:type="dxa"/>
                    <w:left w:w="120" w:type="dxa"/>
                    <w:bottom w:w="120" w:type="dxa"/>
                    <w:right w:w="120" w:type="dxa"/>
                  </w:tcMar>
                  <w:vAlign w:val="center"/>
                </w:tcPr>
                <w:p w14:paraId="29BC0F0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50</w:t>
                  </w:r>
                </w:p>
              </w:tc>
              <w:tc>
                <w:tcPr>
                  <w:tcW w:w="892" w:type="dxa"/>
                  <w:tcBorders>
                    <w:tl2br w:val="nil"/>
                    <w:tr2bl w:val="nil"/>
                  </w:tcBorders>
                  <w:shd w:val="clear" w:color="auto" w:fill="auto"/>
                  <w:tcMar>
                    <w:top w:w="120" w:type="dxa"/>
                    <w:left w:w="120" w:type="dxa"/>
                    <w:bottom w:w="120" w:type="dxa"/>
                    <w:right w:w="120" w:type="dxa"/>
                  </w:tcMar>
                  <w:vAlign w:val="center"/>
                </w:tcPr>
                <w:p w14:paraId="6E65251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250</w:t>
                  </w:r>
                </w:p>
              </w:tc>
              <w:tc>
                <w:tcPr>
                  <w:tcW w:w="913" w:type="dxa"/>
                  <w:tcBorders>
                    <w:tl2br w:val="nil"/>
                    <w:tr2bl w:val="nil"/>
                  </w:tcBorders>
                  <w:shd w:val="clear" w:color="auto" w:fill="auto"/>
                  <w:tcMar>
                    <w:top w:w="120" w:type="dxa"/>
                    <w:left w:w="120" w:type="dxa"/>
                    <w:bottom w:w="120" w:type="dxa"/>
                    <w:right w:w="120" w:type="dxa"/>
                  </w:tcMar>
                  <w:vAlign w:val="center"/>
                </w:tcPr>
                <w:p w14:paraId="37483FF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50</w:t>
                  </w:r>
                </w:p>
              </w:tc>
              <w:tc>
                <w:tcPr>
                  <w:tcW w:w="1411" w:type="dxa"/>
                  <w:tcBorders>
                    <w:tl2br w:val="nil"/>
                    <w:tr2bl w:val="nil"/>
                  </w:tcBorders>
                  <w:shd w:val="clear" w:color="auto" w:fill="auto"/>
                  <w:tcMar>
                    <w:top w:w="120" w:type="dxa"/>
                    <w:left w:w="120" w:type="dxa"/>
                    <w:bottom w:w="120" w:type="dxa"/>
                    <w:right w:w="120" w:type="dxa"/>
                  </w:tcMar>
                  <w:vAlign w:val="center"/>
                </w:tcPr>
                <w:p w14:paraId="3265765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625</w:t>
                  </w:r>
                </w:p>
              </w:tc>
              <w:tc>
                <w:tcPr>
                  <w:tcW w:w="1322" w:type="dxa"/>
                  <w:vMerge w:val="restart"/>
                  <w:tcBorders>
                    <w:tl2br w:val="nil"/>
                    <w:tr2bl w:val="nil"/>
                  </w:tcBorders>
                  <w:shd w:val="clear" w:color="auto" w:fill="auto"/>
                  <w:tcMar>
                    <w:top w:w="120" w:type="dxa"/>
                    <w:left w:w="120" w:type="dxa"/>
                    <w:bottom w:w="120" w:type="dxa"/>
                    <w:right w:w="120" w:type="dxa"/>
                  </w:tcMar>
                  <w:vAlign w:val="center"/>
                </w:tcPr>
                <w:p w14:paraId="6A9E57D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r>
                    <w:rPr>
                      <w:rFonts w:hint="default" w:ascii="Times New Roman" w:hAnsi="Times New Roman" w:eastAsia="宋体" w:cs="Times New Roman"/>
                      <w:b w:val="0"/>
                      <w:bCs/>
                      <w:color w:val="auto"/>
                      <w:sz w:val="20"/>
                      <w:szCs w:val="20"/>
                      <w:highlight w:val="none"/>
                      <w:lang w:val="en-US" w:eastAsia="zh-CN"/>
                    </w:rPr>
                    <w:t>短</w:t>
                  </w:r>
                </w:p>
              </w:tc>
            </w:tr>
            <w:tr w14:paraId="7137296B">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vAlign w:val="center"/>
                </w:tcPr>
                <w:p w14:paraId="25265B1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21"/>
                      <w:szCs w:val="21"/>
                      <w:highlight w:val="none"/>
                      <w:lang w:val="en-US" w:eastAsia="zh-CN" w:bidi="ar-SA"/>
                    </w:rPr>
                  </w:pPr>
                  <w:r>
                    <w:rPr>
                      <w:rFonts w:hint="default" w:ascii="Times New Roman" w:hAnsi="Times New Roman" w:eastAsia="宋体" w:cs="Times New Roman"/>
                      <w:b w:val="0"/>
                      <w:bCs/>
                      <w:color w:val="auto"/>
                      <w:w w:val="80"/>
                      <w:sz w:val="21"/>
                      <w:szCs w:val="21"/>
                      <w:highlight w:val="none"/>
                      <w:lang w:val="en-US" w:eastAsia="zh-CN"/>
                    </w:rPr>
                    <w:t>PET 诊断区（门诊）</w:t>
                  </w:r>
                </w:p>
              </w:tc>
              <w:tc>
                <w:tcPr>
                  <w:tcW w:w="1080" w:type="dxa"/>
                  <w:tcBorders>
                    <w:tl2br w:val="nil"/>
                    <w:tr2bl w:val="nil"/>
                  </w:tcBorders>
                  <w:shd w:val="clear" w:color="auto" w:fill="auto"/>
                  <w:vAlign w:val="center"/>
                </w:tcPr>
                <w:p w14:paraId="0E63DD0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Ga-68</w:t>
                  </w:r>
                </w:p>
              </w:tc>
              <w:tc>
                <w:tcPr>
                  <w:tcW w:w="994" w:type="dxa"/>
                  <w:tcBorders>
                    <w:tl2br w:val="nil"/>
                    <w:tr2bl w:val="nil"/>
                  </w:tcBorders>
                  <w:shd w:val="clear" w:color="auto" w:fill="auto"/>
                  <w:vAlign w:val="center"/>
                </w:tcPr>
                <w:p w14:paraId="3C94C28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25</w:t>
                  </w:r>
                </w:p>
              </w:tc>
              <w:tc>
                <w:tcPr>
                  <w:tcW w:w="892" w:type="dxa"/>
                  <w:tcBorders>
                    <w:tl2br w:val="nil"/>
                    <w:tr2bl w:val="nil"/>
                  </w:tcBorders>
                  <w:shd w:val="clear" w:color="auto" w:fill="auto"/>
                  <w:vAlign w:val="center"/>
                </w:tcPr>
                <w:p w14:paraId="3FE381D1">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250</w:t>
                  </w:r>
                </w:p>
              </w:tc>
              <w:tc>
                <w:tcPr>
                  <w:tcW w:w="913" w:type="dxa"/>
                  <w:tcBorders>
                    <w:tl2br w:val="nil"/>
                    <w:tr2bl w:val="nil"/>
                  </w:tcBorders>
                  <w:shd w:val="clear" w:color="auto" w:fill="auto"/>
                  <w:vAlign w:val="center"/>
                </w:tcPr>
                <w:p w14:paraId="474340E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50</w:t>
                  </w:r>
                </w:p>
              </w:tc>
              <w:tc>
                <w:tcPr>
                  <w:tcW w:w="1411" w:type="dxa"/>
                  <w:tcBorders>
                    <w:tl2br w:val="nil"/>
                    <w:tr2bl w:val="nil"/>
                  </w:tcBorders>
                  <w:shd w:val="clear" w:color="auto" w:fill="auto"/>
                  <w:vAlign w:val="center"/>
                </w:tcPr>
                <w:p w14:paraId="237D62E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312.5</w:t>
                  </w:r>
                </w:p>
              </w:tc>
              <w:tc>
                <w:tcPr>
                  <w:tcW w:w="1322" w:type="dxa"/>
                  <w:vMerge w:val="continue"/>
                  <w:tcBorders>
                    <w:tl2br w:val="nil"/>
                    <w:tr2bl w:val="nil"/>
                  </w:tcBorders>
                  <w:shd w:val="clear" w:color="auto" w:fill="auto"/>
                  <w:vAlign w:val="center"/>
                </w:tcPr>
                <w:p w14:paraId="07D2A5F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5001DBD2">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vAlign w:val="center"/>
                </w:tcPr>
                <w:p w14:paraId="44C7620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21"/>
                      <w:szCs w:val="21"/>
                      <w:highlight w:val="none"/>
                      <w:lang w:val="en-US" w:eastAsia="zh-CN" w:bidi="ar-SA"/>
                    </w:rPr>
                  </w:pPr>
                  <w:r>
                    <w:rPr>
                      <w:rFonts w:hint="default" w:ascii="Times New Roman" w:hAnsi="Times New Roman" w:eastAsia="宋体" w:cs="Times New Roman"/>
                      <w:b w:val="0"/>
                      <w:bCs/>
                      <w:color w:val="auto"/>
                      <w:w w:val="80"/>
                      <w:sz w:val="21"/>
                      <w:szCs w:val="21"/>
                      <w:highlight w:val="none"/>
                      <w:lang w:val="en-US" w:eastAsia="zh-CN"/>
                    </w:rPr>
                    <w:t>PET 诊断区（门诊）</w:t>
                  </w:r>
                </w:p>
              </w:tc>
              <w:tc>
                <w:tcPr>
                  <w:tcW w:w="1080" w:type="dxa"/>
                  <w:tcBorders>
                    <w:tl2br w:val="nil"/>
                    <w:tr2bl w:val="nil"/>
                  </w:tcBorders>
                  <w:shd w:val="clear" w:color="auto" w:fill="auto"/>
                  <w:vAlign w:val="center"/>
                </w:tcPr>
                <w:p w14:paraId="1FF1147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C-11</w:t>
                  </w:r>
                </w:p>
              </w:tc>
              <w:tc>
                <w:tcPr>
                  <w:tcW w:w="994" w:type="dxa"/>
                  <w:tcBorders>
                    <w:tl2br w:val="nil"/>
                    <w:tr2bl w:val="nil"/>
                  </w:tcBorders>
                  <w:shd w:val="clear" w:color="auto" w:fill="auto"/>
                  <w:vAlign w:val="center"/>
                </w:tcPr>
                <w:p w14:paraId="033DC0B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10</w:t>
                  </w:r>
                </w:p>
              </w:tc>
              <w:tc>
                <w:tcPr>
                  <w:tcW w:w="892" w:type="dxa"/>
                  <w:tcBorders>
                    <w:tl2br w:val="nil"/>
                    <w:tr2bl w:val="nil"/>
                  </w:tcBorders>
                  <w:shd w:val="clear" w:color="auto" w:fill="auto"/>
                  <w:vAlign w:val="center"/>
                </w:tcPr>
                <w:p w14:paraId="3BDDEC5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250</w:t>
                  </w:r>
                </w:p>
              </w:tc>
              <w:tc>
                <w:tcPr>
                  <w:tcW w:w="913" w:type="dxa"/>
                  <w:tcBorders>
                    <w:tl2br w:val="nil"/>
                    <w:tr2bl w:val="nil"/>
                  </w:tcBorders>
                  <w:shd w:val="clear" w:color="auto" w:fill="auto"/>
                  <w:vAlign w:val="center"/>
                </w:tcPr>
                <w:p w14:paraId="5F20173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50</w:t>
                  </w:r>
                </w:p>
              </w:tc>
              <w:tc>
                <w:tcPr>
                  <w:tcW w:w="1411" w:type="dxa"/>
                  <w:tcBorders>
                    <w:tl2br w:val="nil"/>
                    <w:tr2bl w:val="nil"/>
                  </w:tcBorders>
                  <w:shd w:val="clear" w:color="auto" w:fill="auto"/>
                  <w:vAlign w:val="center"/>
                </w:tcPr>
                <w:p w14:paraId="28786D9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125</w:t>
                  </w:r>
                </w:p>
              </w:tc>
              <w:tc>
                <w:tcPr>
                  <w:tcW w:w="1322" w:type="dxa"/>
                  <w:vMerge w:val="continue"/>
                  <w:tcBorders>
                    <w:tl2br w:val="nil"/>
                    <w:tr2bl w:val="nil"/>
                  </w:tcBorders>
                  <w:shd w:val="clear" w:color="auto" w:fill="auto"/>
                  <w:vAlign w:val="center"/>
                </w:tcPr>
                <w:p w14:paraId="2D115AA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7E1ED2F6">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vAlign w:val="center"/>
                </w:tcPr>
                <w:p w14:paraId="3CF265C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21"/>
                      <w:szCs w:val="21"/>
                      <w:highlight w:val="none"/>
                      <w:lang w:val="en-US" w:eastAsia="zh-CN" w:bidi="ar-SA"/>
                    </w:rPr>
                  </w:pPr>
                  <w:r>
                    <w:rPr>
                      <w:rFonts w:hint="default" w:ascii="Times New Roman" w:hAnsi="Times New Roman" w:eastAsia="宋体" w:cs="Times New Roman"/>
                      <w:b w:val="0"/>
                      <w:bCs/>
                      <w:color w:val="auto"/>
                      <w:w w:val="80"/>
                      <w:sz w:val="21"/>
                      <w:szCs w:val="21"/>
                      <w:highlight w:val="none"/>
                      <w:lang w:val="en-US" w:eastAsia="zh-CN"/>
                    </w:rPr>
                    <w:t>PET 诊断区（门诊）</w:t>
                  </w:r>
                </w:p>
              </w:tc>
              <w:tc>
                <w:tcPr>
                  <w:tcW w:w="1080" w:type="dxa"/>
                  <w:tcBorders>
                    <w:tl2br w:val="nil"/>
                    <w:tr2bl w:val="nil"/>
                  </w:tcBorders>
                  <w:shd w:val="clear" w:color="auto" w:fill="auto"/>
                  <w:vAlign w:val="center"/>
                </w:tcPr>
                <w:p w14:paraId="1D864C3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N-13</w:t>
                  </w:r>
                </w:p>
              </w:tc>
              <w:tc>
                <w:tcPr>
                  <w:tcW w:w="994" w:type="dxa"/>
                  <w:tcBorders>
                    <w:tl2br w:val="nil"/>
                    <w:tr2bl w:val="nil"/>
                  </w:tcBorders>
                  <w:shd w:val="clear" w:color="auto" w:fill="auto"/>
                  <w:vAlign w:val="center"/>
                </w:tcPr>
                <w:p w14:paraId="630353D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10</w:t>
                  </w:r>
                </w:p>
              </w:tc>
              <w:tc>
                <w:tcPr>
                  <w:tcW w:w="892" w:type="dxa"/>
                  <w:tcBorders>
                    <w:tl2br w:val="nil"/>
                    <w:tr2bl w:val="nil"/>
                  </w:tcBorders>
                  <w:shd w:val="clear" w:color="auto" w:fill="auto"/>
                  <w:vAlign w:val="center"/>
                </w:tcPr>
                <w:p w14:paraId="00DB1EA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250</w:t>
                  </w:r>
                </w:p>
              </w:tc>
              <w:tc>
                <w:tcPr>
                  <w:tcW w:w="913" w:type="dxa"/>
                  <w:tcBorders>
                    <w:tl2br w:val="nil"/>
                    <w:tr2bl w:val="nil"/>
                  </w:tcBorders>
                  <w:shd w:val="clear" w:color="auto" w:fill="auto"/>
                  <w:vAlign w:val="center"/>
                </w:tcPr>
                <w:p w14:paraId="1C1B3CA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50</w:t>
                  </w:r>
                </w:p>
              </w:tc>
              <w:tc>
                <w:tcPr>
                  <w:tcW w:w="1411" w:type="dxa"/>
                  <w:tcBorders>
                    <w:tl2br w:val="nil"/>
                    <w:tr2bl w:val="nil"/>
                  </w:tcBorders>
                  <w:shd w:val="clear" w:color="auto" w:fill="auto"/>
                  <w:vAlign w:val="center"/>
                </w:tcPr>
                <w:p w14:paraId="4D23FD1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125</w:t>
                  </w:r>
                </w:p>
              </w:tc>
              <w:tc>
                <w:tcPr>
                  <w:tcW w:w="1322" w:type="dxa"/>
                  <w:vMerge w:val="continue"/>
                  <w:tcBorders>
                    <w:tl2br w:val="nil"/>
                    <w:tr2bl w:val="nil"/>
                  </w:tcBorders>
                  <w:shd w:val="clear" w:color="auto" w:fill="auto"/>
                  <w:vAlign w:val="center"/>
                </w:tcPr>
                <w:p w14:paraId="656F2AC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044D1E03">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vAlign w:val="center"/>
                </w:tcPr>
                <w:p w14:paraId="7CCD6C9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21"/>
                      <w:szCs w:val="21"/>
                      <w:highlight w:val="none"/>
                      <w:lang w:val="en-US" w:eastAsia="zh-CN" w:bidi="ar-SA"/>
                    </w:rPr>
                  </w:pPr>
                  <w:r>
                    <w:rPr>
                      <w:rFonts w:hint="default" w:ascii="Times New Roman" w:hAnsi="Times New Roman" w:eastAsia="宋体" w:cs="Times New Roman"/>
                      <w:b w:val="0"/>
                      <w:bCs/>
                      <w:color w:val="auto"/>
                      <w:w w:val="80"/>
                      <w:sz w:val="21"/>
                      <w:szCs w:val="21"/>
                      <w:highlight w:val="none"/>
                      <w:lang w:val="en-US" w:eastAsia="zh-CN"/>
                    </w:rPr>
                    <w:t>SPECT 诊断区（门诊）</w:t>
                  </w:r>
                </w:p>
              </w:tc>
              <w:tc>
                <w:tcPr>
                  <w:tcW w:w="1080" w:type="dxa"/>
                  <w:tcBorders>
                    <w:tl2br w:val="nil"/>
                    <w:tr2bl w:val="nil"/>
                  </w:tcBorders>
                  <w:shd w:val="clear" w:color="auto" w:fill="auto"/>
                  <w:vAlign w:val="center"/>
                </w:tcPr>
                <w:p w14:paraId="140B59C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Tc-99m</w:t>
                  </w:r>
                </w:p>
              </w:tc>
              <w:tc>
                <w:tcPr>
                  <w:tcW w:w="994" w:type="dxa"/>
                  <w:tcBorders>
                    <w:tl2br w:val="nil"/>
                    <w:tr2bl w:val="nil"/>
                  </w:tcBorders>
                  <w:shd w:val="clear" w:color="auto" w:fill="auto"/>
                  <w:vAlign w:val="center"/>
                </w:tcPr>
                <w:p w14:paraId="7B52125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100</w:t>
                  </w:r>
                </w:p>
              </w:tc>
              <w:tc>
                <w:tcPr>
                  <w:tcW w:w="892" w:type="dxa"/>
                  <w:tcBorders>
                    <w:tl2br w:val="nil"/>
                    <w:tr2bl w:val="nil"/>
                  </w:tcBorders>
                  <w:shd w:val="clear" w:color="auto" w:fill="auto"/>
                  <w:vAlign w:val="center"/>
                </w:tcPr>
                <w:p w14:paraId="5D72BEE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250</w:t>
                  </w:r>
                </w:p>
              </w:tc>
              <w:tc>
                <w:tcPr>
                  <w:tcW w:w="913" w:type="dxa"/>
                  <w:tcBorders>
                    <w:tl2br w:val="nil"/>
                    <w:tr2bl w:val="nil"/>
                  </w:tcBorders>
                  <w:shd w:val="clear" w:color="auto" w:fill="auto"/>
                  <w:vAlign w:val="center"/>
                </w:tcPr>
                <w:p w14:paraId="3BFFA46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50</w:t>
                  </w:r>
                </w:p>
              </w:tc>
              <w:tc>
                <w:tcPr>
                  <w:tcW w:w="1411" w:type="dxa"/>
                  <w:tcBorders>
                    <w:tl2br w:val="nil"/>
                    <w:tr2bl w:val="nil"/>
                  </w:tcBorders>
                  <w:shd w:val="clear" w:color="auto" w:fill="auto"/>
                  <w:vAlign w:val="center"/>
                </w:tcPr>
                <w:p w14:paraId="0B21E1B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1250</w:t>
                  </w:r>
                </w:p>
              </w:tc>
              <w:tc>
                <w:tcPr>
                  <w:tcW w:w="1322" w:type="dxa"/>
                  <w:vMerge w:val="continue"/>
                  <w:tcBorders>
                    <w:tl2br w:val="nil"/>
                    <w:tr2bl w:val="nil"/>
                  </w:tcBorders>
                  <w:shd w:val="clear" w:color="auto" w:fill="auto"/>
                  <w:vAlign w:val="center"/>
                </w:tcPr>
                <w:p w14:paraId="32225B7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0BD197AD">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vAlign w:val="center"/>
                </w:tcPr>
                <w:p w14:paraId="244D496F">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lang w:val="en-US" w:eastAsia="zh-CN" w:bidi="ar-SA"/>
                    </w:rPr>
                  </w:pPr>
                  <w:r>
                    <w:rPr>
                      <w:rFonts w:hint="default" w:ascii="Times New Roman" w:hAnsi="Times New Roman" w:eastAsia="宋体" w:cs="Times New Roman"/>
                      <w:b w:val="0"/>
                      <w:bCs/>
                      <w:color w:val="auto"/>
                      <w:w w:val="80"/>
                      <w:sz w:val="21"/>
                      <w:szCs w:val="21"/>
                      <w:highlight w:val="none"/>
                      <w:lang w:val="en-US" w:eastAsia="zh-CN"/>
                    </w:rPr>
                    <w:t>Y-90</w:t>
                  </w:r>
                  <w:r>
                    <w:rPr>
                      <w:rFonts w:hint="eastAsia" w:cs="Times New Roman"/>
                      <w:b w:val="0"/>
                      <w:bCs/>
                      <w:color w:val="auto"/>
                      <w:w w:val="80"/>
                      <w:sz w:val="21"/>
                      <w:szCs w:val="21"/>
                      <w:highlight w:val="none"/>
                      <w:lang w:val="en-US" w:eastAsia="zh-CN"/>
                    </w:rPr>
                    <w:t xml:space="preserve">模拟 </w:t>
                  </w:r>
                  <w:r>
                    <w:rPr>
                      <w:rFonts w:hint="default" w:ascii="Times New Roman" w:hAnsi="Times New Roman" w:eastAsia="宋体" w:cs="Times New Roman"/>
                      <w:b w:val="0"/>
                      <w:bCs/>
                      <w:color w:val="auto"/>
                      <w:w w:val="80"/>
                      <w:sz w:val="21"/>
                      <w:szCs w:val="21"/>
                      <w:highlight w:val="none"/>
                      <w:lang w:val="en-US" w:eastAsia="zh-CN"/>
                    </w:rPr>
                    <w:t>介入（住院）</w:t>
                  </w:r>
                </w:p>
              </w:tc>
              <w:tc>
                <w:tcPr>
                  <w:tcW w:w="1080" w:type="dxa"/>
                  <w:tcBorders>
                    <w:tl2br w:val="nil"/>
                    <w:tr2bl w:val="nil"/>
                  </w:tcBorders>
                  <w:shd w:val="clear" w:color="auto" w:fill="auto"/>
                  <w:vAlign w:val="center"/>
                </w:tcPr>
                <w:p w14:paraId="3FD2102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Tc-99m</w:t>
                  </w:r>
                </w:p>
              </w:tc>
              <w:tc>
                <w:tcPr>
                  <w:tcW w:w="994" w:type="dxa"/>
                  <w:tcBorders>
                    <w:tl2br w:val="nil"/>
                    <w:tr2bl w:val="nil"/>
                  </w:tcBorders>
                  <w:shd w:val="clear" w:color="auto" w:fill="auto"/>
                  <w:vAlign w:val="center"/>
                </w:tcPr>
                <w:p w14:paraId="0799909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w:t>
                  </w:r>
                </w:p>
              </w:tc>
              <w:tc>
                <w:tcPr>
                  <w:tcW w:w="892" w:type="dxa"/>
                  <w:tcBorders>
                    <w:tl2br w:val="nil"/>
                    <w:tr2bl w:val="nil"/>
                  </w:tcBorders>
                  <w:shd w:val="clear" w:color="auto" w:fill="auto"/>
                  <w:vAlign w:val="center"/>
                </w:tcPr>
                <w:p w14:paraId="27F0CAB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30</w:t>
                  </w:r>
                </w:p>
              </w:tc>
              <w:tc>
                <w:tcPr>
                  <w:tcW w:w="913" w:type="dxa"/>
                  <w:tcBorders>
                    <w:tl2br w:val="nil"/>
                    <w:tr2bl w:val="nil"/>
                  </w:tcBorders>
                  <w:shd w:val="clear" w:color="auto" w:fill="auto"/>
                  <w:vAlign w:val="center"/>
                </w:tcPr>
                <w:p w14:paraId="5352A96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1000</w:t>
                  </w:r>
                </w:p>
              </w:tc>
              <w:tc>
                <w:tcPr>
                  <w:tcW w:w="1411" w:type="dxa"/>
                  <w:tcBorders>
                    <w:tl2br w:val="nil"/>
                    <w:tr2bl w:val="nil"/>
                  </w:tcBorders>
                  <w:shd w:val="clear" w:color="auto" w:fill="auto"/>
                  <w:vAlign w:val="center"/>
                </w:tcPr>
                <w:p w14:paraId="2FEB7B4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30</w:t>
                  </w:r>
                </w:p>
              </w:tc>
              <w:tc>
                <w:tcPr>
                  <w:tcW w:w="1322" w:type="dxa"/>
                  <w:vMerge w:val="continue"/>
                  <w:tcBorders>
                    <w:tl2br w:val="nil"/>
                    <w:tr2bl w:val="nil"/>
                  </w:tcBorders>
                  <w:shd w:val="clear" w:color="auto" w:fill="auto"/>
                  <w:vAlign w:val="center"/>
                </w:tcPr>
                <w:p w14:paraId="5D3F24D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61E79029">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vAlign w:val="center"/>
                </w:tcPr>
                <w:p w14:paraId="539F050E">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sz w:val="21"/>
                      <w:szCs w:val="21"/>
                      <w:highlight w:val="none"/>
                      <w:lang w:val="en-US" w:eastAsia="zh-CN"/>
                    </w:rPr>
                  </w:pPr>
                  <w:r>
                    <w:rPr>
                      <w:rFonts w:hint="default" w:ascii="Times New Roman" w:hAnsi="Times New Roman" w:eastAsia="宋体" w:cs="Times New Roman"/>
                      <w:b w:val="0"/>
                      <w:bCs/>
                      <w:color w:val="auto"/>
                      <w:w w:val="80"/>
                      <w:sz w:val="21"/>
                      <w:szCs w:val="21"/>
                      <w:highlight w:val="none"/>
                      <w:lang w:val="en-US" w:eastAsia="zh-CN"/>
                    </w:rPr>
                    <w:t>SPECT 诊断区（门诊）</w:t>
                  </w:r>
                </w:p>
              </w:tc>
              <w:tc>
                <w:tcPr>
                  <w:tcW w:w="3879" w:type="dxa"/>
                  <w:gridSpan w:val="4"/>
                  <w:tcBorders>
                    <w:tl2br w:val="nil"/>
                    <w:tr2bl w:val="nil"/>
                  </w:tcBorders>
                  <w:shd w:val="clear" w:color="auto" w:fill="auto"/>
                  <w:vAlign w:val="center"/>
                </w:tcPr>
                <w:p w14:paraId="7A1125B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废钼锝发生器</w:t>
                  </w:r>
                </w:p>
              </w:tc>
              <w:tc>
                <w:tcPr>
                  <w:tcW w:w="1411" w:type="dxa"/>
                  <w:tcBorders>
                    <w:tl2br w:val="nil"/>
                    <w:tr2bl w:val="nil"/>
                  </w:tcBorders>
                  <w:shd w:val="clear" w:color="auto" w:fill="auto"/>
                  <w:vAlign w:val="center"/>
                </w:tcPr>
                <w:p w14:paraId="2A152A87">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200</w:t>
                  </w:r>
                </w:p>
              </w:tc>
              <w:tc>
                <w:tcPr>
                  <w:tcW w:w="1322" w:type="dxa"/>
                  <w:vMerge w:val="continue"/>
                  <w:tcBorders>
                    <w:tl2br w:val="nil"/>
                    <w:tr2bl w:val="nil"/>
                  </w:tcBorders>
                  <w:shd w:val="clear" w:color="auto" w:fill="auto"/>
                  <w:vAlign w:val="center"/>
                </w:tcPr>
                <w:p w14:paraId="19196588">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7C593AEC">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2325" w:type="dxa"/>
                  <w:tcBorders>
                    <w:tl2br w:val="nil"/>
                    <w:tr2bl w:val="nil"/>
                  </w:tcBorders>
                  <w:shd w:val="clear" w:color="auto" w:fill="auto"/>
                  <w:vAlign w:val="center"/>
                </w:tcPr>
                <w:p w14:paraId="10250B3D">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w w:val="80"/>
                      <w:kern w:val="2"/>
                      <w:sz w:val="21"/>
                      <w:szCs w:val="21"/>
                      <w:highlight w:val="none"/>
                      <w:lang w:val="en-US" w:eastAsia="zh-CN" w:bidi="ar-SA"/>
                    </w:rPr>
                  </w:pPr>
                  <w:r>
                    <w:rPr>
                      <w:rFonts w:hint="default" w:ascii="Times New Roman" w:hAnsi="Times New Roman" w:eastAsia="宋体" w:cs="Times New Roman"/>
                      <w:b w:val="0"/>
                      <w:bCs/>
                      <w:color w:val="auto"/>
                      <w:w w:val="80"/>
                      <w:sz w:val="21"/>
                      <w:szCs w:val="21"/>
                      <w:highlight w:val="none"/>
                      <w:lang w:val="en-US" w:eastAsia="zh-CN"/>
                    </w:rPr>
                    <w:t>小计②</w:t>
                  </w:r>
                </w:p>
              </w:tc>
              <w:tc>
                <w:tcPr>
                  <w:tcW w:w="1080" w:type="dxa"/>
                  <w:tcBorders>
                    <w:tl2br w:val="nil"/>
                    <w:tr2bl w:val="nil"/>
                  </w:tcBorders>
                  <w:shd w:val="clear" w:color="auto" w:fill="auto"/>
                  <w:vAlign w:val="center"/>
                </w:tcPr>
                <w:p w14:paraId="01F446E6">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w:t>
                  </w:r>
                </w:p>
              </w:tc>
              <w:tc>
                <w:tcPr>
                  <w:tcW w:w="994" w:type="dxa"/>
                  <w:tcBorders>
                    <w:tl2br w:val="nil"/>
                    <w:tr2bl w:val="nil"/>
                  </w:tcBorders>
                  <w:shd w:val="clear" w:color="auto" w:fill="auto"/>
                  <w:vAlign w:val="center"/>
                </w:tcPr>
                <w:p w14:paraId="4B25A250">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lang w:val="en-US" w:eastAsia="zh-CN"/>
                    </w:rPr>
                    <w:t>—</w:t>
                  </w:r>
                </w:p>
              </w:tc>
              <w:tc>
                <w:tcPr>
                  <w:tcW w:w="892" w:type="dxa"/>
                  <w:tcBorders>
                    <w:tl2br w:val="nil"/>
                    <w:tr2bl w:val="nil"/>
                  </w:tcBorders>
                  <w:shd w:val="clear" w:color="auto" w:fill="auto"/>
                  <w:vAlign w:val="center"/>
                </w:tcPr>
                <w:p w14:paraId="1A003302">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w:t>
                  </w:r>
                </w:p>
              </w:tc>
              <w:tc>
                <w:tcPr>
                  <w:tcW w:w="913" w:type="dxa"/>
                  <w:tcBorders>
                    <w:tl2br w:val="nil"/>
                    <w:tr2bl w:val="nil"/>
                  </w:tcBorders>
                  <w:shd w:val="clear" w:color="auto" w:fill="auto"/>
                  <w:vAlign w:val="center"/>
                </w:tcPr>
                <w:p w14:paraId="6B8AF685">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w:t>
                  </w:r>
                </w:p>
              </w:tc>
              <w:tc>
                <w:tcPr>
                  <w:tcW w:w="1411" w:type="dxa"/>
                  <w:tcBorders>
                    <w:tl2br w:val="nil"/>
                    <w:tr2bl w:val="nil"/>
                  </w:tcBorders>
                  <w:shd w:val="clear" w:color="auto" w:fill="auto"/>
                  <w:vAlign w:val="center"/>
                </w:tcPr>
                <w:p w14:paraId="688EDB5C">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2667.5</w:t>
                  </w:r>
                </w:p>
              </w:tc>
              <w:tc>
                <w:tcPr>
                  <w:tcW w:w="1322" w:type="dxa"/>
                  <w:vMerge w:val="continue"/>
                  <w:tcBorders>
                    <w:tl2br w:val="nil"/>
                    <w:tr2bl w:val="nil"/>
                  </w:tcBorders>
                  <w:shd w:val="clear" w:color="auto" w:fill="auto"/>
                  <w:vAlign w:val="center"/>
                </w:tcPr>
                <w:p w14:paraId="2BA5CDEA">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kern w:val="2"/>
                      <w:sz w:val="20"/>
                      <w:szCs w:val="20"/>
                      <w:highlight w:val="none"/>
                      <w:lang w:val="en-US" w:eastAsia="zh-CN" w:bidi="ar-SA"/>
                    </w:rPr>
                  </w:pPr>
                </w:p>
              </w:tc>
            </w:tr>
            <w:tr w14:paraId="2FF3F02A">
              <w:tblPrEx>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4" w:space="0"/>
                  <w:insideV w:val="single" w:color="000000" w:themeColor="text1" w:sz="4" w:space="0"/>
                </w:tblBorders>
                <w:shd w:val="clear" w:color="auto" w:fill="auto"/>
                <w:tblCellMar>
                  <w:top w:w="15" w:type="dxa"/>
                  <w:left w:w="15" w:type="dxa"/>
                  <w:bottom w:w="15" w:type="dxa"/>
                  <w:right w:w="15" w:type="dxa"/>
                </w:tblCellMar>
              </w:tblPrEx>
              <w:trPr>
                <w:trHeight w:val="397" w:hRule="exact"/>
                <w:jc w:val="center"/>
              </w:trPr>
              <w:tc>
                <w:tcPr>
                  <w:tcW w:w="6204" w:type="dxa"/>
                  <w:gridSpan w:val="5"/>
                  <w:tcBorders>
                    <w:tl2br w:val="nil"/>
                    <w:tr2bl w:val="nil"/>
                  </w:tcBorders>
                  <w:shd w:val="clear" w:color="auto" w:fill="auto"/>
                  <w:vAlign w:val="center"/>
                </w:tcPr>
                <w:p w14:paraId="4643746B">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合计①+②  单位</w:t>
                  </w:r>
                  <w:r>
                    <w:rPr>
                      <w:rFonts w:hint="eastAsia" w:cs="Times New Roman"/>
                      <w:b w:val="0"/>
                      <w:bCs/>
                      <w:color w:val="auto"/>
                      <w:sz w:val="21"/>
                      <w:szCs w:val="21"/>
                      <w:highlight w:val="none"/>
                      <w:lang w:val="en-US" w:eastAsia="zh-CN"/>
                    </w:rPr>
                    <w:t>kg</w:t>
                  </w:r>
                </w:p>
              </w:tc>
              <w:tc>
                <w:tcPr>
                  <w:tcW w:w="1411" w:type="dxa"/>
                  <w:tcBorders>
                    <w:tl2br w:val="nil"/>
                    <w:tr2bl w:val="nil"/>
                  </w:tcBorders>
                  <w:shd w:val="clear" w:color="auto" w:fill="auto"/>
                  <w:vAlign w:val="center"/>
                </w:tcPr>
                <w:p w14:paraId="15F55169">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7950.5</w:t>
                  </w:r>
                </w:p>
              </w:tc>
              <w:tc>
                <w:tcPr>
                  <w:tcW w:w="1322" w:type="dxa"/>
                  <w:vMerge w:val="continue"/>
                  <w:tcBorders>
                    <w:tl2br w:val="nil"/>
                    <w:tr2bl w:val="nil"/>
                  </w:tcBorders>
                  <w:shd w:val="clear" w:color="auto" w:fill="auto"/>
                  <w:vAlign w:val="center"/>
                </w:tcPr>
                <w:p w14:paraId="5A402213">
                  <w:pPr>
                    <w:keepNext/>
                    <w:keepLines w:val="0"/>
                    <w:suppressLineNumbers w:val="0"/>
                    <w:snapToGrid w:val="0"/>
                    <w:spacing w:before="0" w:beforeAutospacing="0" w:after="0" w:afterAutospacing="0"/>
                    <w:ind w:left="0" w:leftChars="0" w:right="0" w:rightChars="0" w:firstLine="0" w:firstLineChars="0"/>
                    <w:jc w:val="center"/>
                    <w:rPr>
                      <w:rFonts w:hint="default" w:ascii="Times New Roman" w:hAnsi="Times New Roman" w:eastAsia="宋体" w:cs="Times New Roman"/>
                      <w:b w:val="0"/>
                      <w:bCs/>
                      <w:color w:val="auto"/>
                      <w:sz w:val="20"/>
                      <w:szCs w:val="20"/>
                      <w:highlight w:val="none"/>
                      <w:lang w:val="en-US" w:eastAsia="zh-CN"/>
                    </w:rPr>
                  </w:pPr>
                </w:p>
              </w:tc>
            </w:tr>
          </w:tbl>
          <w:p w14:paraId="2C72585D">
            <w:pPr>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auto"/>
                <w:highlight w:val="none"/>
              </w:rPr>
            </w:pPr>
          </w:p>
          <w:p w14:paraId="5E69CFA7">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（7）</w:t>
            </w:r>
            <w:r>
              <w:rPr>
                <w:rFonts w:hint="default" w:ascii="Times New Roman" w:hAnsi="Times New Roman" w:cs="Times New Roman"/>
                <w:color w:val="auto"/>
                <w:highlight w:val="none"/>
                <w:lang w:val="en-US" w:eastAsia="zh-CN"/>
              </w:rPr>
              <w:t>非放射性废气：</w:t>
            </w:r>
            <w:r>
              <w:rPr>
                <w:rFonts w:hint="default" w:ascii="Times New Roman" w:hAnsi="Times New Roman" w:cs="Times New Roman"/>
                <w:color w:val="auto"/>
                <w:highlight w:val="none"/>
                <w:lang w:eastAsia="zh-CN"/>
              </w:rPr>
              <w:t>核医学科</w:t>
            </w:r>
            <w:r>
              <w:rPr>
                <w:rFonts w:hint="default" w:ascii="Times New Roman" w:hAnsi="Times New Roman" w:cs="Times New Roman"/>
                <w:color w:val="auto"/>
                <w:highlight w:val="none"/>
                <w:lang w:val="en-US" w:eastAsia="zh-CN"/>
              </w:rPr>
              <w:t>γ</w:t>
            </w:r>
            <w:r>
              <w:rPr>
                <w:rFonts w:hint="default" w:ascii="Times New Roman" w:hAnsi="Times New Roman" w:cs="Times New Roman"/>
                <w:color w:val="auto"/>
                <w:highlight w:val="none"/>
                <w:lang w:eastAsia="zh-CN"/>
              </w:rPr>
              <w:t>射线电离空气</w:t>
            </w:r>
            <w:r>
              <w:rPr>
                <w:rFonts w:hint="default" w:ascii="Times New Roman" w:hAnsi="Times New Roman" w:cs="Times New Roman"/>
                <w:color w:val="auto"/>
                <w:highlight w:val="none"/>
                <w:lang w:val="en-US" w:eastAsia="zh-CN"/>
              </w:rPr>
              <w:t>产生</w:t>
            </w:r>
            <w:r>
              <w:rPr>
                <w:rFonts w:hint="default" w:ascii="Times New Roman" w:hAnsi="Times New Roman" w:cs="Times New Roman"/>
                <w:color w:val="auto"/>
                <w:highlight w:val="none"/>
              </w:rPr>
              <w:t>臭氧</w:t>
            </w:r>
            <w:r>
              <w:rPr>
                <w:rFonts w:hint="default" w:ascii="Times New Roman" w:hAnsi="Times New Roman" w:cs="Times New Roman"/>
                <w:color w:val="auto"/>
                <w:highlight w:val="none"/>
                <w:lang w:val="en-US" w:eastAsia="zh-CN"/>
              </w:rPr>
              <w:t>和氮氧化物</w:t>
            </w:r>
            <w:r>
              <w:rPr>
                <w:rFonts w:hint="default" w:ascii="Times New Roman" w:hAnsi="Times New Roman" w:cs="Times New Roman"/>
                <w:color w:val="auto"/>
                <w:highlight w:val="none"/>
              </w:rPr>
              <w:t>。</w:t>
            </w:r>
          </w:p>
          <w:p w14:paraId="331A2E59">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（8）噪声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机房排风管道内换气扇以及排风机工作时将产生一定的噪声。</w:t>
            </w:r>
          </w:p>
          <w:p w14:paraId="064D5AF3">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（9）非放射性废水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各个</w:t>
            </w:r>
            <w:r>
              <w:rPr>
                <w:rFonts w:hint="default" w:ascii="Times New Roman" w:hAnsi="Times New Roman" w:cs="Times New Roman"/>
                <w:color w:val="auto"/>
                <w:highlight w:val="none"/>
                <w:lang w:val="en-US" w:eastAsia="zh-CN"/>
              </w:rPr>
              <w:t>工作场所</w:t>
            </w:r>
            <w:r>
              <w:rPr>
                <w:rFonts w:hint="default" w:ascii="Times New Roman" w:hAnsi="Times New Roman" w:cs="Times New Roman"/>
                <w:color w:val="auto"/>
                <w:highlight w:val="none"/>
              </w:rPr>
              <w:t>医护人员的生活污水依托医院已投入使用的污水处理设施处置。</w:t>
            </w:r>
          </w:p>
          <w:p w14:paraId="0166AECF">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（10）非放射性固体废弃物</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主要为各个核医学场所工作人员产生的少量生活垃圾。</w:t>
            </w:r>
          </w:p>
          <w:p w14:paraId="20894949">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9.2.3运行期事故工况污染源</w:t>
            </w:r>
          </w:p>
          <w:p w14:paraId="4839E3F3">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9.2.3.1回旋加速器</w:t>
            </w:r>
          </w:p>
          <w:p w14:paraId="08C26F6F">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1）人员在防护门关闭前尚未撤离机房，加速器运行可能产生误照射。在机房防护门内与控制室设置有人工紧急停机及开门按钮，只要未撤离人员了解该按钮的作用，可避免此类事故的发生。因此，在加速器机房内应设置此按钮醒目的指示和说明，便于在紧急情况下使用。</w:t>
            </w:r>
          </w:p>
          <w:p w14:paraId="41C28800">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2）安全联锁装置或报警系统发生故障状况下，人员误入正在运行的回旋加速器机房内。因此，工作人员应每天检查安全联锁装置，且医务人员必须严格按照加速器操作程序进行操作，防止事故的发生。当发生事故时立即按下紧急按钮停止运行，减少事故的影响。</w:t>
            </w:r>
          </w:p>
          <w:p w14:paraId="44D498B3">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（3）回旋加速器装置失灵、损坏、调试和操作失误等，导致放射性核素或药物因意外停留在传输管道中，合成系统管道堵塞或泄漏等情况下，可能导致工作人员误照射或放射性核素污染相关工作场所。</w:t>
            </w:r>
          </w:p>
          <w:p w14:paraId="6379265B">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4）在核素制备过程中，靶处于高压状态，且粒子轰击靶会产生高温，当靶的冷却系统异常时，可能导致靶被打穿，使得靶水进入真空系统，靶物质冷凝在真空管壁上，造成污染。发生此类事故时，可关闭回旋加速器机房防护门一段时间，利用生产核素的半衰期较短的特点，进行自然衰变后再进行处理。</w:t>
            </w:r>
          </w:p>
          <w:p w14:paraId="3B636F73">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5）冷却水系统管道破裂等致使冷却水流出，污染地面、设备等，对人员产生外照射等影响。发生此类事故时，可关闭回旋加速器机房防护门一段时间，利用生产核素的半衰期较短的特点，进行自然衰变后再进行处理。长半衰期核素污染地面时，用吸水纸吸附液体，再清洗，清洗液体少时用吸水纸吸附，作为放射性固体处理；液体量太大时，经专用管道排入放射性废液衰变池暂存衰变处理，最终与其他放射性废水一起排出。</w:t>
            </w:r>
          </w:p>
          <w:p w14:paraId="397F1E3F">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事故工况下的污染因子与正常工况下基本相同，主要为：中子、β表面污染、γ射线、放射性废水、放射性废气、放射性固体废弃物等。</w:t>
            </w:r>
          </w:p>
          <w:p w14:paraId="3FFC7461">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9.2.3.2非密封放射性物质工作场</w:t>
            </w:r>
          </w:p>
          <w:p w14:paraId="06A7F4A8">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参考国内外类似项目运营中的资料及国内相关场所的实际考查，现将项目运营中可能出现概率较大或后果较严重的事故分列如下：</w:t>
            </w:r>
          </w:p>
          <w:p w14:paraId="51D96CAF">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（1）在操作</w:t>
            </w:r>
            <w:r>
              <w:rPr>
                <w:rFonts w:hint="default" w:ascii="Times New Roman" w:hAnsi="Times New Roman" w:cs="Times New Roman"/>
                <w:color w:val="auto"/>
                <w:highlight w:val="none"/>
                <w:vertAlign w:val="baseline"/>
              </w:rPr>
              <w:t>放射性同位素</w:t>
            </w:r>
            <w:r>
              <w:rPr>
                <w:rFonts w:hint="default" w:ascii="Times New Roman" w:hAnsi="Times New Roman" w:cs="Times New Roman"/>
                <w:color w:val="auto"/>
                <w:highlight w:val="none"/>
              </w:rPr>
              <w:t>的过程中，因容器破碎、药物泼洒等，有可能污染工作台、地面、墙壁、设备等，甚至造成手和皮肤的污染。</w:t>
            </w:r>
          </w:p>
          <w:p w14:paraId="7047B5C0">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（2）放射性药物丢失或被盗，造成放射性事故；放射性药物在转移过程中由于操作人员违反操作规定或误操作引起意外泄漏而造成放射性表面污染。</w:t>
            </w:r>
          </w:p>
          <w:p w14:paraId="7049746C">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（3）因受到爆炸、火灾等各种自然或人为灾害的破坏，可能会导致放射性药物包容破损、放射性液体泄漏，若处置不当，会对人员和环境造成危害。</w:t>
            </w:r>
          </w:p>
          <w:p w14:paraId="38A0BFA5">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（4）放射性废物处置或管理不当，造成环境放射性污染。</w:t>
            </w:r>
          </w:p>
          <w:p w14:paraId="5E6C2437">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5）放射性废物管理不善，包括：放射性废水未经足够的时间衰变即进行排放，使排放超出规定的限值，可能对环境或人体造成一定的危害；放射性固体废物未经足够的时间衰变，存放时间过短，即进行擅自处理，可能对环境造成污染和对公众造成危害。</w:t>
            </w:r>
          </w:p>
          <w:p w14:paraId="26396CCE">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（6）工作人员未按要求穿戴个人防护用品等，造成附加照射剂量。</w:t>
            </w:r>
          </w:p>
        </w:tc>
      </w:tr>
    </w:tbl>
    <w:p w14:paraId="4A518A60">
      <w:pPr>
        <w:pStyle w:val="6"/>
        <w:shd w:val="clear"/>
        <w:rPr>
          <w:rFonts w:hint="default" w:ascii="Times New Roman" w:hAnsi="Times New Roman" w:eastAsia="宋体" w:cs="Times New Roman"/>
          <w:color w:val="auto"/>
          <w:highlight w:val="none"/>
        </w:rPr>
      </w:pPr>
      <w:bookmarkStart w:id="18" w:name="9.1_施工期工艺分析"/>
      <w:bookmarkEnd w:id="18"/>
      <w:bookmarkStart w:id="19" w:name="表10辐射安全与防护"/>
      <w:bookmarkEnd w:id="19"/>
      <w:bookmarkStart w:id="20" w:name="_Toc9466"/>
    </w:p>
    <w:p w14:paraId="108E7655">
      <w:pPr>
        <w:rPr>
          <w:rFonts w:hint="default" w:ascii="Times New Roman" w:hAnsi="Times New Roman" w:eastAsia="宋体" w:cs="Times New Roman"/>
          <w:color w:val="auto"/>
          <w:highlight w:val="none"/>
        </w:rPr>
        <w:sectPr>
          <w:pgSz w:w="11910" w:h="16840"/>
          <w:pgMar w:top="1224" w:right="1181" w:bottom="1224" w:left="1094" w:header="0" w:footer="1417" w:gutter="0"/>
          <w:pgBorders>
            <w:top w:val="none" w:sz="0" w:space="0"/>
            <w:left w:val="none" w:sz="0" w:space="0"/>
            <w:bottom w:val="none" w:sz="0" w:space="0"/>
            <w:right w:val="none" w:sz="0" w:space="0"/>
          </w:pgBorders>
          <w:pgNumType w:fmt="decimal"/>
          <w:cols w:space="0" w:num="1"/>
        </w:sectPr>
      </w:pPr>
    </w:p>
    <w:p w14:paraId="0F3C48C3">
      <w:pPr>
        <w:rPr>
          <w:rFonts w:hint="default" w:ascii="Times New Roman" w:hAnsi="Times New Roman" w:eastAsia="宋体" w:cs="Times New Roman"/>
          <w:color w:val="auto"/>
          <w:highlight w:val="none"/>
          <w:lang w:eastAsia="zh-CN"/>
        </w:rPr>
      </w:pPr>
    </w:p>
    <w:p w14:paraId="57E98F88">
      <w:pPr>
        <w:jc w:val="center"/>
        <w:rPr>
          <w:rFonts w:hint="default" w:ascii="Times New Roman" w:hAnsi="Times New Roman" w:eastAsia="宋体" w:cs="Times New Roman"/>
          <w:color w:val="auto"/>
          <w:highlight w:val="none"/>
          <w:lang w:eastAsia="zh-CN"/>
        </w:rPr>
      </w:pPr>
    </w:p>
    <w:p w14:paraId="09CFAEB4">
      <w:pPr>
        <w:pStyle w:val="6"/>
        <w:shd w:val="clea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w:t>
      </w:r>
      <w:r>
        <w:rPr>
          <w:rFonts w:hint="default" w:ascii="Times New Roman" w:hAnsi="Times New Roman" w:eastAsia="宋体" w:cs="Times New Roman"/>
          <w:color w:val="auto"/>
          <w:highlight w:val="none"/>
          <w:lang w:eastAsia="zh-CN"/>
        </w:rPr>
        <w:t>10</w:t>
      </w:r>
      <w:r>
        <w:rPr>
          <w:rFonts w:hint="default" w:ascii="Times New Roman" w:hAnsi="Times New Roman" w:eastAsia="宋体" w:cs="Times New Roman"/>
          <w:color w:val="auto"/>
          <w:highlight w:val="none"/>
        </w:rPr>
        <w:t xml:space="preserve"> 辐射安全与防护</w:t>
      </w:r>
      <w:bookmarkEnd w:id="20"/>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6"/>
      </w:tblGrid>
      <w:tr w14:paraId="0E08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46" w:type="dxa"/>
          </w:tcPr>
          <w:p w14:paraId="3A4509F9">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lang w:val="en-US" w:eastAsia="zh-CN"/>
              </w:rPr>
              <w:t>10.1</w:t>
            </w:r>
            <w:r>
              <w:rPr>
                <w:rFonts w:hint="default" w:ascii="Times New Roman" w:hAnsi="Times New Roman" w:eastAsia="宋体" w:cs="Times New Roman"/>
                <w:b/>
                <w:bCs/>
                <w:color w:val="auto"/>
                <w:highlight w:val="none"/>
              </w:rPr>
              <w:t>项目安全设施</w:t>
            </w:r>
          </w:p>
          <w:p w14:paraId="52C9F0FF">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10.1.1 工作场所布局</w:t>
            </w:r>
          </w:p>
          <w:p w14:paraId="5284B23F">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医院北院区核医学楼地下三层、地上四层</w:t>
            </w:r>
            <w:r>
              <w:rPr>
                <w:rFonts w:hint="default" w:ascii="Times New Roman" w:hAnsi="Times New Roman" w:cs="Times New Roman"/>
                <w:b w:val="0"/>
                <w:bCs w:val="0"/>
                <w:color w:val="auto"/>
                <w:highlight w:val="none"/>
                <w:lang w:val="en-US" w:eastAsia="zh-CN"/>
              </w:rPr>
              <w:t>，</w:t>
            </w:r>
            <w:r>
              <w:rPr>
                <w:rFonts w:hint="default" w:ascii="Times New Roman" w:hAnsi="Times New Roman" w:eastAsia="宋体" w:cs="Times New Roman"/>
                <w:b w:val="0"/>
                <w:bCs w:val="0"/>
                <w:color w:val="auto"/>
                <w:highlight w:val="none"/>
                <w:lang w:val="en-US" w:eastAsia="zh-CN"/>
              </w:rPr>
              <w:t>其中负三层为衰变池区域，负二层为基础设施区域，负一层为正电子</w:t>
            </w:r>
            <w:r>
              <w:rPr>
                <w:rFonts w:hint="default" w:ascii="Times New Roman" w:hAnsi="Times New Roman" w:cs="Times New Roman"/>
                <w:b w:val="0"/>
                <w:bCs w:val="0"/>
                <w:color w:val="auto"/>
                <w:highlight w:val="none"/>
                <w:lang w:val="en-US" w:eastAsia="zh-CN"/>
              </w:rPr>
              <w:t>药物生产、</w:t>
            </w:r>
            <w:r>
              <w:rPr>
                <w:rFonts w:hint="default" w:ascii="Times New Roman" w:hAnsi="Times New Roman" w:eastAsia="宋体" w:cs="Times New Roman"/>
                <w:b w:val="0"/>
                <w:bCs w:val="0"/>
                <w:color w:val="auto"/>
                <w:highlight w:val="none"/>
                <w:lang w:val="en-US" w:eastAsia="zh-CN"/>
              </w:rPr>
              <w:t>单光子</w:t>
            </w:r>
            <w:r>
              <w:rPr>
                <w:rFonts w:hint="default" w:ascii="Times New Roman" w:hAnsi="Times New Roman" w:cs="Times New Roman"/>
                <w:b w:val="0"/>
                <w:bCs w:val="0"/>
                <w:color w:val="auto"/>
                <w:highlight w:val="none"/>
                <w:lang w:val="en-US" w:eastAsia="zh-CN"/>
              </w:rPr>
              <w:t>药物生产</w:t>
            </w:r>
            <w:r>
              <w:rPr>
                <w:rFonts w:hint="default" w:ascii="Times New Roman" w:hAnsi="Times New Roman" w:eastAsia="宋体" w:cs="Times New Roman"/>
                <w:b w:val="0"/>
                <w:bCs w:val="0"/>
                <w:color w:val="auto"/>
                <w:highlight w:val="none"/>
                <w:lang w:val="en-US" w:eastAsia="zh-CN"/>
              </w:rPr>
              <w:t>和其他放射性药品储存区域，一层为SPECT-CT 影像诊断区域等区域，二层为 PET-CT/MRI 影像诊断区域，三层为核素治疗区域</w:t>
            </w:r>
            <w:r>
              <w:rPr>
                <w:rFonts w:hint="default" w:ascii="Times New Roman" w:hAnsi="Times New Roman" w:cs="Times New Roman"/>
                <w:b w:val="0"/>
                <w:bCs w:val="0"/>
                <w:color w:val="auto"/>
                <w:highlight w:val="none"/>
                <w:lang w:val="en-US" w:eastAsia="zh-CN"/>
              </w:rPr>
              <w:t>，四层为核医学楼办公区</w:t>
            </w:r>
            <w:r>
              <w:rPr>
                <w:rFonts w:hint="default" w:ascii="Times New Roman" w:hAnsi="Times New Roman" w:eastAsia="宋体" w:cs="Times New Roman"/>
                <w:b w:val="0"/>
                <w:bCs w:val="0"/>
                <w:color w:val="auto"/>
                <w:highlight w:val="none"/>
                <w:lang w:val="en-US" w:eastAsia="zh-CN"/>
              </w:rPr>
              <w:t>，其中含有</w:t>
            </w:r>
            <w:r>
              <w:rPr>
                <w:rFonts w:hint="default" w:ascii="Times New Roman" w:hAnsi="Times New Roman" w:cs="Times New Roman"/>
                <w:b w:val="0"/>
                <w:bCs w:val="0"/>
                <w:color w:val="auto"/>
                <w:highlight w:val="none"/>
                <w:lang w:val="en-US" w:eastAsia="zh-CN"/>
              </w:rPr>
              <w:t>17</w:t>
            </w:r>
            <w:r>
              <w:rPr>
                <w:rFonts w:hint="default" w:ascii="Times New Roman" w:hAnsi="Times New Roman" w:eastAsia="宋体" w:cs="Times New Roman"/>
                <w:b w:val="0"/>
                <w:bCs w:val="0"/>
                <w:color w:val="auto"/>
                <w:highlight w:val="none"/>
                <w:lang w:val="en-US" w:eastAsia="zh-CN"/>
              </w:rPr>
              <w:t>间甲癌病房和1间前列腺癌治疗病房</w:t>
            </w:r>
            <w:r>
              <w:rPr>
                <w:rFonts w:hint="default" w:ascii="Times New Roman" w:hAnsi="Times New Roman" w:cs="Times New Roman"/>
                <w:b w:val="0"/>
                <w:bCs w:val="0"/>
                <w:color w:val="auto"/>
                <w:highlight w:val="none"/>
                <w:lang w:val="en-US" w:eastAsia="zh-CN"/>
              </w:rPr>
              <w:t>。本核医学楼竖向分区遵循辐射风险由下至上递减、工艺流程顺向布置的原则，将衰变池设于负三层，负二层集中布置基础设施，负一层设置放射性药物生产及储存等高活度区域；自一层往上依次布置 SPECT-CT、PET-CT/MRI 影像诊断、核素治疗区域，辐射风险最低的办公区设置于四层，实现放射性废液处置、药物制备、影像检查、核素治疗、办公功能的竖向有序排布，兼顾辐射隔离、流线组织与运维管理。老院区综合楼一层介入手术2室位于一层，楼上为彩超室，楼下为药品库房。项目平面图、剖面图见附图1</w:t>
            </w:r>
            <w:r>
              <w:rPr>
                <w:rFonts w:hint="eastAsia" w:cs="Times New Roman"/>
                <w:b w:val="0"/>
                <w:bCs w:val="0"/>
                <w:color w:val="auto"/>
                <w:highlight w:val="none"/>
                <w:lang w:val="en-US" w:eastAsia="zh-CN"/>
              </w:rPr>
              <w:t>。</w:t>
            </w:r>
          </w:p>
          <w:p w14:paraId="5667D2D3">
            <w:pPr>
              <w:pStyle w:val="10"/>
              <w:keepNext w:val="0"/>
              <w:keepLines w:val="0"/>
              <w:suppressLineNumbers w:val="0"/>
              <w:shd w:val="clear"/>
              <w:tabs>
                <w:tab w:val="left" w:pos="940"/>
              </w:tabs>
              <w:spacing w:before="182" w:beforeAutospacing="0" w:after="0" w:afterAutospacing="0"/>
              <w:ind w:left="220" w:right="0" w:firstLine="0"/>
              <w:jc w:val="both"/>
              <w:outlineLvl w:val="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10.1.</w:t>
            </w:r>
            <w:r>
              <w:rPr>
                <w:rFonts w:hint="default" w:ascii="Times New Roman" w:hAnsi="Times New Roman" w:eastAsia="宋体" w:cs="Times New Roman"/>
                <w:color w:val="auto"/>
                <w:sz w:val="24"/>
                <w:szCs w:val="24"/>
                <w:highlight w:val="none"/>
                <w:lang w:val="en-US" w:eastAsia="zh-CN"/>
              </w:rPr>
              <w:t>2工作场所分级</w:t>
            </w:r>
          </w:p>
          <w:p w14:paraId="55DACA77">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本项目涉及的非密封放射性物质工作场所分级：依据《电离辐射防护与辐射源安全基本标准》（GBl887l-2002）附录 C 提供的</w:t>
            </w:r>
            <w:r>
              <w:rPr>
                <w:rFonts w:hint="default" w:ascii="Times New Roman" w:hAnsi="Times New Roman" w:cs="Times New Roman"/>
                <w:b w:val="0"/>
                <w:bCs w:val="0"/>
                <w:color w:val="auto"/>
                <w:highlight w:val="none"/>
                <w:vertAlign w:val="baseline"/>
                <w:lang w:val="en-US" w:eastAsia="zh-CN"/>
              </w:rPr>
              <w:t>放射性同位素</w:t>
            </w:r>
            <w:r>
              <w:rPr>
                <w:rFonts w:hint="default" w:ascii="Times New Roman" w:hAnsi="Times New Roman" w:cs="Times New Roman"/>
                <w:b w:val="0"/>
                <w:bCs w:val="0"/>
                <w:color w:val="auto"/>
                <w:highlight w:val="none"/>
                <w:lang w:val="en-US" w:eastAsia="zh-CN"/>
              </w:rPr>
              <w:t>工作场所放射性核素日等效最大操作计算方法（见式 l0-l ）和建设单位提供的</w:t>
            </w:r>
            <w:r>
              <w:rPr>
                <w:rFonts w:hint="default" w:ascii="Times New Roman" w:hAnsi="Times New Roman" w:cs="Times New Roman"/>
                <w:b w:val="0"/>
                <w:bCs w:val="0"/>
                <w:color w:val="auto"/>
                <w:highlight w:val="none"/>
                <w:vertAlign w:val="baseline"/>
                <w:lang w:val="en-US" w:eastAsia="zh-CN"/>
              </w:rPr>
              <w:t>放射性同位素</w:t>
            </w:r>
            <w:r>
              <w:rPr>
                <w:rFonts w:hint="default" w:ascii="Times New Roman" w:hAnsi="Times New Roman" w:cs="Times New Roman"/>
                <w:b w:val="0"/>
                <w:bCs w:val="0"/>
                <w:color w:val="auto"/>
                <w:highlight w:val="none"/>
                <w:lang w:val="en-US" w:eastAsia="zh-CN"/>
              </w:rPr>
              <w:t>最大日操作量，可以计算出核素的日等效最大操作量。非密封源工作场所的分级判据如表 l0-1。</w:t>
            </w:r>
          </w:p>
          <w:p w14:paraId="530CF855">
            <w:pPr>
              <w:pStyle w:val="43"/>
              <w:keepNext w:val="0"/>
              <w:keepLines w:val="0"/>
              <w:suppressLineNumbers w:val="0"/>
              <w:spacing w:before="0" w:beforeAutospacing="0" w:after="0" w:afterAutospacing="0" w:line="228" w:lineRule="auto"/>
              <w:ind w:left="0" w:right="0" w:firstLine="2402" w:firstLineChars="900"/>
              <w:jc w:val="both"/>
              <w:rPr>
                <w:rFonts w:hint="default" w:ascii="Times New Roman" w:hAnsi="Times New Roman" w:cs="Times New Roman"/>
                <w:color w:val="auto"/>
                <w:sz w:val="24"/>
                <w:szCs w:val="24"/>
                <w:highlight w:val="none"/>
              </w:rPr>
            </w:pPr>
            <w:r>
              <w:rPr>
                <w:rFonts w:hint="default" w:ascii="Times New Roman" w:hAnsi="Times New Roman" w:cs="Times New Roman"/>
                <w:b/>
                <w:bCs/>
                <w:color w:val="auto"/>
                <w:spacing w:val="13"/>
                <w:sz w:val="24"/>
                <w:szCs w:val="24"/>
                <w:highlight w:val="none"/>
              </w:rPr>
              <w:t>表</w:t>
            </w:r>
            <w:r>
              <w:rPr>
                <w:rFonts w:hint="default" w:ascii="Times New Roman" w:hAnsi="Times New Roman" w:cs="Times New Roman"/>
                <w:color w:val="auto"/>
                <w:spacing w:val="-4"/>
                <w:sz w:val="24"/>
                <w:szCs w:val="24"/>
                <w:highlight w:val="none"/>
              </w:rPr>
              <w:t xml:space="preserve"> </w:t>
            </w:r>
            <w:r>
              <w:rPr>
                <w:rFonts w:hint="default" w:ascii="Times New Roman" w:hAnsi="Times New Roman" w:eastAsia="Times New Roman" w:cs="Times New Roman"/>
                <w:b/>
                <w:bCs/>
                <w:color w:val="auto"/>
                <w:spacing w:val="13"/>
                <w:sz w:val="24"/>
                <w:szCs w:val="24"/>
                <w:highlight w:val="none"/>
              </w:rPr>
              <w:t>10-</w:t>
            </w:r>
            <w:r>
              <w:rPr>
                <w:rFonts w:hint="default" w:ascii="Times New Roman" w:hAnsi="Times New Roman" w:eastAsia="宋体" w:cs="Times New Roman"/>
                <w:b/>
                <w:bCs/>
                <w:color w:val="auto"/>
                <w:spacing w:val="13"/>
                <w:sz w:val="24"/>
                <w:szCs w:val="24"/>
                <w:highlight w:val="none"/>
                <w:lang w:val="en-US" w:eastAsia="zh-CN"/>
              </w:rPr>
              <w:t>1</w:t>
            </w:r>
            <w:r>
              <w:rPr>
                <w:rFonts w:hint="default" w:ascii="Times New Roman" w:hAnsi="Times New Roman" w:eastAsia="Times New Roman" w:cs="Times New Roman"/>
                <w:b/>
                <w:bCs/>
                <w:color w:val="auto"/>
                <w:spacing w:val="17"/>
                <w:w w:val="101"/>
                <w:sz w:val="24"/>
                <w:szCs w:val="24"/>
                <w:highlight w:val="none"/>
              </w:rPr>
              <w:t xml:space="preserve">  </w:t>
            </w:r>
            <w:r>
              <w:rPr>
                <w:rFonts w:hint="default" w:ascii="Times New Roman" w:hAnsi="Times New Roman" w:cs="Times New Roman"/>
                <w:b/>
                <w:bCs/>
                <w:color w:val="auto"/>
                <w:spacing w:val="13"/>
                <w:sz w:val="24"/>
                <w:szCs w:val="24"/>
                <w:highlight w:val="none"/>
              </w:rPr>
              <w:t>非密封源工作场所的分级</w:t>
            </w:r>
          </w:p>
          <w:p w14:paraId="64E663FC">
            <w:pPr>
              <w:keepNext w:val="0"/>
              <w:keepLines w:val="0"/>
              <w:suppressLineNumbers w:val="0"/>
              <w:spacing w:before="0" w:beforeAutospacing="0" w:after="0" w:afterAutospacing="0" w:line="19" w:lineRule="exact"/>
              <w:ind w:left="0" w:right="0"/>
              <w:jc w:val="both"/>
              <w:rPr>
                <w:rFonts w:hint="default" w:ascii="Times New Roman" w:hAnsi="Times New Roman" w:cs="Times New Roman"/>
                <w:color w:val="auto"/>
                <w:highlight w:val="none"/>
              </w:rPr>
            </w:pPr>
          </w:p>
          <w:tbl>
            <w:tblPr>
              <w:tblStyle w:val="30"/>
              <w:tblW w:w="8917" w:type="dxa"/>
              <w:tblInd w:w="97"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458"/>
              <w:gridCol w:w="4459"/>
            </w:tblGrid>
            <w:tr w14:paraId="2E50E2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4458" w:type="dxa"/>
                  <w:tcBorders>
                    <w:tl2br w:val="nil"/>
                    <w:tr2bl w:val="nil"/>
                  </w:tcBorders>
                  <w:vAlign w:val="top"/>
                </w:tcPr>
                <w:p w14:paraId="44E36468">
                  <w:pPr>
                    <w:pStyle w:val="43"/>
                    <w:keepNext w:val="0"/>
                    <w:keepLines w:val="0"/>
                    <w:suppressLineNumbers w:val="0"/>
                    <w:spacing w:before="124" w:beforeAutospacing="0" w:after="0" w:afterAutospacing="0" w:line="228" w:lineRule="auto"/>
                    <w:ind w:left="2015" w:right="0"/>
                    <w:rPr>
                      <w:rFonts w:hint="default" w:ascii="Times New Roman" w:hAnsi="Times New Roman" w:cs="Times New Roman"/>
                      <w:color w:val="auto"/>
                      <w:sz w:val="20"/>
                      <w:szCs w:val="20"/>
                      <w:highlight w:val="none"/>
                    </w:rPr>
                  </w:pPr>
                  <w:r>
                    <w:rPr>
                      <w:rFonts w:hint="default" w:ascii="Times New Roman" w:hAnsi="Times New Roman" w:cs="Times New Roman"/>
                      <w:b/>
                      <w:bCs/>
                      <w:color w:val="auto"/>
                      <w:spacing w:val="8"/>
                      <w:sz w:val="20"/>
                      <w:szCs w:val="20"/>
                      <w:highlight w:val="none"/>
                    </w:rPr>
                    <w:t>级别</w:t>
                  </w:r>
                </w:p>
              </w:tc>
              <w:tc>
                <w:tcPr>
                  <w:tcW w:w="4459" w:type="dxa"/>
                  <w:tcBorders>
                    <w:tl2br w:val="nil"/>
                    <w:tr2bl w:val="nil"/>
                  </w:tcBorders>
                  <w:vAlign w:val="top"/>
                </w:tcPr>
                <w:p w14:paraId="1B46C16A">
                  <w:pPr>
                    <w:pStyle w:val="43"/>
                    <w:keepNext w:val="0"/>
                    <w:keepLines w:val="0"/>
                    <w:suppressLineNumbers w:val="0"/>
                    <w:spacing w:before="124" w:beforeAutospacing="0" w:after="0" w:afterAutospacing="0" w:line="221" w:lineRule="auto"/>
                    <w:ind w:left="990" w:right="0"/>
                    <w:rPr>
                      <w:rFonts w:hint="default" w:ascii="Times New Roman" w:hAnsi="Times New Roman" w:cs="Times New Roman"/>
                      <w:color w:val="auto"/>
                      <w:sz w:val="20"/>
                      <w:szCs w:val="20"/>
                      <w:highlight w:val="none"/>
                    </w:rPr>
                  </w:pPr>
                  <w:r>
                    <w:rPr>
                      <w:rFonts w:hint="default" w:ascii="Times New Roman" w:hAnsi="Times New Roman" w:cs="Times New Roman"/>
                      <w:b/>
                      <w:bCs/>
                      <w:color w:val="auto"/>
                      <w:spacing w:val="14"/>
                      <w:sz w:val="20"/>
                      <w:szCs w:val="20"/>
                      <w:highlight w:val="none"/>
                    </w:rPr>
                    <w:t>日等效最大操作量</w:t>
                  </w:r>
                  <w:r>
                    <w:rPr>
                      <w:rFonts w:hint="default" w:ascii="Times New Roman" w:hAnsi="Times New Roman" w:eastAsia="Times New Roman" w:cs="Times New Roman"/>
                      <w:b/>
                      <w:bCs/>
                      <w:color w:val="auto"/>
                      <w:spacing w:val="14"/>
                      <w:sz w:val="20"/>
                      <w:szCs w:val="20"/>
                      <w:highlight w:val="none"/>
                    </w:rPr>
                    <w:t>/</w:t>
                  </w:r>
                  <w:r>
                    <w:rPr>
                      <w:rFonts w:hint="default" w:ascii="Times New Roman" w:hAnsi="Times New Roman" w:cs="Times New Roman"/>
                      <w:b/>
                      <w:bCs/>
                      <w:color w:val="auto"/>
                      <w:spacing w:val="14"/>
                      <w:sz w:val="20"/>
                      <w:szCs w:val="20"/>
                      <w:highlight w:val="none"/>
                    </w:rPr>
                    <w:t>（</w:t>
                  </w:r>
                  <w:r>
                    <w:rPr>
                      <w:rFonts w:hint="default" w:ascii="Times New Roman" w:hAnsi="Times New Roman" w:eastAsia="Times New Roman" w:cs="Times New Roman"/>
                      <w:b/>
                      <w:bCs/>
                      <w:color w:val="auto"/>
                      <w:sz w:val="20"/>
                      <w:szCs w:val="20"/>
                      <w:highlight w:val="none"/>
                    </w:rPr>
                    <w:t>Bq</w:t>
                  </w:r>
                  <w:r>
                    <w:rPr>
                      <w:rFonts w:hint="default" w:ascii="Times New Roman" w:hAnsi="Times New Roman" w:cs="Times New Roman"/>
                      <w:b/>
                      <w:bCs/>
                      <w:color w:val="auto"/>
                      <w:spacing w:val="14"/>
                      <w:sz w:val="20"/>
                      <w:szCs w:val="20"/>
                      <w:highlight w:val="none"/>
                    </w:rPr>
                    <w:t>）</w:t>
                  </w:r>
                </w:p>
              </w:tc>
            </w:tr>
            <w:tr w14:paraId="4E69A7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4458" w:type="dxa"/>
                  <w:tcBorders>
                    <w:tl2br w:val="nil"/>
                    <w:tr2bl w:val="nil"/>
                  </w:tcBorders>
                  <w:vAlign w:val="top"/>
                </w:tcPr>
                <w:p w14:paraId="7B459B9A">
                  <w:pPr>
                    <w:pStyle w:val="43"/>
                    <w:keepNext w:val="0"/>
                    <w:keepLines w:val="0"/>
                    <w:suppressLineNumbers w:val="0"/>
                    <w:spacing w:before="122" w:beforeAutospacing="0" w:after="0" w:afterAutospacing="0" w:line="231" w:lineRule="auto"/>
                    <w:ind w:left="2151" w:right="0"/>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甲</w:t>
                  </w:r>
                </w:p>
              </w:tc>
              <w:tc>
                <w:tcPr>
                  <w:tcW w:w="4459" w:type="dxa"/>
                  <w:tcBorders>
                    <w:tl2br w:val="nil"/>
                    <w:tr2bl w:val="nil"/>
                  </w:tcBorders>
                  <w:vAlign w:val="top"/>
                </w:tcPr>
                <w:p w14:paraId="1F7FE623">
                  <w:pPr>
                    <w:pStyle w:val="43"/>
                    <w:keepNext w:val="0"/>
                    <w:keepLines w:val="0"/>
                    <w:suppressLineNumbers w:val="0"/>
                    <w:spacing w:before="122" w:beforeAutospacing="0" w:after="0" w:afterAutospacing="0" w:line="265" w:lineRule="exact"/>
                    <w:ind w:left="1876" w:right="0"/>
                    <w:rPr>
                      <w:rFonts w:hint="default" w:ascii="Times New Roman" w:hAnsi="Times New Roman" w:eastAsia="Times New Roman" w:cs="Times New Roman"/>
                      <w:color w:val="auto"/>
                      <w:sz w:val="13"/>
                      <w:szCs w:val="13"/>
                      <w:highlight w:val="none"/>
                    </w:rPr>
                  </w:pPr>
                  <w:r>
                    <w:rPr>
                      <w:rFonts w:hint="default" w:ascii="Times New Roman" w:hAnsi="Times New Roman" w:cs="Times New Roman"/>
                      <w:color w:val="auto"/>
                      <w:spacing w:val="16"/>
                      <w:w w:val="117"/>
                      <w:position w:val="1"/>
                      <w:sz w:val="20"/>
                      <w:szCs w:val="20"/>
                      <w:highlight w:val="none"/>
                    </w:rPr>
                    <w:t>&gt;</w:t>
                  </w:r>
                  <w:r>
                    <w:rPr>
                      <w:rFonts w:hint="default" w:ascii="Times New Roman" w:hAnsi="Times New Roman" w:eastAsia="Times New Roman" w:cs="Times New Roman"/>
                      <w:color w:val="auto"/>
                      <w:spacing w:val="16"/>
                      <w:w w:val="117"/>
                      <w:position w:val="1"/>
                      <w:sz w:val="20"/>
                      <w:szCs w:val="20"/>
                      <w:highlight w:val="none"/>
                    </w:rPr>
                    <w:t>4×l0</w:t>
                  </w:r>
                  <w:r>
                    <w:rPr>
                      <w:rFonts w:hint="default" w:ascii="Times New Roman" w:hAnsi="Times New Roman" w:eastAsia="Times New Roman" w:cs="Times New Roman"/>
                      <w:color w:val="auto"/>
                      <w:spacing w:val="16"/>
                      <w:w w:val="117"/>
                      <w:position w:val="7"/>
                      <w:sz w:val="13"/>
                      <w:szCs w:val="13"/>
                      <w:highlight w:val="none"/>
                    </w:rPr>
                    <w:t>9</w:t>
                  </w:r>
                </w:p>
              </w:tc>
            </w:tr>
            <w:tr w14:paraId="172DAB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4458" w:type="dxa"/>
                  <w:tcBorders>
                    <w:tl2br w:val="nil"/>
                    <w:tr2bl w:val="nil"/>
                  </w:tcBorders>
                  <w:vAlign w:val="top"/>
                </w:tcPr>
                <w:p w14:paraId="0C21BFB9">
                  <w:pPr>
                    <w:pStyle w:val="43"/>
                    <w:keepNext w:val="0"/>
                    <w:keepLines w:val="0"/>
                    <w:suppressLineNumbers w:val="0"/>
                    <w:spacing w:before="123" w:beforeAutospacing="0" w:after="0" w:afterAutospacing="0" w:line="263" w:lineRule="exact"/>
                    <w:ind w:left="2145" w:right="0"/>
                    <w:rPr>
                      <w:rFonts w:hint="default" w:ascii="Times New Roman" w:hAnsi="Times New Roman" w:cs="Times New Roman"/>
                      <w:color w:val="auto"/>
                      <w:sz w:val="20"/>
                      <w:szCs w:val="20"/>
                      <w:highlight w:val="none"/>
                    </w:rPr>
                  </w:pPr>
                  <w:r>
                    <w:rPr>
                      <w:rFonts w:hint="default" w:ascii="Times New Roman" w:hAnsi="Times New Roman" w:cs="Times New Roman"/>
                      <w:color w:val="auto"/>
                      <w:position w:val="1"/>
                      <w:sz w:val="20"/>
                      <w:szCs w:val="20"/>
                      <w:highlight w:val="none"/>
                    </w:rPr>
                    <w:t>乙</w:t>
                  </w:r>
                </w:p>
              </w:tc>
              <w:tc>
                <w:tcPr>
                  <w:tcW w:w="4459" w:type="dxa"/>
                  <w:tcBorders>
                    <w:tl2br w:val="nil"/>
                    <w:tr2bl w:val="nil"/>
                  </w:tcBorders>
                  <w:vAlign w:val="top"/>
                </w:tcPr>
                <w:p w14:paraId="0BF4F3C2">
                  <w:pPr>
                    <w:pStyle w:val="43"/>
                    <w:keepNext w:val="0"/>
                    <w:keepLines w:val="0"/>
                    <w:suppressLineNumbers w:val="0"/>
                    <w:spacing w:before="123" w:beforeAutospacing="0" w:after="0" w:afterAutospacing="0" w:line="264" w:lineRule="exact"/>
                    <w:ind w:left="1587" w:right="0"/>
                    <w:rPr>
                      <w:rFonts w:hint="default" w:ascii="Times New Roman" w:hAnsi="Times New Roman" w:eastAsia="Times New Roman" w:cs="Times New Roman"/>
                      <w:color w:val="auto"/>
                      <w:sz w:val="13"/>
                      <w:szCs w:val="13"/>
                      <w:highlight w:val="none"/>
                    </w:rPr>
                  </w:pPr>
                  <w:r>
                    <w:rPr>
                      <w:rFonts w:hint="default" w:ascii="Times New Roman" w:hAnsi="Times New Roman" w:eastAsia="Times New Roman" w:cs="Times New Roman"/>
                      <w:color w:val="auto"/>
                      <w:spacing w:val="17"/>
                      <w:position w:val="1"/>
                      <w:sz w:val="20"/>
                      <w:szCs w:val="20"/>
                      <w:highlight w:val="none"/>
                    </w:rPr>
                    <w:t>2×l0</w:t>
                  </w:r>
                  <w:r>
                    <w:rPr>
                      <w:rFonts w:hint="default" w:ascii="Times New Roman" w:hAnsi="Times New Roman" w:eastAsia="Times New Roman" w:cs="Times New Roman"/>
                      <w:color w:val="auto"/>
                      <w:spacing w:val="17"/>
                      <w:position w:val="7"/>
                      <w:sz w:val="13"/>
                      <w:szCs w:val="13"/>
                      <w:highlight w:val="none"/>
                    </w:rPr>
                    <w:t>7</w:t>
                  </w:r>
                  <w:r>
                    <w:rPr>
                      <w:rFonts w:hint="default" w:ascii="Times New Roman" w:hAnsi="Times New Roman" w:eastAsia="Times New Roman" w:cs="Times New Roman"/>
                      <w:color w:val="auto"/>
                      <w:spacing w:val="-12"/>
                      <w:position w:val="7"/>
                      <w:sz w:val="13"/>
                      <w:szCs w:val="13"/>
                      <w:highlight w:val="none"/>
                    </w:rPr>
                    <w:t xml:space="preserve"> </w:t>
                  </w:r>
                  <w:r>
                    <w:rPr>
                      <w:rFonts w:hint="default" w:ascii="Times New Roman" w:hAnsi="Times New Roman" w:cs="Times New Roman"/>
                      <w:color w:val="auto"/>
                      <w:spacing w:val="17"/>
                      <w:position w:val="1"/>
                      <w:sz w:val="20"/>
                      <w:szCs w:val="20"/>
                      <w:highlight w:val="none"/>
                    </w:rPr>
                    <w:t>～</w:t>
                  </w:r>
                  <w:r>
                    <w:rPr>
                      <w:rFonts w:hint="default" w:ascii="Times New Roman" w:hAnsi="Times New Roman" w:eastAsia="Times New Roman" w:cs="Times New Roman"/>
                      <w:color w:val="auto"/>
                      <w:spacing w:val="17"/>
                      <w:position w:val="1"/>
                      <w:sz w:val="20"/>
                      <w:szCs w:val="20"/>
                      <w:highlight w:val="none"/>
                    </w:rPr>
                    <w:t>4×l0</w:t>
                  </w:r>
                  <w:r>
                    <w:rPr>
                      <w:rFonts w:hint="default" w:ascii="Times New Roman" w:hAnsi="Times New Roman" w:eastAsia="Times New Roman" w:cs="Times New Roman"/>
                      <w:color w:val="auto"/>
                      <w:spacing w:val="17"/>
                      <w:position w:val="7"/>
                      <w:sz w:val="13"/>
                      <w:szCs w:val="13"/>
                      <w:highlight w:val="none"/>
                    </w:rPr>
                    <w:t>9</w:t>
                  </w:r>
                </w:p>
              </w:tc>
            </w:tr>
            <w:tr w14:paraId="37C47B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4458" w:type="dxa"/>
                  <w:tcBorders>
                    <w:tl2br w:val="nil"/>
                    <w:tr2bl w:val="nil"/>
                  </w:tcBorders>
                  <w:vAlign w:val="top"/>
                </w:tcPr>
                <w:p w14:paraId="50401028">
                  <w:pPr>
                    <w:pStyle w:val="43"/>
                    <w:keepNext w:val="0"/>
                    <w:keepLines w:val="0"/>
                    <w:suppressLineNumbers w:val="0"/>
                    <w:spacing w:before="123" w:beforeAutospacing="0" w:after="0" w:afterAutospacing="0" w:line="228" w:lineRule="auto"/>
                    <w:ind w:left="2129" w:right="0"/>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丙</w:t>
                  </w:r>
                </w:p>
              </w:tc>
              <w:tc>
                <w:tcPr>
                  <w:tcW w:w="4459" w:type="dxa"/>
                  <w:tcBorders>
                    <w:tl2br w:val="nil"/>
                    <w:tr2bl w:val="nil"/>
                  </w:tcBorders>
                  <w:vAlign w:val="top"/>
                </w:tcPr>
                <w:p w14:paraId="64F081A1">
                  <w:pPr>
                    <w:pStyle w:val="43"/>
                    <w:keepNext w:val="0"/>
                    <w:keepLines w:val="0"/>
                    <w:suppressLineNumbers w:val="0"/>
                    <w:spacing w:before="122" w:beforeAutospacing="0" w:after="0" w:afterAutospacing="0" w:line="228" w:lineRule="auto"/>
                    <w:ind w:left="1078" w:right="0"/>
                    <w:rPr>
                      <w:rFonts w:hint="default" w:ascii="Times New Roman" w:hAnsi="Times New Roman" w:eastAsia="Times New Roman" w:cs="Times New Roman"/>
                      <w:color w:val="auto"/>
                      <w:sz w:val="13"/>
                      <w:szCs w:val="13"/>
                      <w:highlight w:val="none"/>
                    </w:rPr>
                  </w:pPr>
                  <w:r>
                    <w:rPr>
                      <w:rFonts w:hint="default" w:ascii="Times New Roman" w:hAnsi="Times New Roman" w:cs="Times New Roman"/>
                      <w:color w:val="auto"/>
                      <w:spacing w:val="20"/>
                      <w:sz w:val="20"/>
                      <w:szCs w:val="20"/>
                      <w:highlight w:val="none"/>
                    </w:rPr>
                    <w:t>豁免活度值以上～</w:t>
                  </w:r>
                  <w:r>
                    <w:rPr>
                      <w:rFonts w:hint="default" w:ascii="Times New Roman" w:hAnsi="Times New Roman" w:eastAsia="Times New Roman" w:cs="Times New Roman"/>
                      <w:color w:val="auto"/>
                      <w:spacing w:val="20"/>
                      <w:sz w:val="20"/>
                      <w:szCs w:val="20"/>
                      <w:highlight w:val="none"/>
                    </w:rPr>
                    <w:t>2×l0</w:t>
                  </w:r>
                  <w:r>
                    <w:rPr>
                      <w:rFonts w:hint="default" w:ascii="Times New Roman" w:hAnsi="Times New Roman" w:eastAsia="Times New Roman" w:cs="Times New Roman"/>
                      <w:color w:val="auto"/>
                      <w:spacing w:val="20"/>
                      <w:position w:val="6"/>
                      <w:sz w:val="13"/>
                      <w:szCs w:val="13"/>
                      <w:highlight w:val="none"/>
                    </w:rPr>
                    <w:t>7</w:t>
                  </w:r>
                </w:p>
              </w:tc>
            </w:tr>
          </w:tbl>
          <w:p w14:paraId="41E3CD21">
            <w:pPr>
              <w:keepNext w:val="0"/>
              <w:keepLines w:val="0"/>
              <w:suppressLineNumbers w:val="0"/>
              <w:shd w:val="clear"/>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p>
          <w:p w14:paraId="312A87C8">
            <w:pPr>
              <w:keepNext w:val="0"/>
              <w:keepLines w:val="0"/>
              <w:suppressLineNumbers w:val="0"/>
              <w:shd w:val="clear"/>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根据 （GB18871-2002）中非密封源工作场所的分级原则及《关于明确核技术利用辐射安全监管有关事项的通知》（环办辐射函[2016]430 号），放射性核素的</w:t>
            </w:r>
            <w:r>
              <w:rPr>
                <w:rFonts w:hint="eastAsia" w:cs="Times New Roman"/>
                <w:color w:val="auto"/>
                <w:highlight w:val="none"/>
                <w:lang w:val="en-US" w:eastAsia="zh-CN"/>
              </w:rPr>
              <w:t>日等效最大操作量</w:t>
            </w:r>
            <w:r>
              <w:rPr>
                <w:rFonts w:hint="default" w:ascii="Times New Roman" w:hAnsi="Times New Roman" w:eastAsia="宋体" w:cs="Times New Roman"/>
                <w:color w:val="auto"/>
                <w:highlight w:val="none"/>
                <w:lang w:val="en-US" w:eastAsia="zh-CN"/>
              </w:rPr>
              <w:t>计算公式见公式10-</w:t>
            </w:r>
            <w:r>
              <w:rPr>
                <w:rFonts w:hint="default"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lang w:val="en-US" w:eastAsia="zh-CN"/>
              </w:rPr>
              <w:t>。修正因子见表10-</w:t>
            </w:r>
            <w:r>
              <w:rPr>
                <w:rFonts w:hint="default"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lang w:val="en-US" w:eastAsia="zh-CN"/>
              </w:rPr>
              <w:t>、10-</w:t>
            </w:r>
            <w:r>
              <w:rPr>
                <w:rFonts w:hint="default" w:ascii="Times New Roman" w:hAnsi="Times New Roman" w:cs="Times New Roman"/>
                <w:color w:val="auto"/>
                <w:highlight w:val="none"/>
                <w:lang w:val="en-US" w:eastAsia="zh-CN"/>
              </w:rPr>
              <w:t>2</w:t>
            </w:r>
            <w:r>
              <w:rPr>
                <w:rFonts w:hint="default" w:ascii="Times New Roman" w:hAnsi="Times New Roman" w:eastAsia="宋体" w:cs="Times New Roman"/>
                <w:color w:val="auto"/>
                <w:highlight w:val="none"/>
                <w:lang w:val="en-US" w:eastAsia="zh-CN"/>
              </w:rPr>
              <w:t>，计算见表10-3</w:t>
            </w:r>
            <w:r>
              <w:rPr>
                <w:rFonts w:hint="default" w:ascii="Times New Roman" w:hAnsi="Times New Roman" w:cs="Times New Roman"/>
                <w:color w:val="auto"/>
                <w:highlight w:val="none"/>
                <w:lang w:val="en-US" w:eastAsia="zh-CN"/>
              </w:rPr>
              <w:t>~表10-9</w:t>
            </w:r>
            <w:r>
              <w:rPr>
                <w:rFonts w:hint="default" w:ascii="Times New Roman" w:hAnsi="Times New Roman" w:eastAsia="宋体" w:cs="Times New Roman"/>
                <w:color w:val="auto"/>
                <w:highlight w:val="none"/>
                <w:lang w:val="en-US" w:eastAsia="zh-CN"/>
              </w:rPr>
              <w:t>。</w:t>
            </w:r>
          </w:p>
          <w:p w14:paraId="3E2CCE87">
            <w:pPr>
              <w:pStyle w:val="10"/>
              <w:keepNext w:val="0"/>
              <w:keepLines w:val="0"/>
              <w:suppressLineNumbers w:val="0"/>
              <w:shd w:val="clear"/>
              <w:tabs>
                <w:tab w:val="left" w:pos="940"/>
              </w:tabs>
              <w:spacing w:before="182" w:beforeAutospacing="0" w:after="0" w:afterAutospacing="0"/>
              <w:ind w:left="220" w:right="0" w:firstLine="0"/>
              <w:jc w:val="both"/>
              <w:outlineLvl w:val="4"/>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position w:val="-26"/>
                <w:sz w:val="24"/>
                <w:szCs w:val="24"/>
                <w:highlight w:val="none"/>
                <w:lang w:eastAsia="zh-CN"/>
              </w:rPr>
              <w:object>
                <v:shape id="_x0000_i1032" o:spt="75" type="#_x0000_t75" style="height:31.4pt;width:378.95pt;" o:ole="t" filled="f" o:preferrelative="t" stroked="f" coordsize="21600,21600">
                  <v:path/>
                  <v:fill on="f" focussize="0,0"/>
                  <v:stroke on="f"/>
                  <v:imagedata r:id="rId11" o:title=""/>
                  <o:lock v:ext="edit" aspectratio="t"/>
                  <w10:wrap type="none"/>
                  <w10:anchorlock/>
                </v:shape>
                <o:OLEObject Type="Embed" ProgID="Equation.KSEE3" ShapeID="_x0000_i1032" DrawAspect="Content" ObjectID="_1468075725" r:id="rId10">
                  <o:LockedField>false</o:LockedField>
                </o:OLEObject>
              </w:objec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lang w:val="en-US" w:eastAsia="zh-CN"/>
              </w:rPr>
              <w:t>公式10-1</w:t>
            </w:r>
            <w:r>
              <w:rPr>
                <w:rFonts w:hint="default" w:ascii="Times New Roman" w:hAnsi="Times New Roman" w:eastAsia="宋体" w:cs="Times New Roman"/>
                <w:b w:val="0"/>
                <w:bCs w:val="0"/>
                <w:color w:val="auto"/>
                <w:sz w:val="21"/>
                <w:szCs w:val="21"/>
                <w:highlight w:val="none"/>
                <w:lang w:eastAsia="zh-CN"/>
              </w:rPr>
              <w:t>）</w:t>
            </w:r>
          </w:p>
          <w:p w14:paraId="7D68D826">
            <w:pPr>
              <w:keepNext w:val="0"/>
              <w:keepLines w:val="0"/>
              <w:suppressLineNumbers w:val="0"/>
              <w:shd w:val="clear"/>
              <w:spacing w:before="0" w:beforeAutospacing="0" w:after="0" w:afterAutospacing="0" w:line="360" w:lineRule="auto"/>
              <w:ind w:left="2347" w:right="0"/>
              <w:jc w:val="both"/>
              <w:rPr>
                <w:rFonts w:hint="default" w:ascii="Times New Roman" w:hAnsi="Times New Roman" w:eastAsia="宋体" w:cs="Times New Roman"/>
                <w:b/>
                <w:bCs/>
                <w:color w:val="auto"/>
                <w:sz w:val="24"/>
                <w:szCs w:val="28"/>
                <w:highlight w:val="none"/>
              </w:rPr>
            </w:pPr>
            <w:r>
              <w:rPr>
                <w:rFonts w:hint="default" w:ascii="Times New Roman" w:hAnsi="Times New Roman" w:eastAsia="宋体" w:cs="Times New Roman"/>
                <w:b/>
                <w:bCs/>
                <w:color w:val="auto"/>
                <w:sz w:val="24"/>
                <w:szCs w:val="28"/>
                <w:highlight w:val="none"/>
              </w:rPr>
              <w:t xml:space="preserve">表10-1 </w:t>
            </w:r>
            <w:r>
              <w:rPr>
                <w:rFonts w:hint="default" w:ascii="Times New Roman" w:hAnsi="Times New Roman" w:eastAsia="宋体" w:cs="Times New Roman"/>
                <w:b/>
                <w:bCs/>
                <w:color w:val="auto"/>
                <w:sz w:val="24"/>
                <w:szCs w:val="28"/>
                <w:highlight w:val="none"/>
                <w:lang w:val="en-US" w:eastAsia="zh-CN"/>
              </w:rPr>
              <w:t xml:space="preserve"> 放射性核素毒性组别修正因子</w:t>
            </w:r>
          </w:p>
          <w:tbl>
            <w:tblPr>
              <w:tblStyle w:val="22"/>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823"/>
              <w:gridCol w:w="5756"/>
            </w:tblGrid>
            <w:tr w14:paraId="108845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2" w:hRule="exact"/>
                <w:jc w:val="center"/>
              </w:trPr>
              <w:tc>
                <w:tcPr>
                  <w:tcW w:w="2823" w:type="dxa"/>
                  <w:tcBorders>
                    <w:tl2br w:val="nil"/>
                    <w:tr2bl w:val="nil"/>
                  </w:tcBorders>
                  <w:vAlign w:val="center"/>
                </w:tcPr>
                <w:p w14:paraId="644DCC5C">
                  <w:pPr>
                    <w:pStyle w:val="32"/>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毒性组别</w:t>
                  </w:r>
                </w:p>
              </w:tc>
              <w:tc>
                <w:tcPr>
                  <w:tcW w:w="5756" w:type="dxa"/>
                  <w:tcBorders>
                    <w:tl2br w:val="nil"/>
                    <w:tr2bl w:val="nil"/>
                  </w:tcBorders>
                  <w:vAlign w:val="center"/>
                </w:tcPr>
                <w:p w14:paraId="17039B19">
                  <w:pPr>
                    <w:pStyle w:val="32"/>
                    <w:keepNext w:val="0"/>
                    <w:keepLines w:val="0"/>
                    <w:suppressLineNumbers w:val="0"/>
                    <w:shd w:val="clear"/>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毒性组别修正因子</w:t>
                  </w:r>
                </w:p>
              </w:tc>
            </w:tr>
            <w:tr w14:paraId="5F0DE8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2" w:hRule="exact"/>
                <w:jc w:val="center"/>
              </w:trPr>
              <w:tc>
                <w:tcPr>
                  <w:tcW w:w="2823" w:type="dxa"/>
                  <w:tcBorders>
                    <w:tl2br w:val="nil"/>
                    <w:tr2bl w:val="nil"/>
                  </w:tcBorders>
                  <w:vAlign w:val="center"/>
                </w:tcPr>
                <w:p w14:paraId="4D8F4550">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极毒</w:t>
                  </w:r>
                </w:p>
              </w:tc>
              <w:tc>
                <w:tcPr>
                  <w:tcW w:w="5756" w:type="dxa"/>
                  <w:tcBorders>
                    <w:tl2br w:val="nil"/>
                    <w:tr2bl w:val="nil"/>
                  </w:tcBorders>
                  <w:vAlign w:val="center"/>
                </w:tcPr>
                <w:p w14:paraId="4523C192">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r>
            <w:tr w14:paraId="67749B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2" w:hRule="exact"/>
                <w:jc w:val="center"/>
              </w:trPr>
              <w:tc>
                <w:tcPr>
                  <w:tcW w:w="2823" w:type="dxa"/>
                  <w:tcBorders>
                    <w:tl2br w:val="nil"/>
                    <w:tr2bl w:val="nil"/>
                  </w:tcBorders>
                  <w:vAlign w:val="center"/>
                </w:tcPr>
                <w:p w14:paraId="59EA7780">
                  <w:pPr>
                    <w:pStyle w:val="32"/>
                    <w:keepNext w:val="0"/>
                    <w:keepLines w:val="0"/>
                    <w:suppressLineNumbers w:val="0"/>
                    <w:shd w:val="clear"/>
                    <w:spacing w:before="0" w:beforeAutospacing="0" w:after="0" w:afterAutospacing="0" w:line="240" w:lineRule="auto"/>
                    <w:ind w:left="8"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高毒</w:t>
                  </w:r>
                </w:p>
              </w:tc>
              <w:tc>
                <w:tcPr>
                  <w:tcW w:w="5756" w:type="dxa"/>
                  <w:tcBorders>
                    <w:tl2br w:val="nil"/>
                    <w:tr2bl w:val="nil"/>
                  </w:tcBorders>
                  <w:vAlign w:val="center"/>
                </w:tcPr>
                <w:p w14:paraId="7DB54482">
                  <w:pPr>
                    <w:pStyle w:val="32"/>
                    <w:keepNext w:val="0"/>
                    <w:keepLines w:val="0"/>
                    <w:suppressLineNumbers w:val="0"/>
                    <w:shd w:val="clear"/>
                    <w:spacing w:before="0" w:beforeAutospacing="0" w:after="0" w:afterAutospacing="0" w:line="240" w:lineRule="auto"/>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430514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2" w:hRule="exact"/>
                <w:jc w:val="center"/>
              </w:trPr>
              <w:tc>
                <w:tcPr>
                  <w:tcW w:w="2823" w:type="dxa"/>
                  <w:tcBorders>
                    <w:tl2br w:val="nil"/>
                    <w:tr2bl w:val="nil"/>
                  </w:tcBorders>
                  <w:vAlign w:val="center"/>
                </w:tcPr>
                <w:p w14:paraId="24D613F5">
                  <w:pPr>
                    <w:pStyle w:val="32"/>
                    <w:keepNext w:val="0"/>
                    <w:keepLines w:val="0"/>
                    <w:suppressLineNumbers w:val="0"/>
                    <w:shd w:val="clear"/>
                    <w:spacing w:before="0" w:beforeAutospacing="0" w:after="0" w:afterAutospacing="0" w:line="240" w:lineRule="auto"/>
                    <w:ind w:left="8"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中毒</w:t>
                  </w:r>
                </w:p>
              </w:tc>
              <w:tc>
                <w:tcPr>
                  <w:tcW w:w="5756" w:type="dxa"/>
                  <w:tcBorders>
                    <w:tl2br w:val="nil"/>
                    <w:tr2bl w:val="nil"/>
                  </w:tcBorders>
                  <w:vAlign w:val="center"/>
                </w:tcPr>
                <w:p w14:paraId="7423CCAA">
                  <w:pPr>
                    <w:pStyle w:val="32"/>
                    <w:keepNext w:val="0"/>
                    <w:keepLines w:val="0"/>
                    <w:suppressLineNumbers w:val="0"/>
                    <w:shd w:val="clear"/>
                    <w:spacing w:before="0" w:beforeAutospacing="0" w:after="0" w:afterAutospacing="0" w:line="240" w:lineRule="auto"/>
                    <w:ind w:left="8" w:right="0"/>
                    <w:jc w:val="center"/>
                    <w:rPr>
                      <w:rFonts w:hint="default" w:ascii="Times New Roman" w:hAnsi="Times New Roman" w:eastAsia="宋体" w:cs="Times New Roman"/>
                      <w:color w:val="auto"/>
                      <w:sz w:val="22"/>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0.1</w:t>
                  </w:r>
                </w:p>
              </w:tc>
            </w:tr>
            <w:tr w14:paraId="35C2C5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5" w:hRule="exact"/>
                <w:jc w:val="center"/>
              </w:trPr>
              <w:tc>
                <w:tcPr>
                  <w:tcW w:w="2823" w:type="dxa"/>
                  <w:tcBorders>
                    <w:tl2br w:val="nil"/>
                    <w:tr2bl w:val="nil"/>
                  </w:tcBorders>
                  <w:vAlign w:val="center"/>
                </w:tcPr>
                <w:p w14:paraId="1D11CF86">
                  <w:pPr>
                    <w:pStyle w:val="32"/>
                    <w:keepNext w:val="0"/>
                    <w:keepLines w:val="0"/>
                    <w:suppressLineNumbers w:val="0"/>
                    <w:shd w:val="clear"/>
                    <w:spacing w:before="1" w:beforeAutospacing="0" w:after="0" w:afterAutospacing="0" w:line="240" w:lineRule="auto"/>
                    <w:ind w:left="405" w:right="399"/>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低毒</w:t>
                  </w:r>
                </w:p>
              </w:tc>
              <w:tc>
                <w:tcPr>
                  <w:tcW w:w="5756" w:type="dxa"/>
                  <w:tcBorders>
                    <w:tl2br w:val="nil"/>
                    <w:tr2bl w:val="nil"/>
                  </w:tcBorders>
                  <w:vAlign w:val="center"/>
                </w:tcPr>
                <w:p w14:paraId="26F3A556">
                  <w:pPr>
                    <w:pStyle w:val="32"/>
                    <w:keepNext w:val="0"/>
                    <w:keepLines w:val="0"/>
                    <w:suppressLineNumbers w:val="0"/>
                    <w:shd w:val="clear"/>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w:t>
                  </w:r>
                </w:p>
              </w:tc>
            </w:tr>
          </w:tbl>
          <w:p w14:paraId="2E73E153">
            <w:pPr>
              <w:pStyle w:val="10"/>
              <w:keepNext w:val="0"/>
              <w:keepLines w:val="0"/>
              <w:suppressLineNumbers w:val="0"/>
              <w:shd w:val="clear"/>
              <w:tabs>
                <w:tab w:val="left" w:pos="940"/>
              </w:tabs>
              <w:spacing w:before="0" w:beforeLines="50" w:beforeAutospacing="0" w:after="0" w:afterAutospacing="0"/>
              <w:ind w:left="0" w:right="0" w:firstLine="241" w:firstLineChars="100"/>
              <w:jc w:val="center"/>
              <w:outlineLvl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表10-2  操作方式与放射源状态修正因子</w:t>
            </w:r>
          </w:p>
          <w:tbl>
            <w:tblPr>
              <w:tblStyle w:val="22"/>
              <w:tblW w:w="851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841"/>
              <w:gridCol w:w="1668"/>
              <w:gridCol w:w="1668"/>
              <w:gridCol w:w="1668"/>
              <w:gridCol w:w="1674"/>
            </w:tblGrid>
            <w:tr w14:paraId="32C820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31" w:hRule="atLeast"/>
                <w:jc w:val="center"/>
              </w:trPr>
              <w:tc>
                <w:tcPr>
                  <w:tcW w:w="1841" w:type="dxa"/>
                  <w:vMerge w:val="restart"/>
                  <w:tcBorders>
                    <w:tl2br w:val="nil"/>
                    <w:tr2bl w:val="nil"/>
                  </w:tcBorders>
                  <w:vAlign w:val="center"/>
                </w:tcPr>
                <w:p w14:paraId="22AB37C0">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操作方式</w:t>
                  </w:r>
                </w:p>
              </w:tc>
              <w:tc>
                <w:tcPr>
                  <w:tcW w:w="6678" w:type="dxa"/>
                  <w:gridSpan w:val="4"/>
                  <w:tcBorders>
                    <w:tl2br w:val="nil"/>
                    <w:tr2bl w:val="nil"/>
                  </w:tcBorders>
                  <w:vAlign w:val="center"/>
                </w:tcPr>
                <w:p w14:paraId="31273747">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放射源状态</w:t>
                  </w:r>
                </w:p>
              </w:tc>
            </w:tr>
            <w:tr w14:paraId="4B5D5C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35" w:hRule="atLeast"/>
                <w:jc w:val="center"/>
              </w:trPr>
              <w:tc>
                <w:tcPr>
                  <w:tcW w:w="1841" w:type="dxa"/>
                  <w:vMerge w:val="continue"/>
                  <w:tcBorders>
                    <w:tl2br w:val="nil"/>
                    <w:tr2bl w:val="nil"/>
                  </w:tcBorders>
                  <w:vAlign w:val="center"/>
                </w:tcPr>
                <w:p w14:paraId="2FDE0008">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p>
              </w:tc>
              <w:tc>
                <w:tcPr>
                  <w:tcW w:w="1668" w:type="dxa"/>
                  <w:tcBorders>
                    <w:tl2br w:val="nil"/>
                    <w:tr2bl w:val="nil"/>
                  </w:tcBorders>
                  <w:vAlign w:val="center"/>
                </w:tcPr>
                <w:p w14:paraId="193A5612">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表面污染水平较低的固体</w:t>
                  </w:r>
                </w:p>
              </w:tc>
              <w:tc>
                <w:tcPr>
                  <w:tcW w:w="1668" w:type="dxa"/>
                  <w:tcBorders>
                    <w:tl2br w:val="nil"/>
                    <w:tr2bl w:val="nil"/>
                  </w:tcBorders>
                  <w:vAlign w:val="center"/>
                </w:tcPr>
                <w:p w14:paraId="5C16E6AC">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液体、溶液、悬浮液</w:t>
                  </w:r>
                </w:p>
              </w:tc>
              <w:tc>
                <w:tcPr>
                  <w:tcW w:w="1668" w:type="dxa"/>
                  <w:tcBorders>
                    <w:tl2br w:val="nil"/>
                    <w:tr2bl w:val="nil"/>
                  </w:tcBorders>
                  <w:vAlign w:val="center"/>
                </w:tcPr>
                <w:p w14:paraId="3C2C483E">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表面有污染的固体</w:t>
                  </w:r>
                </w:p>
              </w:tc>
              <w:tc>
                <w:tcPr>
                  <w:tcW w:w="1674" w:type="dxa"/>
                  <w:tcBorders>
                    <w:tl2br w:val="nil"/>
                    <w:tr2bl w:val="nil"/>
                  </w:tcBorders>
                  <w:vAlign w:val="center"/>
                </w:tcPr>
                <w:p w14:paraId="61DD5ED2">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表面有污染的固体气体、蒸汽、粉末、压力很高的液体、固体</w:t>
                  </w:r>
                </w:p>
              </w:tc>
            </w:tr>
            <w:tr w14:paraId="3FE8C8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4" w:hRule="exact"/>
                <w:jc w:val="center"/>
              </w:trPr>
              <w:tc>
                <w:tcPr>
                  <w:tcW w:w="1841" w:type="dxa"/>
                  <w:tcBorders>
                    <w:tl2br w:val="nil"/>
                    <w:tr2bl w:val="nil"/>
                  </w:tcBorders>
                  <w:vAlign w:val="center"/>
                </w:tcPr>
                <w:p w14:paraId="28CE6F72">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源的贮存</w:t>
                  </w:r>
                </w:p>
              </w:tc>
              <w:tc>
                <w:tcPr>
                  <w:tcW w:w="1668" w:type="dxa"/>
                  <w:tcBorders>
                    <w:tl2br w:val="nil"/>
                    <w:tr2bl w:val="nil"/>
                  </w:tcBorders>
                  <w:vAlign w:val="center"/>
                </w:tcPr>
                <w:p w14:paraId="6AE4A27E">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1000</w:t>
                  </w:r>
                </w:p>
              </w:tc>
              <w:tc>
                <w:tcPr>
                  <w:tcW w:w="1668" w:type="dxa"/>
                  <w:tcBorders>
                    <w:tl2br w:val="nil"/>
                    <w:tr2bl w:val="nil"/>
                  </w:tcBorders>
                  <w:vAlign w:val="center"/>
                </w:tcPr>
                <w:p w14:paraId="4AE4CA93">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w:t>
                  </w:r>
                </w:p>
              </w:tc>
              <w:tc>
                <w:tcPr>
                  <w:tcW w:w="1668" w:type="dxa"/>
                  <w:tcBorders>
                    <w:tl2br w:val="nil"/>
                    <w:tr2bl w:val="nil"/>
                  </w:tcBorders>
                  <w:vAlign w:val="center"/>
                </w:tcPr>
                <w:p w14:paraId="362D3377">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74" w:type="dxa"/>
                  <w:tcBorders>
                    <w:tl2br w:val="nil"/>
                    <w:tr2bl w:val="nil"/>
                  </w:tcBorders>
                  <w:vAlign w:val="center"/>
                </w:tcPr>
                <w:p w14:paraId="6ED54FFE">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r>
            <w:tr w14:paraId="370CD4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4" w:hRule="exact"/>
                <w:jc w:val="center"/>
              </w:trPr>
              <w:tc>
                <w:tcPr>
                  <w:tcW w:w="1841" w:type="dxa"/>
                  <w:tcBorders>
                    <w:tl2br w:val="nil"/>
                    <w:tr2bl w:val="nil"/>
                  </w:tcBorders>
                  <w:vAlign w:val="center"/>
                </w:tcPr>
                <w:p w14:paraId="45E624C8">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很简单的操作</w:t>
                  </w:r>
                </w:p>
              </w:tc>
              <w:tc>
                <w:tcPr>
                  <w:tcW w:w="1668" w:type="dxa"/>
                  <w:tcBorders>
                    <w:tl2br w:val="nil"/>
                    <w:tr2bl w:val="nil"/>
                  </w:tcBorders>
                  <w:vAlign w:val="center"/>
                </w:tcPr>
                <w:p w14:paraId="021F564C">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100</w:t>
                  </w:r>
                </w:p>
              </w:tc>
              <w:tc>
                <w:tcPr>
                  <w:tcW w:w="1668" w:type="dxa"/>
                  <w:tcBorders>
                    <w:tl2br w:val="nil"/>
                    <w:tr2bl w:val="nil"/>
                  </w:tcBorders>
                  <w:vAlign w:val="center"/>
                </w:tcPr>
                <w:p w14:paraId="24DF4FA9">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68" w:type="dxa"/>
                  <w:tcBorders>
                    <w:tl2br w:val="nil"/>
                    <w:tr2bl w:val="nil"/>
                  </w:tcBorders>
                  <w:vAlign w:val="center"/>
                </w:tcPr>
                <w:p w14:paraId="770002D7">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674" w:type="dxa"/>
                  <w:tcBorders>
                    <w:tl2br w:val="nil"/>
                    <w:tr2bl w:val="nil"/>
                  </w:tcBorders>
                  <w:vAlign w:val="center"/>
                </w:tcPr>
                <w:p w14:paraId="0B6B96A8">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w:t>
                  </w:r>
                </w:p>
              </w:tc>
            </w:tr>
            <w:tr w14:paraId="21D540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4" w:hRule="exact"/>
                <w:jc w:val="center"/>
              </w:trPr>
              <w:tc>
                <w:tcPr>
                  <w:tcW w:w="1841" w:type="dxa"/>
                  <w:tcBorders>
                    <w:tl2br w:val="nil"/>
                    <w:tr2bl w:val="nil"/>
                  </w:tcBorders>
                  <w:vAlign w:val="center"/>
                </w:tcPr>
                <w:p w14:paraId="11FE6455">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简单操作</w:t>
                  </w:r>
                </w:p>
              </w:tc>
              <w:tc>
                <w:tcPr>
                  <w:tcW w:w="1668" w:type="dxa"/>
                  <w:tcBorders>
                    <w:tl2br w:val="nil"/>
                    <w:tr2bl w:val="nil"/>
                  </w:tcBorders>
                  <w:vAlign w:val="center"/>
                </w:tcPr>
                <w:p w14:paraId="21BD0328">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10</w:t>
                  </w:r>
                </w:p>
              </w:tc>
              <w:tc>
                <w:tcPr>
                  <w:tcW w:w="1668" w:type="dxa"/>
                  <w:tcBorders>
                    <w:tl2br w:val="nil"/>
                    <w:tr2bl w:val="nil"/>
                  </w:tcBorders>
                  <w:vAlign w:val="center"/>
                </w:tcPr>
                <w:p w14:paraId="6A6F2FAD">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668" w:type="dxa"/>
                  <w:tcBorders>
                    <w:tl2br w:val="nil"/>
                    <w:tr2bl w:val="nil"/>
                  </w:tcBorders>
                  <w:vAlign w:val="center"/>
                </w:tcPr>
                <w:p w14:paraId="1AC9962E">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w:t>
                  </w:r>
                </w:p>
              </w:tc>
              <w:tc>
                <w:tcPr>
                  <w:tcW w:w="1674" w:type="dxa"/>
                  <w:tcBorders>
                    <w:tl2br w:val="nil"/>
                    <w:tr2bl w:val="nil"/>
                  </w:tcBorders>
                  <w:vAlign w:val="center"/>
                </w:tcPr>
                <w:p w14:paraId="36952FAA">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w:t>
                  </w:r>
                </w:p>
              </w:tc>
            </w:tr>
            <w:tr w14:paraId="3E1DFB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exact"/>
                <w:jc w:val="center"/>
              </w:trPr>
              <w:tc>
                <w:tcPr>
                  <w:tcW w:w="1841" w:type="dxa"/>
                  <w:tcBorders>
                    <w:tl2br w:val="nil"/>
                    <w:tr2bl w:val="nil"/>
                  </w:tcBorders>
                  <w:vAlign w:val="center"/>
                </w:tcPr>
                <w:p w14:paraId="60FAEAC3">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特别危险的操作</w:t>
                  </w:r>
                </w:p>
              </w:tc>
              <w:tc>
                <w:tcPr>
                  <w:tcW w:w="1668" w:type="dxa"/>
                  <w:tcBorders>
                    <w:tl2br w:val="nil"/>
                    <w:tr2bl w:val="nil"/>
                  </w:tcBorders>
                  <w:vAlign w:val="center"/>
                </w:tcPr>
                <w:p w14:paraId="25F59EB6">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1668" w:type="dxa"/>
                  <w:tcBorders>
                    <w:tl2br w:val="nil"/>
                    <w:tr2bl w:val="nil"/>
                  </w:tcBorders>
                  <w:vAlign w:val="center"/>
                </w:tcPr>
                <w:p w14:paraId="432554B2">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0.1</w:t>
                  </w:r>
                </w:p>
              </w:tc>
              <w:tc>
                <w:tcPr>
                  <w:tcW w:w="1668" w:type="dxa"/>
                  <w:tcBorders>
                    <w:tl2br w:val="nil"/>
                    <w:tr2bl w:val="nil"/>
                  </w:tcBorders>
                  <w:vAlign w:val="center"/>
                </w:tcPr>
                <w:p w14:paraId="5525024D">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w:t>
                  </w:r>
                </w:p>
              </w:tc>
              <w:tc>
                <w:tcPr>
                  <w:tcW w:w="1674" w:type="dxa"/>
                  <w:tcBorders>
                    <w:tl2br w:val="nil"/>
                    <w:tr2bl w:val="nil"/>
                  </w:tcBorders>
                  <w:vAlign w:val="center"/>
                </w:tcPr>
                <w:p w14:paraId="51E16741">
                  <w:pPr>
                    <w:pStyle w:val="32"/>
                    <w:keepNext w:val="0"/>
                    <w:keepLines w:val="0"/>
                    <w:suppressLineNumbers w:val="0"/>
                    <w:shd w:val="clear"/>
                    <w:spacing w:before="20" w:beforeAutospacing="0" w:after="0" w:afterAutospacing="0"/>
                    <w:ind w:left="8"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0.001</w:t>
                  </w:r>
                </w:p>
              </w:tc>
            </w:tr>
          </w:tbl>
          <w:p w14:paraId="459F920E">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p>
          <w:p w14:paraId="1B2B97A2">
            <w:pPr>
              <w:keepNext w:val="0"/>
              <w:keepLines w:val="0"/>
              <w:suppressLineNumbers w:val="0"/>
              <w:bidi w:val="0"/>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bidi="ar-SA"/>
              </w:rPr>
              <w:t>表10-</w:t>
            </w:r>
            <w:r>
              <w:rPr>
                <w:rFonts w:hint="eastAsia" w:ascii="Times New Roman" w:hAnsi="Times New Roman" w:eastAsia="宋体" w:cs="Times New Roman"/>
                <w:b/>
                <w:bCs/>
                <w:color w:val="auto"/>
                <w:sz w:val="24"/>
                <w:szCs w:val="24"/>
                <w:highlight w:val="none"/>
                <w:lang w:val="en-US" w:eastAsia="zh-CN" w:bidi="ar-SA"/>
              </w:rPr>
              <w:t>3</w:t>
            </w:r>
            <w:r>
              <w:rPr>
                <w:rFonts w:hint="default" w:ascii="Times New Roman" w:hAnsi="Times New Roman" w:eastAsia="宋体" w:cs="Times New Roman"/>
                <w:b/>
                <w:bCs/>
                <w:color w:val="auto"/>
                <w:sz w:val="24"/>
                <w:szCs w:val="24"/>
                <w:highlight w:val="none"/>
                <w:lang w:val="en-US" w:eastAsia="zh-CN" w:bidi="ar-SA"/>
              </w:rPr>
              <w:t xml:space="preserve">  </w:t>
            </w:r>
            <w:r>
              <w:rPr>
                <w:rFonts w:hint="eastAsia" w:ascii="Times New Roman" w:hAnsi="Times New Roman" w:eastAsia="宋体" w:cs="Times New Roman"/>
                <w:b/>
                <w:bCs/>
                <w:color w:val="auto"/>
                <w:sz w:val="24"/>
                <w:szCs w:val="24"/>
                <w:highlight w:val="none"/>
                <w:lang w:val="en-US" w:eastAsia="zh-CN" w:bidi="ar-SA"/>
              </w:rPr>
              <w:t>各</w:t>
            </w:r>
            <w:r>
              <w:rPr>
                <w:rFonts w:hint="eastAsia" w:cs="Times New Roman"/>
                <w:b/>
                <w:bCs/>
                <w:color w:val="auto"/>
                <w:sz w:val="24"/>
                <w:szCs w:val="24"/>
                <w:highlight w:val="none"/>
                <w:lang w:val="en-US" w:eastAsia="zh-CN" w:bidi="ar-SA"/>
              </w:rPr>
              <w:t>诊断、治疗</w:t>
            </w:r>
            <w:r>
              <w:rPr>
                <w:rFonts w:hint="eastAsia" w:ascii="Times New Roman" w:hAnsi="Times New Roman" w:eastAsia="宋体" w:cs="Times New Roman"/>
                <w:b/>
                <w:bCs/>
                <w:color w:val="auto"/>
                <w:sz w:val="24"/>
                <w:szCs w:val="24"/>
                <w:highlight w:val="none"/>
                <w:lang w:val="en-US" w:eastAsia="zh-CN" w:bidi="ar-SA"/>
              </w:rPr>
              <w:t>场所核素使用情况</w:t>
            </w:r>
          </w:p>
          <w:tbl>
            <w:tblPr>
              <w:tblStyle w:val="30"/>
              <w:tblW w:w="906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75"/>
              <w:gridCol w:w="1314"/>
              <w:gridCol w:w="2173"/>
              <w:gridCol w:w="1096"/>
              <w:gridCol w:w="1078"/>
              <w:gridCol w:w="1263"/>
              <w:gridCol w:w="1169"/>
            </w:tblGrid>
            <w:tr w14:paraId="559AD4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975" w:type="dxa"/>
                  <w:tcBorders>
                    <w:tl2br w:val="nil"/>
                    <w:tr2bl w:val="nil"/>
                  </w:tcBorders>
                  <w:vAlign w:val="center"/>
                </w:tcPr>
                <w:p w14:paraId="4BB0094C">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工作场所</w:t>
                  </w:r>
                </w:p>
              </w:tc>
              <w:tc>
                <w:tcPr>
                  <w:tcW w:w="1314" w:type="dxa"/>
                  <w:tcBorders>
                    <w:tl2br w:val="nil"/>
                    <w:tr2bl w:val="nil"/>
                  </w:tcBorders>
                  <w:vAlign w:val="center"/>
                </w:tcPr>
                <w:p w14:paraId="19F10F84">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核素</w:t>
                  </w:r>
                </w:p>
              </w:tc>
              <w:tc>
                <w:tcPr>
                  <w:tcW w:w="2173" w:type="dxa"/>
                  <w:tcBorders>
                    <w:tl2br w:val="nil"/>
                    <w:tr2bl w:val="nil"/>
                  </w:tcBorders>
                  <w:vAlign w:val="center"/>
                </w:tcPr>
                <w:p w14:paraId="1A8FCD18">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单人最大用药量</w:t>
                  </w:r>
                </w:p>
                <w:p w14:paraId="270A6B89">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（Bq/人·次）</w:t>
                  </w:r>
                </w:p>
              </w:tc>
              <w:tc>
                <w:tcPr>
                  <w:tcW w:w="1096" w:type="dxa"/>
                  <w:tcBorders>
                    <w:tl2br w:val="nil"/>
                    <w:tr2bl w:val="nil"/>
                  </w:tcBorders>
                  <w:vAlign w:val="center"/>
                </w:tcPr>
                <w:p w14:paraId="3741E7C3">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日最大门诊量（人次）</w:t>
                  </w:r>
                </w:p>
              </w:tc>
              <w:tc>
                <w:tcPr>
                  <w:tcW w:w="1078" w:type="dxa"/>
                  <w:tcBorders>
                    <w:tl2br w:val="nil"/>
                    <w:tr2bl w:val="nil"/>
                  </w:tcBorders>
                  <w:vAlign w:val="center"/>
                </w:tcPr>
                <w:p w14:paraId="1A8D12A2">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年工作时间（天）</w:t>
                  </w:r>
                </w:p>
              </w:tc>
              <w:tc>
                <w:tcPr>
                  <w:tcW w:w="1263" w:type="dxa"/>
                  <w:tcBorders>
                    <w:tl2br w:val="nil"/>
                    <w:tr2bl w:val="nil"/>
                  </w:tcBorders>
                  <w:vAlign w:val="center"/>
                </w:tcPr>
                <w:p w14:paraId="5DECED44">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日最大操作量</w:t>
                  </w:r>
                </w:p>
                <w:p w14:paraId="38B0AD17">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（Bq）</w:t>
                  </w:r>
                </w:p>
              </w:tc>
              <w:tc>
                <w:tcPr>
                  <w:tcW w:w="1169" w:type="dxa"/>
                  <w:tcBorders>
                    <w:tl2br w:val="nil"/>
                    <w:tr2bl w:val="nil"/>
                  </w:tcBorders>
                  <w:vAlign w:val="center"/>
                </w:tcPr>
                <w:p w14:paraId="66C7E923">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年最大使用量（Bq）</w:t>
                  </w:r>
                </w:p>
              </w:tc>
            </w:tr>
            <w:tr w14:paraId="5457C6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975" w:type="dxa"/>
                  <w:vMerge w:val="restart"/>
                  <w:tcBorders>
                    <w:tl2br w:val="nil"/>
                    <w:tr2bl w:val="nil"/>
                  </w:tcBorders>
                  <w:vAlign w:val="center"/>
                </w:tcPr>
                <w:p w14:paraId="4C3B2F22">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PET诊断区</w:t>
                  </w:r>
                </w:p>
              </w:tc>
              <w:tc>
                <w:tcPr>
                  <w:tcW w:w="1314" w:type="dxa"/>
                  <w:tcBorders>
                    <w:tl2br w:val="nil"/>
                    <w:tr2bl w:val="nil"/>
                  </w:tcBorders>
                  <w:shd w:val="clear" w:color="auto" w:fill="auto"/>
                  <w:vAlign w:val="center"/>
                </w:tcPr>
                <w:p w14:paraId="56E11D89">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zh-CN" w:bidi="ar-SA"/>
                    </w:rPr>
                    <w:t>F-18</w:t>
                  </w:r>
                </w:p>
              </w:tc>
              <w:tc>
                <w:tcPr>
                  <w:tcW w:w="2173" w:type="dxa"/>
                  <w:tcBorders>
                    <w:tl2br w:val="nil"/>
                    <w:tr2bl w:val="nil"/>
                  </w:tcBorders>
                  <w:vAlign w:val="center"/>
                </w:tcPr>
                <w:p w14:paraId="20B22831">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7.40E+08（20mCi）</w:t>
                  </w:r>
                </w:p>
              </w:tc>
              <w:tc>
                <w:tcPr>
                  <w:tcW w:w="1096" w:type="dxa"/>
                  <w:tcBorders>
                    <w:tl2br w:val="nil"/>
                    <w:tr2bl w:val="nil"/>
                  </w:tcBorders>
                  <w:shd w:val="clear" w:color="auto" w:fill="auto"/>
                  <w:vAlign w:val="center"/>
                </w:tcPr>
                <w:p w14:paraId="23D8AD6E">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50</w:t>
                  </w:r>
                </w:p>
              </w:tc>
              <w:tc>
                <w:tcPr>
                  <w:tcW w:w="1078" w:type="dxa"/>
                  <w:tcBorders>
                    <w:tl2br w:val="nil"/>
                    <w:tr2bl w:val="nil"/>
                  </w:tcBorders>
                  <w:shd w:val="clear" w:color="auto" w:fill="auto"/>
                  <w:vAlign w:val="center"/>
                </w:tcPr>
                <w:p w14:paraId="59669BB2">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250</w:t>
                  </w:r>
                </w:p>
              </w:tc>
              <w:tc>
                <w:tcPr>
                  <w:tcW w:w="1263" w:type="dxa"/>
                  <w:tcBorders>
                    <w:tl2br w:val="nil"/>
                    <w:tr2bl w:val="nil"/>
                  </w:tcBorders>
                  <w:shd w:val="clear" w:color="auto" w:fill="auto"/>
                  <w:vAlign w:val="center"/>
                </w:tcPr>
                <w:p w14:paraId="2F432467">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3.70E+10</w:t>
                  </w:r>
                </w:p>
              </w:tc>
              <w:tc>
                <w:tcPr>
                  <w:tcW w:w="1169" w:type="dxa"/>
                  <w:tcBorders>
                    <w:tl2br w:val="nil"/>
                    <w:tr2bl w:val="nil"/>
                  </w:tcBorders>
                  <w:shd w:val="clear" w:color="auto" w:fill="auto"/>
                  <w:vAlign w:val="center"/>
                </w:tcPr>
                <w:p w14:paraId="78D291FF">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9.25E+12</w:t>
                  </w:r>
                </w:p>
              </w:tc>
            </w:tr>
            <w:tr w14:paraId="2AEEED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75" w:type="dxa"/>
                  <w:vMerge w:val="continue"/>
                  <w:tcBorders>
                    <w:tl2br w:val="nil"/>
                    <w:tr2bl w:val="nil"/>
                  </w:tcBorders>
                  <w:vAlign w:val="center"/>
                </w:tcPr>
                <w:p w14:paraId="67D251F3">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p>
              </w:tc>
              <w:tc>
                <w:tcPr>
                  <w:tcW w:w="1314" w:type="dxa"/>
                  <w:tcBorders>
                    <w:tl2br w:val="nil"/>
                    <w:tr2bl w:val="nil"/>
                  </w:tcBorders>
                  <w:shd w:val="clear" w:color="auto" w:fill="auto"/>
                  <w:vAlign w:val="center"/>
                </w:tcPr>
                <w:p w14:paraId="32512C3B">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Ga-68</w:t>
                  </w:r>
                </w:p>
              </w:tc>
              <w:tc>
                <w:tcPr>
                  <w:tcW w:w="2173" w:type="dxa"/>
                  <w:tcBorders>
                    <w:tl2br w:val="nil"/>
                    <w:tr2bl w:val="nil"/>
                  </w:tcBorders>
                  <w:vAlign w:val="center"/>
                </w:tcPr>
                <w:p w14:paraId="1BBF3322">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7.40E+08（20mCi）</w:t>
                  </w:r>
                </w:p>
              </w:tc>
              <w:tc>
                <w:tcPr>
                  <w:tcW w:w="1096" w:type="dxa"/>
                  <w:tcBorders>
                    <w:tl2br w:val="nil"/>
                    <w:tr2bl w:val="nil"/>
                  </w:tcBorders>
                  <w:shd w:val="clear" w:color="auto" w:fill="auto"/>
                  <w:vAlign w:val="center"/>
                </w:tcPr>
                <w:p w14:paraId="0483D88A">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25</w:t>
                  </w:r>
                </w:p>
              </w:tc>
              <w:tc>
                <w:tcPr>
                  <w:tcW w:w="1078" w:type="dxa"/>
                  <w:tcBorders>
                    <w:tl2br w:val="nil"/>
                    <w:tr2bl w:val="nil"/>
                  </w:tcBorders>
                  <w:shd w:val="clear" w:color="auto" w:fill="auto"/>
                  <w:vAlign w:val="center"/>
                </w:tcPr>
                <w:p w14:paraId="442B9DBF">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250</w:t>
                  </w:r>
                </w:p>
              </w:tc>
              <w:tc>
                <w:tcPr>
                  <w:tcW w:w="1263" w:type="dxa"/>
                  <w:tcBorders>
                    <w:tl2br w:val="nil"/>
                    <w:tr2bl w:val="nil"/>
                  </w:tcBorders>
                  <w:shd w:val="clear" w:color="auto" w:fill="auto"/>
                  <w:vAlign w:val="center"/>
                </w:tcPr>
                <w:p w14:paraId="045F530B">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1.85E+10</w:t>
                  </w:r>
                </w:p>
              </w:tc>
              <w:tc>
                <w:tcPr>
                  <w:tcW w:w="1169" w:type="dxa"/>
                  <w:tcBorders>
                    <w:tl2br w:val="nil"/>
                    <w:tr2bl w:val="nil"/>
                  </w:tcBorders>
                  <w:shd w:val="clear" w:color="auto" w:fill="auto"/>
                  <w:vAlign w:val="center"/>
                </w:tcPr>
                <w:p w14:paraId="4524BE9A">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4.63E+12</w:t>
                  </w:r>
                </w:p>
              </w:tc>
            </w:tr>
            <w:tr w14:paraId="52AAE8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975" w:type="dxa"/>
                  <w:vMerge w:val="continue"/>
                  <w:tcBorders>
                    <w:tl2br w:val="nil"/>
                    <w:tr2bl w:val="nil"/>
                  </w:tcBorders>
                  <w:vAlign w:val="center"/>
                </w:tcPr>
                <w:p w14:paraId="6AB8078F">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p>
              </w:tc>
              <w:tc>
                <w:tcPr>
                  <w:tcW w:w="1314" w:type="dxa"/>
                  <w:tcBorders>
                    <w:tl2br w:val="nil"/>
                    <w:tr2bl w:val="nil"/>
                  </w:tcBorders>
                  <w:shd w:val="clear" w:color="auto" w:fill="auto"/>
                  <w:vAlign w:val="center"/>
                </w:tcPr>
                <w:p w14:paraId="05578A5F">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C-11</w:t>
                  </w:r>
                </w:p>
              </w:tc>
              <w:tc>
                <w:tcPr>
                  <w:tcW w:w="2173" w:type="dxa"/>
                  <w:tcBorders>
                    <w:tl2br w:val="nil"/>
                    <w:tr2bl w:val="nil"/>
                  </w:tcBorders>
                  <w:vAlign w:val="center"/>
                </w:tcPr>
                <w:p w14:paraId="3F6F1E84">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7.40E+08（20mCi）</w:t>
                  </w:r>
                </w:p>
              </w:tc>
              <w:tc>
                <w:tcPr>
                  <w:tcW w:w="1096" w:type="dxa"/>
                  <w:tcBorders>
                    <w:tl2br w:val="nil"/>
                    <w:tr2bl w:val="nil"/>
                  </w:tcBorders>
                  <w:shd w:val="clear" w:color="auto" w:fill="auto"/>
                  <w:vAlign w:val="center"/>
                </w:tcPr>
                <w:p w14:paraId="70BA5A82">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10</w:t>
                  </w:r>
                </w:p>
              </w:tc>
              <w:tc>
                <w:tcPr>
                  <w:tcW w:w="1078" w:type="dxa"/>
                  <w:tcBorders>
                    <w:tl2br w:val="nil"/>
                    <w:tr2bl w:val="nil"/>
                  </w:tcBorders>
                  <w:shd w:val="clear" w:color="auto" w:fill="auto"/>
                  <w:vAlign w:val="center"/>
                </w:tcPr>
                <w:p w14:paraId="4291C386">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250</w:t>
                  </w:r>
                </w:p>
              </w:tc>
              <w:tc>
                <w:tcPr>
                  <w:tcW w:w="1263" w:type="dxa"/>
                  <w:tcBorders>
                    <w:tl2br w:val="nil"/>
                    <w:tr2bl w:val="nil"/>
                  </w:tcBorders>
                  <w:shd w:val="clear" w:color="auto" w:fill="auto"/>
                  <w:vAlign w:val="center"/>
                </w:tcPr>
                <w:p w14:paraId="74B089B3">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7.40E+09</w:t>
                  </w:r>
                </w:p>
              </w:tc>
              <w:tc>
                <w:tcPr>
                  <w:tcW w:w="1169" w:type="dxa"/>
                  <w:tcBorders>
                    <w:tl2br w:val="nil"/>
                    <w:tr2bl w:val="nil"/>
                  </w:tcBorders>
                  <w:shd w:val="clear" w:color="auto" w:fill="auto"/>
                  <w:vAlign w:val="center"/>
                </w:tcPr>
                <w:p w14:paraId="3EFF163A">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1.85E+12</w:t>
                  </w:r>
                </w:p>
              </w:tc>
            </w:tr>
            <w:tr w14:paraId="2C4213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975" w:type="dxa"/>
                  <w:vMerge w:val="continue"/>
                  <w:tcBorders>
                    <w:tl2br w:val="nil"/>
                    <w:tr2bl w:val="nil"/>
                  </w:tcBorders>
                  <w:vAlign w:val="center"/>
                </w:tcPr>
                <w:p w14:paraId="7FEB2541">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p>
              </w:tc>
              <w:tc>
                <w:tcPr>
                  <w:tcW w:w="1314" w:type="dxa"/>
                  <w:tcBorders>
                    <w:tl2br w:val="nil"/>
                    <w:tr2bl w:val="nil"/>
                  </w:tcBorders>
                  <w:shd w:val="clear" w:color="auto" w:fill="auto"/>
                  <w:vAlign w:val="center"/>
                </w:tcPr>
                <w:p w14:paraId="5BDF801F">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eastAsia" w:ascii="Times New Roman" w:hAnsi="Times New Roman" w:eastAsia="宋体" w:cs="Times New Roman"/>
                      <w:color w:val="auto"/>
                      <w:kern w:val="0"/>
                      <w:sz w:val="21"/>
                      <w:szCs w:val="21"/>
                      <w:highlight w:val="none"/>
                      <w:lang w:val="en-US" w:eastAsia="zh-CN" w:bidi="ar-SA"/>
                    </w:rPr>
                    <w:t>N-13</w:t>
                  </w:r>
                </w:p>
              </w:tc>
              <w:tc>
                <w:tcPr>
                  <w:tcW w:w="2173" w:type="dxa"/>
                  <w:tcBorders>
                    <w:tl2br w:val="nil"/>
                    <w:tr2bl w:val="nil"/>
                  </w:tcBorders>
                  <w:vAlign w:val="center"/>
                </w:tcPr>
                <w:p w14:paraId="3E7EAC07">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7.40E+08（20mCi）</w:t>
                  </w:r>
                </w:p>
              </w:tc>
              <w:tc>
                <w:tcPr>
                  <w:tcW w:w="1096" w:type="dxa"/>
                  <w:tcBorders>
                    <w:tl2br w:val="nil"/>
                    <w:tr2bl w:val="nil"/>
                  </w:tcBorders>
                  <w:shd w:val="clear" w:color="auto" w:fill="auto"/>
                  <w:vAlign w:val="center"/>
                </w:tcPr>
                <w:p w14:paraId="6BA16CBB">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10</w:t>
                  </w:r>
                </w:p>
              </w:tc>
              <w:tc>
                <w:tcPr>
                  <w:tcW w:w="1078" w:type="dxa"/>
                  <w:tcBorders>
                    <w:tl2br w:val="nil"/>
                    <w:tr2bl w:val="nil"/>
                  </w:tcBorders>
                  <w:shd w:val="clear" w:color="auto" w:fill="auto"/>
                  <w:vAlign w:val="center"/>
                </w:tcPr>
                <w:p w14:paraId="2E39CD2A">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250</w:t>
                  </w:r>
                </w:p>
              </w:tc>
              <w:tc>
                <w:tcPr>
                  <w:tcW w:w="1263" w:type="dxa"/>
                  <w:tcBorders>
                    <w:tl2br w:val="nil"/>
                    <w:tr2bl w:val="nil"/>
                  </w:tcBorders>
                  <w:shd w:val="clear" w:color="auto" w:fill="auto"/>
                  <w:vAlign w:val="center"/>
                </w:tcPr>
                <w:p w14:paraId="6CE1557D">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7.40E+09</w:t>
                  </w:r>
                </w:p>
              </w:tc>
              <w:tc>
                <w:tcPr>
                  <w:tcW w:w="1169" w:type="dxa"/>
                  <w:tcBorders>
                    <w:tl2br w:val="nil"/>
                    <w:tr2bl w:val="nil"/>
                  </w:tcBorders>
                  <w:shd w:val="clear" w:color="auto" w:fill="auto"/>
                  <w:vAlign w:val="center"/>
                </w:tcPr>
                <w:p w14:paraId="21DCDEE9">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1.85E+12</w:t>
                  </w:r>
                </w:p>
              </w:tc>
            </w:tr>
            <w:tr w14:paraId="67E0A9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75" w:type="dxa"/>
                  <w:vMerge w:val="restart"/>
                  <w:tcBorders>
                    <w:tl2br w:val="nil"/>
                    <w:tr2bl w:val="nil"/>
                  </w:tcBorders>
                  <w:vAlign w:val="center"/>
                </w:tcPr>
                <w:p w14:paraId="1C7ADC6C">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SPECT诊断区</w:t>
                  </w:r>
                </w:p>
              </w:tc>
              <w:tc>
                <w:tcPr>
                  <w:tcW w:w="1314" w:type="dxa"/>
                  <w:tcBorders>
                    <w:tl2br w:val="nil"/>
                    <w:tr2bl w:val="nil"/>
                  </w:tcBorders>
                  <w:shd w:val="clear" w:color="auto" w:fill="auto"/>
                  <w:vAlign w:val="center"/>
                </w:tcPr>
                <w:p w14:paraId="46A069E5">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Tc-99m</w:t>
                  </w:r>
                </w:p>
              </w:tc>
              <w:tc>
                <w:tcPr>
                  <w:tcW w:w="2173" w:type="dxa"/>
                  <w:tcBorders>
                    <w:tl2br w:val="nil"/>
                    <w:tr2bl w:val="nil"/>
                  </w:tcBorders>
                  <w:vAlign w:val="center"/>
                </w:tcPr>
                <w:p w14:paraId="2F88EA25">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7.40E+08（20mCi）</w:t>
                  </w:r>
                </w:p>
              </w:tc>
              <w:tc>
                <w:tcPr>
                  <w:tcW w:w="1096" w:type="dxa"/>
                  <w:tcBorders>
                    <w:tl2br w:val="nil"/>
                    <w:tr2bl w:val="nil"/>
                  </w:tcBorders>
                  <w:shd w:val="clear" w:color="auto" w:fill="auto"/>
                  <w:vAlign w:val="center"/>
                </w:tcPr>
                <w:p w14:paraId="513D787E">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100</w:t>
                  </w:r>
                </w:p>
              </w:tc>
              <w:tc>
                <w:tcPr>
                  <w:tcW w:w="1078" w:type="dxa"/>
                  <w:tcBorders>
                    <w:tl2br w:val="nil"/>
                    <w:tr2bl w:val="nil"/>
                  </w:tcBorders>
                  <w:shd w:val="clear" w:color="auto" w:fill="auto"/>
                  <w:vAlign w:val="center"/>
                </w:tcPr>
                <w:p w14:paraId="3B414C1D">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250</w:t>
                  </w:r>
                </w:p>
              </w:tc>
              <w:tc>
                <w:tcPr>
                  <w:tcW w:w="1263" w:type="dxa"/>
                  <w:tcBorders>
                    <w:tl2br w:val="nil"/>
                    <w:tr2bl w:val="nil"/>
                  </w:tcBorders>
                  <w:shd w:val="clear" w:color="auto" w:fill="auto"/>
                  <w:vAlign w:val="center"/>
                </w:tcPr>
                <w:p w14:paraId="46FF37AC">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7.40E+10</w:t>
                  </w:r>
                </w:p>
              </w:tc>
              <w:tc>
                <w:tcPr>
                  <w:tcW w:w="1169" w:type="dxa"/>
                  <w:tcBorders>
                    <w:tl2br w:val="nil"/>
                    <w:tr2bl w:val="nil"/>
                  </w:tcBorders>
                  <w:shd w:val="clear" w:color="auto" w:fill="auto"/>
                  <w:vAlign w:val="center"/>
                </w:tcPr>
                <w:p w14:paraId="76A08635">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1.85E+13</w:t>
                  </w:r>
                </w:p>
              </w:tc>
            </w:tr>
            <w:tr w14:paraId="3A7D4C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6" w:hRule="atLeast"/>
                <w:jc w:val="center"/>
              </w:trPr>
              <w:tc>
                <w:tcPr>
                  <w:tcW w:w="975" w:type="dxa"/>
                  <w:vMerge w:val="continue"/>
                  <w:tcBorders>
                    <w:tl2br w:val="nil"/>
                    <w:tr2bl w:val="nil"/>
                  </w:tcBorders>
                  <w:vAlign w:val="center"/>
                </w:tcPr>
                <w:p w14:paraId="057B665C">
                  <w:pPr>
                    <w:keepNext w:val="0"/>
                    <w:keepLines w:val="0"/>
                    <w:widowControl w:val="0"/>
                    <w:suppressLineNumbers w:val="0"/>
                    <w:shd w:val="clear"/>
                    <w:autoSpaceDE w:val="0"/>
                    <w:autoSpaceDN w:val="0"/>
                    <w:spacing w:before="0" w:beforeAutospacing="0" w:after="0" w:afterAutospacing="0"/>
                    <w:ind w:left="0" w:right="0" w:firstLine="0" w:firstLineChars="0"/>
                    <w:jc w:val="both"/>
                    <w:rPr>
                      <w:rFonts w:hint="default" w:ascii="Times New Roman" w:hAnsi="Times New Roman" w:eastAsia="宋体" w:cs="Times New Roman"/>
                      <w:color w:val="auto"/>
                      <w:kern w:val="0"/>
                      <w:sz w:val="21"/>
                      <w:szCs w:val="21"/>
                      <w:highlight w:val="none"/>
                      <w:lang w:val="en-US" w:eastAsia="zh-CN" w:bidi="ar-SA"/>
                    </w:rPr>
                  </w:pPr>
                </w:p>
              </w:tc>
              <w:tc>
                <w:tcPr>
                  <w:tcW w:w="1314" w:type="dxa"/>
                  <w:tcBorders>
                    <w:tl2br w:val="nil"/>
                    <w:tr2bl w:val="nil"/>
                  </w:tcBorders>
                  <w:shd w:val="clear" w:color="auto" w:fill="auto"/>
                  <w:vAlign w:val="center"/>
                </w:tcPr>
                <w:p w14:paraId="3EDB4E78">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en-US" w:bidi="ar-SA"/>
                    </w:rPr>
                    <w:t>I-131</w:t>
                  </w:r>
                </w:p>
              </w:tc>
              <w:tc>
                <w:tcPr>
                  <w:tcW w:w="2173" w:type="dxa"/>
                  <w:tcBorders>
                    <w:tl2br w:val="nil"/>
                    <w:tr2bl w:val="nil"/>
                  </w:tcBorders>
                  <w:vAlign w:val="center"/>
                </w:tcPr>
                <w:p w14:paraId="36A8CAFA">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1.85E+08（5mCi）</w:t>
                  </w:r>
                </w:p>
              </w:tc>
              <w:tc>
                <w:tcPr>
                  <w:tcW w:w="1096" w:type="dxa"/>
                  <w:tcBorders>
                    <w:tl2br w:val="nil"/>
                    <w:tr2bl w:val="nil"/>
                  </w:tcBorders>
                  <w:shd w:val="clear" w:color="auto" w:fill="auto"/>
                  <w:vAlign w:val="center"/>
                </w:tcPr>
                <w:p w14:paraId="293E9C5B">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60</w:t>
                  </w:r>
                </w:p>
              </w:tc>
              <w:tc>
                <w:tcPr>
                  <w:tcW w:w="1078" w:type="dxa"/>
                  <w:tcBorders>
                    <w:tl2br w:val="nil"/>
                    <w:tr2bl w:val="nil"/>
                  </w:tcBorders>
                  <w:shd w:val="clear" w:color="auto" w:fill="auto"/>
                  <w:vAlign w:val="center"/>
                </w:tcPr>
                <w:p w14:paraId="3DD6A534">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250</w:t>
                  </w:r>
                </w:p>
              </w:tc>
              <w:tc>
                <w:tcPr>
                  <w:tcW w:w="1263" w:type="dxa"/>
                  <w:tcBorders>
                    <w:tl2br w:val="nil"/>
                    <w:tr2bl w:val="nil"/>
                  </w:tcBorders>
                  <w:shd w:val="clear" w:color="auto" w:fill="auto"/>
                  <w:vAlign w:val="center"/>
                </w:tcPr>
                <w:p w14:paraId="5867B970">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1.11E+10</w:t>
                  </w:r>
                </w:p>
              </w:tc>
              <w:tc>
                <w:tcPr>
                  <w:tcW w:w="1169" w:type="dxa"/>
                  <w:tcBorders>
                    <w:tl2br w:val="nil"/>
                    <w:tr2bl w:val="nil"/>
                  </w:tcBorders>
                  <w:shd w:val="clear" w:color="auto" w:fill="auto"/>
                  <w:vAlign w:val="center"/>
                </w:tcPr>
                <w:p w14:paraId="69A960FC">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2.78E+12</w:t>
                  </w:r>
                </w:p>
              </w:tc>
            </w:tr>
            <w:tr w14:paraId="658BD6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975" w:type="dxa"/>
                  <w:vMerge w:val="restart"/>
                  <w:tcBorders>
                    <w:tl2br w:val="nil"/>
                    <w:tr2bl w:val="nil"/>
                  </w:tcBorders>
                  <w:vAlign w:val="center"/>
                </w:tcPr>
                <w:p w14:paraId="649A8EA9">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en-US" w:bidi="ar-SA"/>
                    </w:rPr>
                    <w:t>核素治疗区</w:t>
                  </w:r>
                </w:p>
              </w:tc>
              <w:tc>
                <w:tcPr>
                  <w:tcW w:w="1314" w:type="dxa"/>
                  <w:tcBorders>
                    <w:tl2br w:val="nil"/>
                    <w:tr2bl w:val="nil"/>
                  </w:tcBorders>
                  <w:vAlign w:val="center"/>
                </w:tcPr>
                <w:p w14:paraId="715B98C1">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I-131</w:t>
                  </w:r>
                </w:p>
              </w:tc>
              <w:tc>
                <w:tcPr>
                  <w:tcW w:w="2173" w:type="dxa"/>
                  <w:tcBorders>
                    <w:tl2br w:val="nil"/>
                    <w:tr2bl w:val="nil"/>
                  </w:tcBorders>
                  <w:vAlign w:val="center"/>
                </w:tcPr>
                <w:p w14:paraId="198C57B2">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5.50E+0</w:t>
                  </w:r>
                  <w:r>
                    <w:rPr>
                      <w:rFonts w:hint="eastAsia" w:ascii="Times New Roman" w:hAnsi="Times New Roman" w:eastAsia="宋体" w:cs="Times New Roman"/>
                      <w:color w:val="auto"/>
                      <w:kern w:val="0"/>
                      <w:sz w:val="21"/>
                      <w:szCs w:val="21"/>
                      <w:highlight w:val="none"/>
                      <w:lang w:val="en-US" w:eastAsia="zh-CN" w:bidi="ar-SA"/>
                    </w:rPr>
                    <w:t>9</w:t>
                  </w:r>
                  <w:r>
                    <w:rPr>
                      <w:rFonts w:hint="default" w:ascii="Times New Roman" w:hAnsi="Times New Roman" w:eastAsia="宋体" w:cs="Times New Roman"/>
                      <w:color w:val="auto"/>
                      <w:kern w:val="0"/>
                      <w:sz w:val="21"/>
                      <w:szCs w:val="21"/>
                      <w:highlight w:val="none"/>
                      <w:lang w:val="en-US" w:eastAsia="en-US" w:bidi="ar-SA"/>
                    </w:rPr>
                    <w:t xml:space="preserve"> （</w:t>
                  </w:r>
                  <w:r>
                    <w:rPr>
                      <w:rFonts w:hint="eastAsia" w:ascii="Times New Roman" w:hAnsi="Times New Roman" w:eastAsia="宋体" w:cs="Times New Roman"/>
                      <w:color w:val="auto"/>
                      <w:kern w:val="0"/>
                      <w:sz w:val="21"/>
                      <w:szCs w:val="21"/>
                      <w:highlight w:val="none"/>
                      <w:lang w:val="en-US" w:eastAsia="zh-CN" w:bidi="ar-SA"/>
                    </w:rPr>
                    <w:t>150</w:t>
                  </w:r>
                  <w:r>
                    <w:rPr>
                      <w:rFonts w:hint="default" w:ascii="Times New Roman" w:hAnsi="Times New Roman" w:eastAsia="宋体" w:cs="Times New Roman"/>
                      <w:color w:val="auto"/>
                      <w:kern w:val="0"/>
                      <w:sz w:val="21"/>
                      <w:szCs w:val="21"/>
                      <w:highlight w:val="none"/>
                      <w:lang w:val="en-US" w:eastAsia="en-US" w:bidi="ar-SA"/>
                    </w:rPr>
                    <w:t>mCi）</w:t>
                  </w:r>
                </w:p>
              </w:tc>
              <w:tc>
                <w:tcPr>
                  <w:tcW w:w="1096" w:type="dxa"/>
                  <w:tcBorders>
                    <w:tl2br w:val="nil"/>
                    <w:tr2bl w:val="nil"/>
                  </w:tcBorders>
                  <w:vAlign w:val="center"/>
                </w:tcPr>
                <w:p w14:paraId="5307C19C">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17</w:t>
                  </w:r>
                </w:p>
              </w:tc>
              <w:tc>
                <w:tcPr>
                  <w:tcW w:w="1078" w:type="dxa"/>
                  <w:tcBorders>
                    <w:tl2br w:val="nil"/>
                    <w:tr2bl w:val="nil"/>
                  </w:tcBorders>
                  <w:vAlign w:val="center"/>
                </w:tcPr>
                <w:p w14:paraId="5E5DDA87">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250</w:t>
                  </w:r>
                </w:p>
              </w:tc>
              <w:tc>
                <w:tcPr>
                  <w:tcW w:w="1263" w:type="dxa"/>
                  <w:tcBorders>
                    <w:tl2br w:val="nil"/>
                    <w:tr2bl w:val="nil"/>
                  </w:tcBorders>
                  <w:shd w:val="clear" w:color="auto" w:fill="auto"/>
                  <w:vAlign w:val="center"/>
                </w:tcPr>
                <w:p w14:paraId="6096D926">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9.</w:t>
                  </w:r>
                  <w:r>
                    <w:rPr>
                      <w:rFonts w:hint="eastAsia" w:cs="Times New Roman"/>
                      <w:color w:val="auto"/>
                      <w:kern w:val="0"/>
                      <w:sz w:val="21"/>
                      <w:szCs w:val="21"/>
                      <w:highlight w:val="none"/>
                      <w:lang w:val="en-US" w:eastAsia="zh-CN" w:bidi="ar-SA"/>
                    </w:rPr>
                    <w:t>44</w:t>
                  </w:r>
                  <w:r>
                    <w:rPr>
                      <w:rFonts w:hint="default" w:ascii="Times New Roman" w:hAnsi="Times New Roman" w:eastAsia="宋体" w:cs="Times New Roman"/>
                      <w:color w:val="auto"/>
                      <w:kern w:val="0"/>
                      <w:sz w:val="21"/>
                      <w:szCs w:val="21"/>
                      <w:highlight w:val="none"/>
                      <w:lang w:val="en-US" w:eastAsia="zh-CN" w:bidi="ar-SA"/>
                    </w:rPr>
                    <w:t>E+10</w:t>
                  </w:r>
                </w:p>
              </w:tc>
              <w:tc>
                <w:tcPr>
                  <w:tcW w:w="1169" w:type="dxa"/>
                  <w:tcBorders>
                    <w:tl2br w:val="nil"/>
                    <w:tr2bl w:val="nil"/>
                  </w:tcBorders>
                  <w:shd w:val="clear" w:color="auto" w:fill="auto"/>
                  <w:vAlign w:val="center"/>
                </w:tcPr>
                <w:p w14:paraId="5FACFFEF">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eastAsia" w:ascii="Times New Roman" w:hAnsi="Times New Roman" w:eastAsia="宋体" w:cs="Times New Roman"/>
                      <w:color w:val="auto"/>
                      <w:kern w:val="0"/>
                      <w:sz w:val="21"/>
                      <w:szCs w:val="21"/>
                      <w:highlight w:val="none"/>
                      <w:lang w:val="en-US" w:eastAsia="zh-CN" w:bidi="ar-SA"/>
                    </w:rPr>
                    <w:t>2.36E+13</w:t>
                  </w:r>
                </w:p>
              </w:tc>
            </w:tr>
            <w:tr w14:paraId="231DB7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975" w:type="dxa"/>
                  <w:vMerge w:val="continue"/>
                  <w:tcBorders>
                    <w:tl2br w:val="nil"/>
                    <w:tr2bl w:val="nil"/>
                  </w:tcBorders>
                  <w:vAlign w:val="center"/>
                </w:tcPr>
                <w:p w14:paraId="122BB81B">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p>
              </w:tc>
              <w:tc>
                <w:tcPr>
                  <w:tcW w:w="1314" w:type="dxa"/>
                  <w:tcBorders>
                    <w:tl2br w:val="nil"/>
                    <w:tr2bl w:val="nil"/>
                  </w:tcBorders>
                  <w:shd w:val="clear" w:color="auto" w:fill="auto"/>
                  <w:vAlign w:val="center"/>
                </w:tcPr>
                <w:p w14:paraId="5CF71FD8">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en-US" w:bidi="ar-SA"/>
                    </w:rPr>
                    <w:t>Lu-177</w:t>
                  </w:r>
                </w:p>
              </w:tc>
              <w:tc>
                <w:tcPr>
                  <w:tcW w:w="2173" w:type="dxa"/>
                  <w:tcBorders>
                    <w:tl2br w:val="nil"/>
                    <w:tr2bl w:val="nil"/>
                  </w:tcBorders>
                  <w:shd w:val="clear" w:color="auto" w:fill="auto"/>
                  <w:vAlign w:val="center"/>
                </w:tcPr>
                <w:p w14:paraId="2870FB8F">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1.11E+10 （300mCi）</w:t>
                  </w:r>
                </w:p>
              </w:tc>
              <w:tc>
                <w:tcPr>
                  <w:tcW w:w="1096" w:type="dxa"/>
                  <w:tcBorders>
                    <w:tl2br w:val="nil"/>
                    <w:tr2bl w:val="nil"/>
                  </w:tcBorders>
                  <w:shd w:val="clear" w:color="auto" w:fill="auto"/>
                  <w:vAlign w:val="center"/>
                </w:tcPr>
                <w:p w14:paraId="75C01D0C">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w:t>
                  </w:r>
                </w:p>
              </w:tc>
              <w:tc>
                <w:tcPr>
                  <w:tcW w:w="1078" w:type="dxa"/>
                  <w:tcBorders>
                    <w:tl2br w:val="nil"/>
                    <w:tr2bl w:val="nil"/>
                  </w:tcBorders>
                  <w:shd w:val="clear" w:color="auto" w:fill="auto"/>
                  <w:vAlign w:val="center"/>
                </w:tcPr>
                <w:p w14:paraId="10B5FD2A">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250</w:t>
                  </w:r>
                </w:p>
              </w:tc>
              <w:tc>
                <w:tcPr>
                  <w:tcW w:w="1263" w:type="dxa"/>
                  <w:tcBorders>
                    <w:tl2br w:val="nil"/>
                    <w:tr2bl w:val="nil"/>
                  </w:tcBorders>
                  <w:shd w:val="clear" w:color="auto" w:fill="auto"/>
                  <w:vAlign w:val="center"/>
                </w:tcPr>
                <w:p w14:paraId="4E48033D">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 xml:space="preserve">1.11E+10 </w:t>
                  </w:r>
                </w:p>
              </w:tc>
              <w:tc>
                <w:tcPr>
                  <w:tcW w:w="1169" w:type="dxa"/>
                  <w:tcBorders>
                    <w:tl2br w:val="nil"/>
                    <w:tr2bl w:val="nil"/>
                  </w:tcBorders>
                  <w:shd w:val="clear" w:color="auto" w:fill="auto"/>
                  <w:vAlign w:val="center"/>
                </w:tcPr>
                <w:p w14:paraId="1D70CCB1">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2.78E+12</w:t>
                  </w:r>
                </w:p>
              </w:tc>
            </w:tr>
            <w:tr w14:paraId="09089A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975" w:type="dxa"/>
                  <w:vMerge w:val="continue"/>
                  <w:tcBorders>
                    <w:tl2br w:val="nil"/>
                    <w:tr2bl w:val="nil"/>
                  </w:tcBorders>
                  <w:vAlign w:val="center"/>
                </w:tcPr>
                <w:p w14:paraId="229FE359">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p>
              </w:tc>
              <w:tc>
                <w:tcPr>
                  <w:tcW w:w="1314" w:type="dxa"/>
                  <w:tcBorders>
                    <w:tl2br w:val="nil"/>
                    <w:tr2bl w:val="nil"/>
                  </w:tcBorders>
                  <w:shd w:val="clear" w:color="auto" w:fill="auto"/>
                  <w:vAlign w:val="center"/>
                </w:tcPr>
                <w:p w14:paraId="728291BB">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en-US" w:bidi="ar-SA"/>
                    </w:rPr>
                    <w:t>Ra-223</w:t>
                  </w:r>
                </w:p>
              </w:tc>
              <w:tc>
                <w:tcPr>
                  <w:tcW w:w="2173" w:type="dxa"/>
                  <w:tcBorders>
                    <w:tl2br w:val="nil"/>
                    <w:tr2bl w:val="nil"/>
                  </w:tcBorders>
                  <w:vAlign w:val="center"/>
                </w:tcPr>
                <w:p w14:paraId="7BE1F265">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5.50E+06 （0.15mCi）</w:t>
                  </w:r>
                </w:p>
              </w:tc>
              <w:tc>
                <w:tcPr>
                  <w:tcW w:w="1096" w:type="dxa"/>
                  <w:tcBorders>
                    <w:tl2br w:val="nil"/>
                    <w:tr2bl w:val="nil"/>
                  </w:tcBorders>
                  <w:shd w:val="clear" w:color="auto" w:fill="auto"/>
                  <w:vAlign w:val="center"/>
                </w:tcPr>
                <w:p w14:paraId="415C9896">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1</w:t>
                  </w:r>
                </w:p>
              </w:tc>
              <w:tc>
                <w:tcPr>
                  <w:tcW w:w="1078" w:type="dxa"/>
                  <w:tcBorders>
                    <w:tl2br w:val="nil"/>
                    <w:tr2bl w:val="nil"/>
                  </w:tcBorders>
                  <w:shd w:val="clear" w:color="auto" w:fill="auto"/>
                  <w:vAlign w:val="center"/>
                </w:tcPr>
                <w:p w14:paraId="030E0DE4">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30</w:t>
                  </w:r>
                </w:p>
              </w:tc>
              <w:tc>
                <w:tcPr>
                  <w:tcW w:w="1263" w:type="dxa"/>
                  <w:tcBorders>
                    <w:tl2br w:val="nil"/>
                    <w:tr2bl w:val="nil"/>
                  </w:tcBorders>
                  <w:shd w:val="clear" w:color="auto" w:fill="auto"/>
                  <w:vAlign w:val="center"/>
                </w:tcPr>
                <w:p w14:paraId="039A1005">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5.50E+06</w:t>
                  </w:r>
                </w:p>
              </w:tc>
              <w:tc>
                <w:tcPr>
                  <w:tcW w:w="1169" w:type="dxa"/>
                  <w:tcBorders>
                    <w:tl2br w:val="nil"/>
                    <w:tr2bl w:val="nil"/>
                  </w:tcBorders>
                  <w:shd w:val="clear" w:color="auto" w:fill="auto"/>
                  <w:vAlign w:val="center"/>
                </w:tcPr>
                <w:p w14:paraId="1C6D14AB">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1.65E+08</w:t>
                  </w:r>
                </w:p>
              </w:tc>
            </w:tr>
            <w:tr w14:paraId="7EACEA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975" w:type="dxa"/>
                  <w:vMerge w:val="continue"/>
                  <w:tcBorders>
                    <w:tl2br w:val="nil"/>
                    <w:tr2bl w:val="nil"/>
                  </w:tcBorders>
                  <w:vAlign w:val="center"/>
                </w:tcPr>
                <w:p w14:paraId="3AA07C05">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p>
              </w:tc>
              <w:tc>
                <w:tcPr>
                  <w:tcW w:w="1314" w:type="dxa"/>
                  <w:tcBorders>
                    <w:tl2br w:val="nil"/>
                    <w:tr2bl w:val="nil"/>
                  </w:tcBorders>
                  <w:shd w:val="clear" w:color="auto" w:fill="auto"/>
                  <w:vAlign w:val="center"/>
                </w:tcPr>
                <w:p w14:paraId="281A4E6E">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en-US" w:bidi="ar-SA"/>
                    </w:rPr>
                    <w:t>Ac-225</w:t>
                  </w:r>
                </w:p>
              </w:tc>
              <w:tc>
                <w:tcPr>
                  <w:tcW w:w="2173" w:type="dxa"/>
                  <w:tcBorders>
                    <w:tl2br w:val="nil"/>
                    <w:tr2bl w:val="nil"/>
                  </w:tcBorders>
                  <w:vAlign w:val="center"/>
                </w:tcPr>
                <w:p w14:paraId="22B5BC6F">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1.00E+07 （0.27mCi）</w:t>
                  </w:r>
                </w:p>
              </w:tc>
              <w:tc>
                <w:tcPr>
                  <w:tcW w:w="1096" w:type="dxa"/>
                  <w:tcBorders>
                    <w:tl2br w:val="nil"/>
                    <w:tr2bl w:val="nil"/>
                  </w:tcBorders>
                  <w:shd w:val="clear" w:color="auto" w:fill="auto"/>
                  <w:vAlign w:val="center"/>
                </w:tcPr>
                <w:p w14:paraId="52262B8C">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w:t>
                  </w:r>
                </w:p>
              </w:tc>
              <w:tc>
                <w:tcPr>
                  <w:tcW w:w="1078" w:type="dxa"/>
                  <w:tcBorders>
                    <w:tl2br w:val="nil"/>
                    <w:tr2bl w:val="nil"/>
                  </w:tcBorders>
                  <w:shd w:val="clear" w:color="auto" w:fill="auto"/>
                  <w:vAlign w:val="center"/>
                </w:tcPr>
                <w:p w14:paraId="20FA0EB3">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30</w:t>
                  </w:r>
                </w:p>
              </w:tc>
              <w:tc>
                <w:tcPr>
                  <w:tcW w:w="1263" w:type="dxa"/>
                  <w:tcBorders>
                    <w:tl2br w:val="nil"/>
                    <w:tr2bl w:val="nil"/>
                  </w:tcBorders>
                  <w:shd w:val="clear" w:color="auto" w:fill="auto"/>
                  <w:vAlign w:val="center"/>
                </w:tcPr>
                <w:p w14:paraId="14C9CF32">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1.00E+07</w:t>
                  </w:r>
                </w:p>
              </w:tc>
              <w:tc>
                <w:tcPr>
                  <w:tcW w:w="1169" w:type="dxa"/>
                  <w:tcBorders>
                    <w:tl2br w:val="nil"/>
                    <w:tr2bl w:val="nil"/>
                  </w:tcBorders>
                  <w:shd w:val="clear" w:color="auto" w:fill="auto"/>
                  <w:vAlign w:val="center"/>
                </w:tcPr>
                <w:p w14:paraId="279B83FF">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3.00E+08</w:t>
                  </w:r>
                </w:p>
              </w:tc>
            </w:tr>
            <w:tr w14:paraId="0E123F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4" w:hRule="atLeast"/>
                <w:jc w:val="center"/>
              </w:trPr>
              <w:tc>
                <w:tcPr>
                  <w:tcW w:w="975" w:type="dxa"/>
                  <w:vMerge w:val="restart"/>
                  <w:tcBorders>
                    <w:tl2br w:val="nil"/>
                    <w:tr2bl w:val="nil"/>
                  </w:tcBorders>
                  <w:vAlign w:val="center"/>
                </w:tcPr>
                <w:p w14:paraId="2A8F4C31">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介入2室</w:t>
                  </w:r>
                </w:p>
              </w:tc>
              <w:tc>
                <w:tcPr>
                  <w:tcW w:w="1314" w:type="dxa"/>
                  <w:tcBorders>
                    <w:tl2br w:val="nil"/>
                    <w:tr2bl w:val="nil"/>
                  </w:tcBorders>
                  <w:vAlign w:val="center"/>
                </w:tcPr>
                <w:p w14:paraId="2E5775E8">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Y-90</w:t>
                  </w:r>
                </w:p>
              </w:tc>
              <w:tc>
                <w:tcPr>
                  <w:tcW w:w="2173" w:type="dxa"/>
                  <w:tcBorders>
                    <w:tl2br w:val="nil"/>
                    <w:tr2bl w:val="nil"/>
                  </w:tcBorders>
                  <w:vAlign w:val="center"/>
                </w:tcPr>
                <w:p w14:paraId="4651C188">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w:t>
                  </w:r>
                  <w:r>
                    <w:rPr>
                      <w:rFonts w:hint="default" w:ascii="Times New Roman" w:hAnsi="Times New Roman" w:eastAsia="宋体" w:cs="Times New Roman"/>
                      <w:color w:val="auto"/>
                      <w:kern w:val="0"/>
                      <w:sz w:val="21"/>
                      <w:szCs w:val="21"/>
                      <w:highlight w:val="none"/>
                      <w:lang w:val="en-US" w:eastAsia="en-US" w:bidi="ar-SA"/>
                    </w:rPr>
                    <w:t>.50E+09 （67.57 mCi</w:t>
                  </w:r>
                  <w:r>
                    <w:rPr>
                      <w:rFonts w:hint="eastAsia" w:ascii="Times New Roman" w:hAnsi="Times New Roman" w:eastAsia="宋体" w:cs="Times New Roman"/>
                      <w:color w:val="auto"/>
                      <w:kern w:val="0"/>
                      <w:sz w:val="21"/>
                      <w:szCs w:val="21"/>
                      <w:highlight w:val="none"/>
                      <w:lang w:val="en-US" w:eastAsia="zh-CN" w:bidi="ar-SA"/>
                    </w:rPr>
                    <w:t>)</w:t>
                  </w:r>
                </w:p>
              </w:tc>
              <w:tc>
                <w:tcPr>
                  <w:tcW w:w="1096" w:type="dxa"/>
                  <w:tcBorders>
                    <w:tl2br w:val="nil"/>
                    <w:tr2bl w:val="nil"/>
                  </w:tcBorders>
                  <w:vAlign w:val="center"/>
                </w:tcPr>
                <w:p w14:paraId="2338DB90">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w:t>
                  </w:r>
                </w:p>
              </w:tc>
              <w:tc>
                <w:tcPr>
                  <w:tcW w:w="1078" w:type="dxa"/>
                  <w:tcBorders>
                    <w:tl2br w:val="nil"/>
                    <w:tr2bl w:val="nil"/>
                  </w:tcBorders>
                  <w:vAlign w:val="center"/>
                </w:tcPr>
                <w:p w14:paraId="7A3E2DAC">
                  <w:pPr>
                    <w:keepNext w:val="0"/>
                    <w:keepLines w:val="0"/>
                    <w:widowControl w:val="0"/>
                    <w:suppressLineNumbers w:val="0"/>
                    <w:shd w:val="clear"/>
                    <w:autoSpaceDE w:val="0"/>
                    <w:autoSpaceDN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30</w:t>
                  </w:r>
                </w:p>
              </w:tc>
              <w:tc>
                <w:tcPr>
                  <w:tcW w:w="1263" w:type="dxa"/>
                  <w:tcBorders>
                    <w:tl2br w:val="nil"/>
                    <w:tr2bl w:val="nil"/>
                  </w:tcBorders>
                  <w:vAlign w:val="center"/>
                </w:tcPr>
                <w:p w14:paraId="14677851">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 xml:space="preserve">2.50E+09 </w:t>
                  </w:r>
                </w:p>
              </w:tc>
              <w:tc>
                <w:tcPr>
                  <w:tcW w:w="1169" w:type="dxa"/>
                  <w:tcBorders>
                    <w:tl2br w:val="nil"/>
                    <w:tr2bl w:val="nil"/>
                  </w:tcBorders>
                  <w:shd w:val="clear" w:color="auto" w:fill="auto"/>
                  <w:vAlign w:val="center"/>
                </w:tcPr>
                <w:p w14:paraId="0432CFF0">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zh-CN" w:bidi="ar-SA"/>
                    </w:rPr>
                    <w:t>7.50E+10</w:t>
                  </w:r>
                </w:p>
              </w:tc>
            </w:tr>
            <w:tr w14:paraId="3A6373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53" w:hRule="atLeast"/>
                <w:jc w:val="center"/>
              </w:trPr>
              <w:tc>
                <w:tcPr>
                  <w:tcW w:w="975" w:type="dxa"/>
                  <w:vMerge w:val="continue"/>
                  <w:tcBorders>
                    <w:tl2br w:val="nil"/>
                    <w:tr2bl w:val="nil"/>
                  </w:tcBorders>
                  <w:vAlign w:val="center"/>
                </w:tcPr>
                <w:p w14:paraId="736BB8D0">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21"/>
                      <w:szCs w:val="21"/>
                      <w:highlight w:val="none"/>
                      <w:lang w:val="en-US" w:eastAsia="zh-CN" w:bidi="ar-SA"/>
                    </w:rPr>
                  </w:pPr>
                </w:p>
              </w:tc>
              <w:tc>
                <w:tcPr>
                  <w:tcW w:w="1314" w:type="dxa"/>
                  <w:tcBorders>
                    <w:tl2br w:val="nil"/>
                    <w:tr2bl w:val="nil"/>
                  </w:tcBorders>
                  <w:vAlign w:val="center"/>
                </w:tcPr>
                <w:p w14:paraId="7B626930">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Tc-99m</w:t>
                  </w:r>
                </w:p>
              </w:tc>
              <w:tc>
                <w:tcPr>
                  <w:tcW w:w="2173" w:type="dxa"/>
                  <w:tcBorders>
                    <w:tl2br w:val="nil"/>
                    <w:tr2bl w:val="nil"/>
                  </w:tcBorders>
                  <w:shd w:val="clear" w:color="auto" w:fill="auto"/>
                  <w:vAlign w:val="center"/>
                </w:tcPr>
                <w:p w14:paraId="420BC364">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1.48E+08（</w:t>
                  </w:r>
                  <w:r>
                    <w:rPr>
                      <w:rFonts w:hint="eastAsia" w:cs="Times New Roman"/>
                      <w:color w:val="auto"/>
                      <w:kern w:val="0"/>
                      <w:sz w:val="21"/>
                      <w:szCs w:val="21"/>
                      <w:highlight w:val="none"/>
                      <w:lang w:val="en-US" w:eastAsia="zh-CN" w:bidi="ar-SA"/>
                    </w:rPr>
                    <w:t>4mC</w:t>
                  </w:r>
                  <w:r>
                    <w:rPr>
                      <w:rFonts w:hint="eastAsia" w:ascii="Times New Roman" w:hAnsi="Times New Roman" w:eastAsia="宋体" w:cs="Times New Roman"/>
                      <w:color w:val="auto"/>
                      <w:kern w:val="0"/>
                      <w:sz w:val="21"/>
                      <w:szCs w:val="21"/>
                      <w:highlight w:val="none"/>
                      <w:lang w:val="en-US" w:eastAsia="zh-CN" w:bidi="ar-SA"/>
                    </w:rPr>
                    <w:t>i)</w:t>
                  </w:r>
                </w:p>
              </w:tc>
              <w:tc>
                <w:tcPr>
                  <w:tcW w:w="1096" w:type="dxa"/>
                  <w:tcBorders>
                    <w:tl2br w:val="nil"/>
                    <w:tr2bl w:val="nil"/>
                  </w:tcBorders>
                  <w:shd w:val="clear" w:color="auto" w:fill="auto"/>
                  <w:vAlign w:val="center"/>
                </w:tcPr>
                <w:p w14:paraId="7F0507F3">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w:t>
                  </w:r>
                </w:p>
              </w:tc>
              <w:tc>
                <w:tcPr>
                  <w:tcW w:w="1078" w:type="dxa"/>
                  <w:tcBorders>
                    <w:tl2br w:val="nil"/>
                    <w:tr2bl w:val="nil"/>
                  </w:tcBorders>
                  <w:shd w:val="clear" w:color="auto" w:fill="auto"/>
                  <w:vAlign w:val="center"/>
                </w:tcPr>
                <w:p w14:paraId="6B0BA864">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30</w:t>
                  </w:r>
                </w:p>
              </w:tc>
              <w:tc>
                <w:tcPr>
                  <w:tcW w:w="1263" w:type="dxa"/>
                  <w:tcBorders>
                    <w:tl2br w:val="nil"/>
                    <w:tr2bl w:val="nil"/>
                  </w:tcBorders>
                  <w:vAlign w:val="center"/>
                </w:tcPr>
                <w:p w14:paraId="248FF676">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1.48E+08</w:t>
                  </w:r>
                </w:p>
              </w:tc>
              <w:tc>
                <w:tcPr>
                  <w:tcW w:w="1169" w:type="dxa"/>
                  <w:tcBorders>
                    <w:tl2br w:val="nil"/>
                    <w:tr2bl w:val="nil"/>
                  </w:tcBorders>
                  <w:shd w:val="clear" w:color="auto" w:fill="auto"/>
                  <w:vAlign w:val="center"/>
                </w:tcPr>
                <w:p w14:paraId="04313553">
                  <w:pPr>
                    <w:keepNext w:val="0"/>
                    <w:keepLines w:val="0"/>
                    <w:widowControl w:val="0"/>
                    <w:suppressLineNumbers w:val="0"/>
                    <w:shd w:val="clear"/>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4.44E+09</w:t>
                  </w:r>
                </w:p>
              </w:tc>
            </w:tr>
          </w:tbl>
          <w:p w14:paraId="447DDD0F">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将原核医学楼1个乙级场所，合理划分为核医学楼负一层正电子药物生产车间、核医学楼负一层单光子药物生产车间、核医学楼一层SPECT诊断区、核医学楼二层PET诊断区和核医学楼三层核素治疗区5个相对独立的非密封放射性物质乙级工作场所；老院区综合楼一层介入手术2室开展Y-90树脂微球介入，新增1个非密封放射性物质乙级工作场所。</w:t>
            </w:r>
          </w:p>
          <w:p w14:paraId="6276600E">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根据《关于明确核技术利用辐射安全监管有关事项的通知-环办辐射函[2016]430号》：满足以下特点的放射性药品生产、使用场所，应当作为一个单独场所进行</w:t>
            </w:r>
            <w:r>
              <w:rPr>
                <w:rFonts w:hint="eastAsia" w:cs="Times New Roman"/>
                <w:color w:val="auto"/>
                <w:highlight w:val="none"/>
                <w:lang w:val="en-US" w:eastAsia="zh-CN"/>
              </w:rPr>
              <w:t>日等效最大操作量</w:t>
            </w:r>
            <w:r>
              <w:rPr>
                <w:rFonts w:hint="default" w:ascii="Times New Roman" w:hAnsi="Times New Roman" w:cs="Times New Roman"/>
                <w:color w:val="auto"/>
                <w:highlight w:val="none"/>
                <w:lang w:val="en-US" w:eastAsia="zh-CN"/>
              </w:rPr>
              <w:t>核算</w:t>
            </w:r>
            <w:r>
              <w:rPr>
                <w:rFonts w:hint="eastAsia" w:cs="Times New Roman"/>
                <w:color w:val="auto"/>
                <w:highlight w:val="none"/>
                <w:lang w:val="en-US" w:eastAsia="zh-CN"/>
              </w:rPr>
              <w:t>：</w:t>
            </w:r>
          </w:p>
          <w:p w14:paraId="13DF257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1.有相对独立、明确的监督区和控制区划分;</w:t>
            </w:r>
          </w:p>
          <w:p w14:paraId="2D40BD02">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2.工艺流程连续完整;</w:t>
            </w:r>
          </w:p>
          <w:p w14:paraId="00CB7B80">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3.有相对独立的辐射防护措施，</w:t>
            </w:r>
          </w:p>
          <w:p w14:paraId="2653140D">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本项目各非密封放射性物质工作场所核算情况如下：</w:t>
            </w:r>
          </w:p>
          <w:p w14:paraId="72F57282">
            <w:pPr>
              <w:keepNext w:val="0"/>
              <w:keepLines w:val="0"/>
              <w:suppressLineNumbers w:val="0"/>
              <w:bidi w:val="0"/>
              <w:spacing w:before="0" w:beforeAutospacing="0" w:after="0" w:afterAutospacing="0"/>
              <w:ind w:left="0" w:right="0" w:firstLine="482" w:firstLineChars="20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表10-</w:t>
            </w:r>
            <w:r>
              <w:rPr>
                <w:rFonts w:hint="eastAsia" w:cs="Times New Roman"/>
                <w:b/>
                <w:bCs/>
                <w:color w:val="auto"/>
                <w:highlight w:val="none"/>
                <w:lang w:val="en-US" w:eastAsia="zh-CN"/>
              </w:rPr>
              <w:t>4</w:t>
            </w:r>
            <w:r>
              <w:rPr>
                <w:rFonts w:hint="default" w:ascii="Times New Roman" w:hAnsi="Times New Roman" w:cs="Times New Roman"/>
                <w:b/>
                <w:bCs/>
                <w:color w:val="auto"/>
                <w:highlight w:val="none"/>
                <w:lang w:val="en-US" w:eastAsia="zh-CN"/>
              </w:rPr>
              <w:t xml:space="preserve">  </w:t>
            </w:r>
            <w:r>
              <w:rPr>
                <w:rFonts w:hint="default" w:ascii="Times New Roman" w:hAnsi="Times New Roman" w:cs="Times New Roman"/>
                <w:b/>
                <w:bCs/>
                <w:color w:val="auto"/>
                <w:highlight w:val="none"/>
                <w:lang w:val="en-US" w:eastAsia="en-US"/>
              </w:rPr>
              <w:t>核医学楼负一层正电子药物生产车间</w:t>
            </w:r>
            <w:r>
              <w:rPr>
                <w:rFonts w:hint="default" w:ascii="Times New Roman" w:hAnsi="Times New Roman" w:cs="Times New Roman"/>
                <w:b/>
                <w:bCs/>
                <w:color w:val="auto"/>
                <w:highlight w:val="none"/>
                <w:lang w:val="en-US" w:eastAsia="zh-CN"/>
              </w:rPr>
              <w:t>分级情况</w:t>
            </w:r>
          </w:p>
          <w:tbl>
            <w:tblPr>
              <w:tblStyle w:val="30"/>
              <w:tblW w:w="903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39"/>
              <w:gridCol w:w="1219"/>
              <w:gridCol w:w="1015"/>
              <w:gridCol w:w="971"/>
              <w:gridCol w:w="951"/>
              <w:gridCol w:w="797"/>
              <w:gridCol w:w="975"/>
              <w:gridCol w:w="619"/>
            </w:tblGrid>
            <w:tr w14:paraId="6F5BD6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149" w:type="dxa"/>
                  <w:tcBorders>
                    <w:tl2br w:val="nil"/>
                    <w:tr2bl w:val="nil"/>
                  </w:tcBorders>
                  <w:vAlign w:val="center"/>
                </w:tcPr>
                <w:p w14:paraId="29BBABD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操作场所</w:t>
                  </w:r>
                </w:p>
              </w:tc>
              <w:tc>
                <w:tcPr>
                  <w:tcW w:w="1339" w:type="dxa"/>
                  <w:tcBorders>
                    <w:tl2br w:val="nil"/>
                    <w:tr2bl w:val="nil"/>
                  </w:tcBorders>
                  <w:vAlign w:val="center"/>
                </w:tcPr>
                <w:p w14:paraId="3BD6FA8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核素名称</w:t>
                  </w:r>
                </w:p>
              </w:tc>
              <w:tc>
                <w:tcPr>
                  <w:tcW w:w="1219" w:type="dxa"/>
                  <w:tcBorders>
                    <w:tl2br w:val="nil"/>
                    <w:tr2bl w:val="nil"/>
                  </w:tcBorders>
                  <w:vAlign w:val="center"/>
                </w:tcPr>
                <w:p w14:paraId="2454A33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实际日最大操作量</w:t>
                  </w:r>
                </w:p>
                <w:p w14:paraId="7F041E2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（Bq）</w:t>
                  </w:r>
                </w:p>
              </w:tc>
              <w:tc>
                <w:tcPr>
                  <w:tcW w:w="1015" w:type="dxa"/>
                  <w:tcBorders>
                    <w:tl2br w:val="nil"/>
                    <w:tr2bl w:val="nil"/>
                  </w:tcBorders>
                  <w:vAlign w:val="center"/>
                </w:tcPr>
                <w:p w14:paraId="2A2FA3E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毒性组别</w:t>
                  </w:r>
                </w:p>
              </w:tc>
              <w:tc>
                <w:tcPr>
                  <w:tcW w:w="971" w:type="dxa"/>
                  <w:tcBorders>
                    <w:tl2br w:val="nil"/>
                    <w:tr2bl w:val="nil"/>
                  </w:tcBorders>
                  <w:vAlign w:val="center"/>
                </w:tcPr>
                <w:p w14:paraId="2119A73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毒性组别修正因子</w:t>
                  </w:r>
                </w:p>
              </w:tc>
              <w:tc>
                <w:tcPr>
                  <w:tcW w:w="951" w:type="dxa"/>
                  <w:tcBorders>
                    <w:tl2br w:val="nil"/>
                    <w:tr2bl w:val="nil"/>
                  </w:tcBorders>
                  <w:vAlign w:val="center"/>
                </w:tcPr>
                <w:p w14:paraId="693FDA5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操作方式</w:t>
                  </w:r>
                </w:p>
              </w:tc>
              <w:tc>
                <w:tcPr>
                  <w:tcW w:w="797" w:type="dxa"/>
                  <w:tcBorders>
                    <w:tl2br w:val="nil"/>
                    <w:tr2bl w:val="nil"/>
                  </w:tcBorders>
                  <w:vAlign w:val="center"/>
                </w:tcPr>
                <w:p w14:paraId="5B4470D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操作方式修正因子</w:t>
                  </w:r>
                </w:p>
              </w:tc>
              <w:tc>
                <w:tcPr>
                  <w:tcW w:w="975" w:type="dxa"/>
                  <w:tcBorders>
                    <w:tl2br w:val="nil"/>
                    <w:tr2bl w:val="nil"/>
                  </w:tcBorders>
                  <w:vAlign w:val="center"/>
                </w:tcPr>
                <w:p w14:paraId="77DA19F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日等效（Bq）</w:t>
                  </w:r>
                </w:p>
              </w:tc>
              <w:tc>
                <w:tcPr>
                  <w:tcW w:w="619" w:type="dxa"/>
                  <w:tcBorders>
                    <w:tl2br w:val="nil"/>
                    <w:tr2bl w:val="nil"/>
                  </w:tcBorders>
                  <w:vAlign w:val="center"/>
                </w:tcPr>
                <w:p w14:paraId="6FA4A28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分级</w:t>
                  </w:r>
                </w:p>
              </w:tc>
            </w:tr>
            <w:tr w14:paraId="4C0A64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149" w:type="dxa"/>
                  <w:vMerge w:val="restart"/>
                  <w:tcBorders>
                    <w:tl2br w:val="nil"/>
                    <w:tr2bl w:val="nil"/>
                  </w:tcBorders>
                  <w:vAlign w:val="center"/>
                </w:tcPr>
                <w:p w14:paraId="2645A3F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核医学楼负一层正电子药物生产车间</w:t>
                  </w:r>
                </w:p>
              </w:tc>
              <w:tc>
                <w:tcPr>
                  <w:tcW w:w="1339" w:type="dxa"/>
                  <w:tcBorders>
                    <w:tl2br w:val="nil"/>
                    <w:tr2bl w:val="nil"/>
                  </w:tcBorders>
                  <w:shd w:val="clear" w:color="auto" w:fill="auto"/>
                  <w:vAlign w:val="center"/>
                </w:tcPr>
                <w:p w14:paraId="38FFABF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vertAlign w:val="baseline"/>
                      <w:lang w:val="en-US" w:eastAsia="zh-CN"/>
                    </w:rPr>
                    <w:t>F-18</w:t>
                  </w:r>
                </w:p>
              </w:tc>
              <w:tc>
                <w:tcPr>
                  <w:tcW w:w="1219" w:type="dxa"/>
                  <w:tcBorders>
                    <w:tl2br w:val="nil"/>
                    <w:tr2bl w:val="nil"/>
                  </w:tcBorders>
                  <w:shd w:val="clear" w:color="auto" w:fill="auto"/>
                  <w:vAlign w:val="center"/>
                </w:tcPr>
                <w:p w14:paraId="0B4D3BF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7.40E+10</w:t>
                  </w:r>
                </w:p>
              </w:tc>
              <w:tc>
                <w:tcPr>
                  <w:tcW w:w="1015" w:type="dxa"/>
                  <w:tcBorders>
                    <w:tl2br w:val="nil"/>
                    <w:tr2bl w:val="nil"/>
                  </w:tcBorders>
                  <w:vAlign w:val="center"/>
                </w:tcPr>
                <w:p w14:paraId="391416F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低毒</w:t>
                  </w:r>
                </w:p>
              </w:tc>
              <w:tc>
                <w:tcPr>
                  <w:tcW w:w="971" w:type="dxa"/>
                  <w:tcBorders>
                    <w:tl2br w:val="nil"/>
                    <w:tr2bl w:val="nil"/>
                  </w:tcBorders>
                  <w:vAlign w:val="center"/>
                </w:tcPr>
                <w:p w14:paraId="150DAC6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0.01</w:t>
                  </w:r>
                </w:p>
              </w:tc>
              <w:tc>
                <w:tcPr>
                  <w:tcW w:w="951" w:type="dxa"/>
                  <w:tcBorders>
                    <w:tl2br w:val="nil"/>
                    <w:tr2bl w:val="nil"/>
                  </w:tcBorders>
                  <w:vAlign w:val="center"/>
                </w:tcPr>
                <w:p w14:paraId="56FE4C3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简单操作</w:t>
                  </w:r>
                </w:p>
              </w:tc>
              <w:tc>
                <w:tcPr>
                  <w:tcW w:w="797" w:type="dxa"/>
                  <w:tcBorders>
                    <w:tl2br w:val="nil"/>
                    <w:tr2bl w:val="nil"/>
                  </w:tcBorders>
                  <w:vAlign w:val="center"/>
                </w:tcPr>
                <w:p w14:paraId="082C486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w:t>
                  </w:r>
                </w:p>
              </w:tc>
              <w:tc>
                <w:tcPr>
                  <w:tcW w:w="975" w:type="dxa"/>
                  <w:tcBorders>
                    <w:tl2br w:val="nil"/>
                    <w:tr2bl w:val="nil"/>
                  </w:tcBorders>
                  <w:shd w:val="clear" w:color="auto" w:fill="auto"/>
                  <w:vAlign w:val="center"/>
                </w:tcPr>
                <w:p w14:paraId="63A4217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7.40E+08</w:t>
                  </w:r>
                </w:p>
              </w:tc>
              <w:tc>
                <w:tcPr>
                  <w:tcW w:w="619" w:type="dxa"/>
                  <w:vMerge w:val="restart"/>
                  <w:tcBorders>
                    <w:tl2br w:val="nil"/>
                    <w:tr2bl w:val="nil"/>
                  </w:tcBorders>
                  <w:vAlign w:val="center"/>
                </w:tcPr>
                <w:p w14:paraId="0882342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乙级</w:t>
                  </w:r>
                </w:p>
              </w:tc>
            </w:tr>
            <w:tr w14:paraId="74788A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tcBorders>
                    <w:tl2br w:val="nil"/>
                    <w:tr2bl w:val="nil"/>
                  </w:tcBorders>
                  <w:vAlign w:val="center"/>
                </w:tcPr>
                <w:p w14:paraId="68816C3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p>
              </w:tc>
              <w:tc>
                <w:tcPr>
                  <w:tcW w:w="1339" w:type="dxa"/>
                  <w:tcBorders>
                    <w:tl2br w:val="nil"/>
                    <w:tr2bl w:val="nil"/>
                  </w:tcBorders>
                  <w:shd w:val="clear" w:color="auto" w:fill="auto"/>
                  <w:vAlign w:val="center"/>
                </w:tcPr>
                <w:p w14:paraId="502EA55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Ga-68</w:t>
                  </w:r>
                </w:p>
              </w:tc>
              <w:tc>
                <w:tcPr>
                  <w:tcW w:w="1219" w:type="dxa"/>
                  <w:tcBorders>
                    <w:tl2br w:val="nil"/>
                    <w:tr2bl w:val="nil"/>
                  </w:tcBorders>
                  <w:shd w:val="clear" w:color="auto" w:fill="auto"/>
                  <w:vAlign w:val="center"/>
                </w:tcPr>
                <w:p w14:paraId="1045D57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3.70E+10</w:t>
                  </w:r>
                </w:p>
              </w:tc>
              <w:tc>
                <w:tcPr>
                  <w:tcW w:w="1015" w:type="dxa"/>
                  <w:tcBorders>
                    <w:tl2br w:val="nil"/>
                    <w:tr2bl w:val="nil"/>
                  </w:tcBorders>
                  <w:vAlign w:val="center"/>
                </w:tcPr>
                <w:p w14:paraId="44C0831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低毒</w:t>
                  </w:r>
                </w:p>
              </w:tc>
              <w:tc>
                <w:tcPr>
                  <w:tcW w:w="971" w:type="dxa"/>
                  <w:tcBorders>
                    <w:tl2br w:val="nil"/>
                    <w:tr2bl w:val="nil"/>
                  </w:tcBorders>
                  <w:vAlign w:val="center"/>
                </w:tcPr>
                <w:p w14:paraId="74CA0DF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0.01</w:t>
                  </w:r>
                </w:p>
              </w:tc>
              <w:tc>
                <w:tcPr>
                  <w:tcW w:w="951" w:type="dxa"/>
                  <w:tcBorders>
                    <w:tl2br w:val="nil"/>
                    <w:tr2bl w:val="nil"/>
                  </w:tcBorders>
                  <w:vAlign w:val="center"/>
                </w:tcPr>
                <w:p w14:paraId="105E613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简单操作</w:t>
                  </w:r>
                </w:p>
              </w:tc>
              <w:tc>
                <w:tcPr>
                  <w:tcW w:w="797" w:type="dxa"/>
                  <w:tcBorders>
                    <w:tl2br w:val="nil"/>
                    <w:tr2bl w:val="nil"/>
                  </w:tcBorders>
                  <w:vAlign w:val="center"/>
                </w:tcPr>
                <w:p w14:paraId="093043E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1</w:t>
                  </w:r>
                </w:p>
              </w:tc>
              <w:tc>
                <w:tcPr>
                  <w:tcW w:w="975" w:type="dxa"/>
                  <w:tcBorders>
                    <w:tl2br w:val="nil"/>
                    <w:tr2bl w:val="nil"/>
                  </w:tcBorders>
                  <w:shd w:val="clear" w:color="auto" w:fill="auto"/>
                  <w:vAlign w:val="center"/>
                </w:tcPr>
                <w:p w14:paraId="173D74A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3.70E+08</w:t>
                  </w:r>
                </w:p>
              </w:tc>
              <w:tc>
                <w:tcPr>
                  <w:tcW w:w="619" w:type="dxa"/>
                  <w:vMerge w:val="continue"/>
                  <w:tcBorders>
                    <w:tl2br w:val="nil"/>
                    <w:tr2bl w:val="nil"/>
                  </w:tcBorders>
                  <w:vAlign w:val="center"/>
                </w:tcPr>
                <w:p w14:paraId="4E8A5A5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1BB844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tcBorders>
                    <w:tl2br w:val="nil"/>
                    <w:tr2bl w:val="nil"/>
                  </w:tcBorders>
                  <w:vAlign w:val="center"/>
                </w:tcPr>
                <w:p w14:paraId="536A733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p>
              </w:tc>
              <w:tc>
                <w:tcPr>
                  <w:tcW w:w="1339" w:type="dxa"/>
                  <w:tcBorders>
                    <w:tl2br w:val="nil"/>
                    <w:tr2bl w:val="nil"/>
                  </w:tcBorders>
                  <w:shd w:val="clear" w:color="auto" w:fill="auto"/>
                  <w:vAlign w:val="center"/>
                </w:tcPr>
                <w:p w14:paraId="30F56B5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C-11</w:t>
                  </w:r>
                </w:p>
              </w:tc>
              <w:tc>
                <w:tcPr>
                  <w:tcW w:w="1219" w:type="dxa"/>
                  <w:tcBorders>
                    <w:tl2br w:val="nil"/>
                    <w:tr2bl w:val="nil"/>
                  </w:tcBorders>
                  <w:shd w:val="clear" w:color="auto" w:fill="auto"/>
                  <w:vAlign w:val="center"/>
                </w:tcPr>
                <w:p w14:paraId="13B5ABB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1.48E+10</w:t>
                  </w:r>
                </w:p>
              </w:tc>
              <w:tc>
                <w:tcPr>
                  <w:tcW w:w="1015" w:type="dxa"/>
                  <w:tcBorders>
                    <w:tl2br w:val="nil"/>
                    <w:tr2bl w:val="nil"/>
                  </w:tcBorders>
                  <w:vAlign w:val="center"/>
                </w:tcPr>
                <w:p w14:paraId="6254DE5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低毒</w:t>
                  </w:r>
                </w:p>
              </w:tc>
              <w:tc>
                <w:tcPr>
                  <w:tcW w:w="971" w:type="dxa"/>
                  <w:tcBorders>
                    <w:tl2br w:val="nil"/>
                    <w:tr2bl w:val="nil"/>
                  </w:tcBorders>
                  <w:vAlign w:val="center"/>
                </w:tcPr>
                <w:p w14:paraId="64D765E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0.01</w:t>
                  </w:r>
                </w:p>
              </w:tc>
              <w:tc>
                <w:tcPr>
                  <w:tcW w:w="951" w:type="dxa"/>
                  <w:tcBorders>
                    <w:tl2br w:val="nil"/>
                    <w:tr2bl w:val="nil"/>
                  </w:tcBorders>
                  <w:vAlign w:val="center"/>
                </w:tcPr>
                <w:p w14:paraId="6699D38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简单操作</w:t>
                  </w:r>
                </w:p>
              </w:tc>
              <w:tc>
                <w:tcPr>
                  <w:tcW w:w="797" w:type="dxa"/>
                  <w:tcBorders>
                    <w:tl2br w:val="nil"/>
                    <w:tr2bl w:val="nil"/>
                  </w:tcBorders>
                  <w:vAlign w:val="center"/>
                </w:tcPr>
                <w:p w14:paraId="2552336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1</w:t>
                  </w:r>
                </w:p>
              </w:tc>
              <w:tc>
                <w:tcPr>
                  <w:tcW w:w="975" w:type="dxa"/>
                  <w:tcBorders>
                    <w:tl2br w:val="nil"/>
                    <w:tr2bl w:val="nil"/>
                  </w:tcBorders>
                  <w:shd w:val="clear" w:color="auto" w:fill="auto"/>
                  <w:vAlign w:val="center"/>
                </w:tcPr>
                <w:p w14:paraId="5BEAC4C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1.48E+08</w:t>
                  </w:r>
                </w:p>
              </w:tc>
              <w:tc>
                <w:tcPr>
                  <w:tcW w:w="619" w:type="dxa"/>
                  <w:vMerge w:val="continue"/>
                  <w:tcBorders>
                    <w:tl2br w:val="nil"/>
                    <w:tr2bl w:val="nil"/>
                  </w:tcBorders>
                  <w:vAlign w:val="center"/>
                </w:tcPr>
                <w:p w14:paraId="55C713C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696254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149" w:type="dxa"/>
                  <w:vMerge w:val="continue"/>
                  <w:tcBorders>
                    <w:tl2br w:val="nil"/>
                    <w:tr2bl w:val="nil"/>
                  </w:tcBorders>
                  <w:vAlign w:val="center"/>
                </w:tcPr>
                <w:p w14:paraId="5DE5A79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p>
              </w:tc>
              <w:tc>
                <w:tcPr>
                  <w:tcW w:w="1339" w:type="dxa"/>
                  <w:tcBorders>
                    <w:tl2br w:val="nil"/>
                    <w:tr2bl w:val="nil"/>
                  </w:tcBorders>
                  <w:shd w:val="clear" w:color="auto" w:fill="auto"/>
                  <w:vAlign w:val="center"/>
                </w:tcPr>
                <w:p w14:paraId="1AF448E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N-13</w:t>
                  </w:r>
                </w:p>
              </w:tc>
              <w:tc>
                <w:tcPr>
                  <w:tcW w:w="1219" w:type="dxa"/>
                  <w:tcBorders>
                    <w:tl2br w:val="nil"/>
                    <w:tr2bl w:val="nil"/>
                  </w:tcBorders>
                  <w:shd w:val="clear" w:color="auto" w:fill="auto"/>
                  <w:vAlign w:val="center"/>
                </w:tcPr>
                <w:p w14:paraId="13D8EE2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1.48E+10</w:t>
                  </w:r>
                </w:p>
              </w:tc>
              <w:tc>
                <w:tcPr>
                  <w:tcW w:w="1015" w:type="dxa"/>
                  <w:tcBorders>
                    <w:tl2br w:val="nil"/>
                    <w:tr2bl w:val="nil"/>
                  </w:tcBorders>
                  <w:vAlign w:val="center"/>
                </w:tcPr>
                <w:p w14:paraId="4D35280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低毒</w:t>
                  </w:r>
                </w:p>
              </w:tc>
              <w:tc>
                <w:tcPr>
                  <w:tcW w:w="971" w:type="dxa"/>
                  <w:tcBorders>
                    <w:tl2br w:val="nil"/>
                    <w:tr2bl w:val="nil"/>
                  </w:tcBorders>
                  <w:vAlign w:val="center"/>
                </w:tcPr>
                <w:p w14:paraId="722B5B0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0.01</w:t>
                  </w:r>
                </w:p>
              </w:tc>
              <w:tc>
                <w:tcPr>
                  <w:tcW w:w="951" w:type="dxa"/>
                  <w:tcBorders>
                    <w:tl2br w:val="nil"/>
                    <w:tr2bl w:val="nil"/>
                  </w:tcBorders>
                  <w:vAlign w:val="center"/>
                </w:tcPr>
                <w:p w14:paraId="64A8C15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简单操作</w:t>
                  </w:r>
                </w:p>
              </w:tc>
              <w:tc>
                <w:tcPr>
                  <w:tcW w:w="797" w:type="dxa"/>
                  <w:tcBorders>
                    <w:tl2br w:val="nil"/>
                    <w:tr2bl w:val="nil"/>
                  </w:tcBorders>
                  <w:vAlign w:val="center"/>
                </w:tcPr>
                <w:p w14:paraId="5C76556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1</w:t>
                  </w:r>
                </w:p>
              </w:tc>
              <w:tc>
                <w:tcPr>
                  <w:tcW w:w="975" w:type="dxa"/>
                  <w:tcBorders>
                    <w:tl2br w:val="nil"/>
                    <w:tr2bl w:val="nil"/>
                  </w:tcBorders>
                  <w:shd w:val="clear" w:color="auto" w:fill="auto"/>
                  <w:vAlign w:val="center"/>
                </w:tcPr>
                <w:p w14:paraId="3D76B01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1.48E+08</w:t>
                  </w:r>
                </w:p>
              </w:tc>
              <w:tc>
                <w:tcPr>
                  <w:tcW w:w="619" w:type="dxa"/>
                  <w:vMerge w:val="continue"/>
                  <w:tcBorders>
                    <w:tl2br w:val="nil"/>
                    <w:tr2bl w:val="nil"/>
                  </w:tcBorders>
                  <w:vAlign w:val="center"/>
                </w:tcPr>
                <w:p w14:paraId="632DDC5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0999DC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441" w:type="dxa"/>
                  <w:gridSpan w:val="7"/>
                </w:tcPr>
                <w:p w14:paraId="63ADD96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合计</w:t>
                  </w:r>
                </w:p>
              </w:tc>
              <w:tc>
                <w:tcPr>
                  <w:tcW w:w="975" w:type="dxa"/>
                  <w:shd w:val="clear" w:color="auto" w:fill="auto"/>
                  <w:vAlign w:val="center"/>
                </w:tcPr>
                <w:p w14:paraId="34D83C8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1.41E+09</w:t>
                  </w:r>
                </w:p>
              </w:tc>
              <w:tc>
                <w:tcPr>
                  <w:tcW w:w="619" w:type="dxa"/>
                  <w:vMerge w:val="continue"/>
                </w:tcPr>
                <w:p w14:paraId="5E3DFCA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bl>
          <w:p w14:paraId="29F792A5">
            <w:pPr>
              <w:keepNext w:val="0"/>
              <w:keepLines w:val="0"/>
              <w:suppressLineNumbers w:val="0"/>
              <w:spacing w:before="0" w:beforeAutospacing="0" w:after="0" w:afterAutospacing="0"/>
              <w:ind w:left="0" w:right="0"/>
              <w:jc w:val="both"/>
              <w:rPr>
                <w:rFonts w:hint="default" w:ascii="Times New Roman" w:hAnsi="Times New Roman" w:eastAsia="宋体" w:cs="Times New Roman"/>
                <w:b/>
                <w:bCs/>
                <w:color w:val="auto"/>
                <w:sz w:val="20"/>
                <w:szCs w:val="18"/>
                <w:highlight w:val="none"/>
                <w:lang w:val="en-US" w:eastAsia="zh-CN"/>
              </w:rPr>
            </w:pPr>
            <w:r>
              <w:rPr>
                <w:rFonts w:hint="default" w:ascii="Times New Roman" w:hAnsi="Times New Roman" w:cs="Times New Roman"/>
                <w:b/>
                <w:bCs/>
                <w:color w:val="auto"/>
                <w:sz w:val="20"/>
                <w:szCs w:val="18"/>
                <w:highlight w:val="none"/>
                <w:lang w:val="en-US" w:eastAsia="zh-CN"/>
              </w:rPr>
              <w:t>注：放射性药品生产中，分装、标记等活动视为“简单操作”。</w:t>
            </w:r>
          </w:p>
          <w:p w14:paraId="6D4FF65C">
            <w:pPr>
              <w:keepNext w:val="0"/>
              <w:keepLines w:val="0"/>
              <w:suppressLineNumbers w:val="0"/>
              <w:spacing w:before="0" w:beforeLines="0" w:beforeAutospacing="0" w:after="0" w:afterLines="0" w:afterAutospacing="0"/>
              <w:ind w:left="0" w:right="0" w:firstLine="482" w:firstLineChars="200"/>
              <w:jc w:val="center"/>
              <w:rPr>
                <w:rFonts w:hint="default" w:ascii="Times New Roman" w:hAnsi="Times New Roman" w:cs="Times New Roman"/>
                <w:b/>
                <w:color w:val="auto"/>
                <w:sz w:val="24"/>
                <w:szCs w:val="22"/>
                <w:highlight w:val="none"/>
              </w:rPr>
            </w:pPr>
            <w:r>
              <w:rPr>
                <w:rFonts w:hint="default" w:ascii="Times New Roman" w:hAnsi="Times New Roman" w:eastAsia="宋体" w:cs="Times New Roman"/>
                <w:b/>
                <w:color w:val="auto"/>
                <w:sz w:val="24"/>
                <w:szCs w:val="22"/>
                <w:highlight w:val="none"/>
              </w:rPr>
              <w:t>表10-</w:t>
            </w:r>
            <w:r>
              <w:rPr>
                <w:rFonts w:hint="eastAsia" w:cs="Times New Roman"/>
                <w:b/>
                <w:color w:val="auto"/>
                <w:sz w:val="24"/>
                <w:szCs w:val="22"/>
                <w:highlight w:val="none"/>
                <w:lang w:val="en-US" w:eastAsia="zh-CN"/>
              </w:rPr>
              <w:t>5</w:t>
            </w:r>
            <w:r>
              <w:rPr>
                <w:rFonts w:hint="default" w:ascii="Times New Roman" w:hAnsi="Times New Roman" w:eastAsia="宋体" w:cs="Times New Roman"/>
                <w:b/>
                <w:color w:val="auto"/>
                <w:sz w:val="24"/>
                <w:szCs w:val="22"/>
                <w:highlight w:val="none"/>
              </w:rPr>
              <w:t xml:space="preserve">  </w:t>
            </w:r>
            <w:r>
              <w:rPr>
                <w:rFonts w:hint="default" w:ascii="Times New Roman" w:hAnsi="Times New Roman" w:eastAsia="宋体" w:cs="Times New Roman"/>
                <w:b/>
                <w:color w:val="auto"/>
                <w:sz w:val="24"/>
                <w:szCs w:val="22"/>
                <w:highlight w:val="none"/>
                <w:lang w:val="en-US" w:eastAsia="en-US"/>
              </w:rPr>
              <w:t>核医学楼二层PET诊断区</w:t>
            </w:r>
            <w:r>
              <w:rPr>
                <w:rFonts w:hint="default" w:ascii="Times New Roman" w:hAnsi="Times New Roman" w:eastAsia="宋体" w:cs="Times New Roman"/>
                <w:b/>
                <w:color w:val="auto"/>
                <w:sz w:val="24"/>
                <w:szCs w:val="22"/>
                <w:highlight w:val="none"/>
              </w:rPr>
              <w:t>分级情况</w:t>
            </w:r>
          </w:p>
          <w:tbl>
            <w:tblPr>
              <w:tblStyle w:val="22"/>
              <w:tblW w:w="903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39"/>
              <w:gridCol w:w="1219"/>
              <w:gridCol w:w="1015"/>
              <w:gridCol w:w="971"/>
              <w:gridCol w:w="951"/>
              <w:gridCol w:w="797"/>
              <w:gridCol w:w="975"/>
              <w:gridCol w:w="619"/>
            </w:tblGrid>
            <w:tr w14:paraId="177A22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149" w:type="dxa"/>
                  <w:tcBorders>
                    <w:top w:val="single" w:color="000000" w:sz="12" w:space="0"/>
                    <w:left w:val="single" w:color="000000" w:sz="12" w:space="0"/>
                    <w:bottom w:val="single" w:color="000000" w:sz="4" w:space="0"/>
                    <w:right w:val="single" w:color="000000" w:sz="4" w:space="0"/>
                    <w:tl2br w:val="nil"/>
                    <w:tr2bl w:val="nil"/>
                  </w:tcBorders>
                  <w:noWrap w:val="0"/>
                  <w:vAlign w:val="center"/>
                </w:tcPr>
                <w:p w14:paraId="7A08CDA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操作场所</w:t>
                  </w:r>
                </w:p>
              </w:tc>
              <w:tc>
                <w:tcPr>
                  <w:tcW w:w="1339"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69953FB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核素名称</w:t>
                  </w:r>
                </w:p>
              </w:tc>
              <w:tc>
                <w:tcPr>
                  <w:tcW w:w="1219"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1E208C2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实际日最大操作量</w:t>
                  </w:r>
                </w:p>
                <w:p w14:paraId="22F6074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（Bq）</w:t>
                  </w:r>
                </w:p>
              </w:tc>
              <w:tc>
                <w:tcPr>
                  <w:tcW w:w="1015"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287D736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毒性组别</w:t>
                  </w:r>
                </w:p>
              </w:tc>
              <w:tc>
                <w:tcPr>
                  <w:tcW w:w="971"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573DE9D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毒性组别修正因子</w:t>
                  </w:r>
                </w:p>
              </w:tc>
              <w:tc>
                <w:tcPr>
                  <w:tcW w:w="951"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77D56AB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操作方式</w:t>
                  </w:r>
                </w:p>
              </w:tc>
              <w:tc>
                <w:tcPr>
                  <w:tcW w:w="797"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0BAB654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操作方式修正因子</w:t>
                  </w:r>
                </w:p>
              </w:tc>
              <w:tc>
                <w:tcPr>
                  <w:tcW w:w="975" w:type="dxa"/>
                  <w:tcBorders>
                    <w:top w:val="single" w:color="000000" w:sz="12" w:space="0"/>
                    <w:left w:val="single" w:color="000000" w:sz="4" w:space="0"/>
                    <w:bottom w:val="single" w:color="000000" w:sz="4" w:space="0"/>
                    <w:right w:val="single" w:color="000000" w:sz="4" w:space="0"/>
                    <w:tl2br w:val="nil"/>
                    <w:tr2bl w:val="nil"/>
                  </w:tcBorders>
                  <w:noWrap w:val="0"/>
                  <w:vAlign w:val="center"/>
                </w:tcPr>
                <w:p w14:paraId="10DA98E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日等效（Bq）</w:t>
                  </w:r>
                </w:p>
              </w:tc>
              <w:tc>
                <w:tcPr>
                  <w:tcW w:w="619" w:type="dxa"/>
                  <w:tcBorders>
                    <w:top w:val="single" w:color="000000" w:sz="12" w:space="0"/>
                    <w:left w:val="single" w:color="000000" w:sz="4" w:space="0"/>
                    <w:bottom w:val="single" w:color="000000" w:sz="4" w:space="0"/>
                    <w:right w:val="single" w:color="000000" w:sz="12" w:space="0"/>
                    <w:tl2br w:val="nil"/>
                    <w:tr2bl w:val="nil"/>
                  </w:tcBorders>
                  <w:noWrap w:val="0"/>
                  <w:vAlign w:val="center"/>
                </w:tcPr>
                <w:p w14:paraId="126D4A8A">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分级</w:t>
                  </w:r>
                </w:p>
              </w:tc>
            </w:tr>
            <w:tr w14:paraId="29BEBE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149" w:type="dxa"/>
                  <w:vMerge w:val="restart"/>
                  <w:tcBorders>
                    <w:top w:val="single" w:color="000000" w:sz="4" w:space="0"/>
                    <w:left w:val="single" w:color="000000" w:sz="12" w:space="0"/>
                    <w:bottom w:val="single" w:color="000000" w:sz="4" w:space="0"/>
                    <w:right w:val="single" w:color="000000" w:sz="4" w:space="0"/>
                    <w:tl2br w:val="nil"/>
                    <w:tr2bl w:val="nil"/>
                  </w:tcBorders>
                  <w:noWrap w:val="0"/>
                  <w:vAlign w:val="center"/>
                </w:tcPr>
                <w:p w14:paraId="5263CA6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核医学楼二层PET诊断区</w:t>
                  </w:r>
                </w:p>
              </w:tc>
              <w:tc>
                <w:tcPr>
                  <w:tcW w:w="133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1916C1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vertAlign w:val="baseline"/>
                      <w:lang w:val="en-US" w:eastAsia="zh-CN"/>
                    </w:rPr>
                    <w:t>F-18</w:t>
                  </w:r>
                </w:p>
              </w:tc>
              <w:tc>
                <w:tcPr>
                  <w:tcW w:w="121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2347B5C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3.70E+10</w:t>
                  </w:r>
                </w:p>
              </w:tc>
              <w:tc>
                <w:tcPr>
                  <w:tcW w:w="101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EFA1E2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低毒</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8EBAFF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0.01</w:t>
                  </w:r>
                </w:p>
              </w:tc>
              <w:tc>
                <w:tcPr>
                  <w:tcW w:w="9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B301F4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很简单操作</w:t>
                  </w:r>
                </w:p>
              </w:tc>
              <w:tc>
                <w:tcPr>
                  <w:tcW w:w="79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7F6DA3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10</w:t>
                  </w:r>
                </w:p>
              </w:tc>
              <w:tc>
                <w:tcPr>
                  <w:tcW w:w="97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CE578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3.70E+07</w:t>
                  </w:r>
                </w:p>
              </w:tc>
              <w:tc>
                <w:tcPr>
                  <w:tcW w:w="619" w:type="dxa"/>
                  <w:vMerge w:val="restart"/>
                  <w:tcBorders>
                    <w:top w:val="single" w:color="000000" w:sz="4" w:space="0"/>
                    <w:left w:val="single" w:color="000000" w:sz="4" w:space="0"/>
                    <w:bottom w:val="single" w:color="000000" w:sz="4" w:space="0"/>
                    <w:right w:val="single" w:color="000000" w:sz="12" w:space="0"/>
                    <w:tl2br w:val="nil"/>
                    <w:tr2bl w:val="nil"/>
                  </w:tcBorders>
                  <w:noWrap w:val="0"/>
                  <w:vAlign w:val="center"/>
                </w:tcPr>
                <w:p w14:paraId="5AFAB228">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乙级</w:t>
                  </w:r>
                </w:p>
              </w:tc>
            </w:tr>
            <w:tr w14:paraId="707E2B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tcBorders>
                    <w:top w:val="single" w:color="000000" w:sz="4" w:space="0"/>
                    <w:left w:val="single" w:color="000000" w:sz="12" w:space="0"/>
                    <w:bottom w:val="single" w:color="000000" w:sz="4" w:space="0"/>
                    <w:right w:val="single" w:color="000000" w:sz="4" w:space="0"/>
                    <w:tl2br w:val="nil"/>
                    <w:tr2bl w:val="nil"/>
                  </w:tcBorders>
                  <w:noWrap w:val="0"/>
                  <w:vAlign w:val="center"/>
                </w:tcPr>
                <w:p w14:paraId="796E8E4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p>
              </w:tc>
              <w:tc>
                <w:tcPr>
                  <w:tcW w:w="133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74503F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Ga-68</w:t>
                  </w:r>
                </w:p>
              </w:tc>
              <w:tc>
                <w:tcPr>
                  <w:tcW w:w="121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70B726E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1.85E+10</w:t>
                  </w:r>
                </w:p>
              </w:tc>
              <w:tc>
                <w:tcPr>
                  <w:tcW w:w="101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0EC2FC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低毒</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7D1FD0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0.01</w:t>
                  </w:r>
                </w:p>
              </w:tc>
              <w:tc>
                <w:tcPr>
                  <w:tcW w:w="9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7534462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很简单操作</w:t>
                  </w:r>
                </w:p>
              </w:tc>
              <w:tc>
                <w:tcPr>
                  <w:tcW w:w="79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8F9016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10</w:t>
                  </w:r>
                </w:p>
              </w:tc>
              <w:tc>
                <w:tcPr>
                  <w:tcW w:w="97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BE3CAB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1.85E+07</w:t>
                  </w:r>
                </w:p>
              </w:tc>
              <w:tc>
                <w:tcPr>
                  <w:tcW w:w="619" w:type="dxa"/>
                  <w:vMerge w:val="continue"/>
                  <w:tcBorders>
                    <w:top w:val="single" w:color="000000" w:sz="4" w:space="0"/>
                    <w:left w:val="single" w:color="000000" w:sz="4" w:space="0"/>
                    <w:bottom w:val="single" w:color="000000" w:sz="4" w:space="0"/>
                    <w:right w:val="single" w:color="000000" w:sz="12" w:space="0"/>
                    <w:tl2br w:val="nil"/>
                    <w:tr2bl w:val="nil"/>
                  </w:tcBorders>
                  <w:noWrap w:val="0"/>
                  <w:vAlign w:val="center"/>
                </w:tcPr>
                <w:p w14:paraId="10CE0AC8">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eastAsia="宋体" w:cs="Times New Roman"/>
                      <w:color w:val="auto"/>
                      <w:sz w:val="21"/>
                      <w:szCs w:val="21"/>
                      <w:highlight w:val="none"/>
                    </w:rPr>
                  </w:pPr>
                </w:p>
              </w:tc>
            </w:tr>
            <w:tr w14:paraId="260AB8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tcBorders>
                    <w:top w:val="single" w:color="000000" w:sz="4" w:space="0"/>
                    <w:left w:val="single" w:color="000000" w:sz="12" w:space="0"/>
                    <w:bottom w:val="single" w:color="000000" w:sz="4" w:space="0"/>
                    <w:right w:val="single" w:color="000000" w:sz="4" w:space="0"/>
                    <w:tl2br w:val="nil"/>
                    <w:tr2bl w:val="nil"/>
                  </w:tcBorders>
                  <w:noWrap w:val="0"/>
                  <w:vAlign w:val="center"/>
                </w:tcPr>
                <w:p w14:paraId="0CD2E90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p>
              </w:tc>
              <w:tc>
                <w:tcPr>
                  <w:tcW w:w="133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8C4CFA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C-11</w:t>
                  </w:r>
                </w:p>
              </w:tc>
              <w:tc>
                <w:tcPr>
                  <w:tcW w:w="121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362B37F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7.40E+09</w:t>
                  </w:r>
                </w:p>
              </w:tc>
              <w:tc>
                <w:tcPr>
                  <w:tcW w:w="101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AE8A7B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低毒</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05CBB7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0.01</w:t>
                  </w:r>
                </w:p>
              </w:tc>
              <w:tc>
                <w:tcPr>
                  <w:tcW w:w="9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107DB2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很简单操作</w:t>
                  </w:r>
                </w:p>
              </w:tc>
              <w:tc>
                <w:tcPr>
                  <w:tcW w:w="79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34FF694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10</w:t>
                  </w:r>
                </w:p>
              </w:tc>
              <w:tc>
                <w:tcPr>
                  <w:tcW w:w="97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8123D2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7.40E+06</w:t>
                  </w:r>
                </w:p>
              </w:tc>
              <w:tc>
                <w:tcPr>
                  <w:tcW w:w="619" w:type="dxa"/>
                  <w:vMerge w:val="continue"/>
                  <w:tcBorders>
                    <w:top w:val="single" w:color="000000" w:sz="4" w:space="0"/>
                    <w:left w:val="single" w:color="000000" w:sz="4" w:space="0"/>
                    <w:bottom w:val="single" w:color="000000" w:sz="4" w:space="0"/>
                    <w:right w:val="single" w:color="000000" w:sz="12" w:space="0"/>
                    <w:tl2br w:val="nil"/>
                    <w:tr2bl w:val="nil"/>
                  </w:tcBorders>
                  <w:noWrap w:val="0"/>
                  <w:vAlign w:val="center"/>
                </w:tcPr>
                <w:p w14:paraId="38BBD916">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eastAsia="宋体" w:cs="Times New Roman"/>
                      <w:color w:val="auto"/>
                      <w:sz w:val="21"/>
                      <w:szCs w:val="21"/>
                      <w:highlight w:val="none"/>
                    </w:rPr>
                  </w:pPr>
                </w:p>
              </w:tc>
            </w:tr>
            <w:tr w14:paraId="500544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149" w:type="dxa"/>
                  <w:vMerge w:val="continue"/>
                  <w:tcBorders>
                    <w:top w:val="single" w:color="000000" w:sz="4" w:space="0"/>
                    <w:left w:val="single" w:color="000000" w:sz="12" w:space="0"/>
                    <w:bottom w:val="single" w:color="000000" w:sz="4" w:space="0"/>
                    <w:right w:val="single" w:color="000000" w:sz="4" w:space="0"/>
                    <w:tl2br w:val="nil"/>
                    <w:tr2bl w:val="nil"/>
                  </w:tcBorders>
                  <w:noWrap w:val="0"/>
                  <w:vAlign w:val="center"/>
                </w:tcPr>
                <w:p w14:paraId="641F9FB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p>
              </w:tc>
              <w:tc>
                <w:tcPr>
                  <w:tcW w:w="1339"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692C9D7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N-13</w:t>
                  </w:r>
                </w:p>
              </w:tc>
              <w:tc>
                <w:tcPr>
                  <w:tcW w:w="121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0"/>
                  <w:vAlign w:val="center"/>
                </w:tcPr>
                <w:p w14:paraId="206A6F2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7.40E+09</w:t>
                  </w:r>
                </w:p>
              </w:tc>
              <w:tc>
                <w:tcPr>
                  <w:tcW w:w="101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4BEB89D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低毒</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04162C8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0.01</w:t>
                  </w:r>
                </w:p>
              </w:tc>
              <w:tc>
                <w:tcPr>
                  <w:tcW w:w="951"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6708AE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8"/>
                      <w:szCs w:val="18"/>
                      <w:highlight w:val="none"/>
                      <w:lang w:val="en-US" w:eastAsia="en-US"/>
                    </w:rPr>
                  </w:pPr>
                  <w:r>
                    <w:rPr>
                      <w:rFonts w:hint="default" w:ascii="Times New Roman" w:hAnsi="Times New Roman" w:eastAsia="宋体" w:cs="Times New Roman"/>
                      <w:color w:val="auto"/>
                      <w:kern w:val="0"/>
                      <w:sz w:val="18"/>
                      <w:szCs w:val="18"/>
                      <w:highlight w:val="none"/>
                      <w:lang w:val="en-US" w:eastAsia="zh-CN"/>
                    </w:rPr>
                    <w:t>很简单操作</w:t>
                  </w:r>
                </w:p>
              </w:tc>
              <w:tc>
                <w:tcPr>
                  <w:tcW w:w="797"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514AF12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10</w:t>
                  </w:r>
                </w:p>
              </w:tc>
              <w:tc>
                <w:tcPr>
                  <w:tcW w:w="975"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1E70D68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7.40E+06</w:t>
                  </w:r>
                </w:p>
              </w:tc>
              <w:tc>
                <w:tcPr>
                  <w:tcW w:w="619" w:type="dxa"/>
                  <w:vMerge w:val="continue"/>
                  <w:tcBorders>
                    <w:top w:val="single" w:color="000000" w:sz="4" w:space="0"/>
                    <w:left w:val="single" w:color="000000" w:sz="4" w:space="0"/>
                    <w:bottom w:val="single" w:color="000000" w:sz="4" w:space="0"/>
                    <w:right w:val="single" w:color="000000" w:sz="12" w:space="0"/>
                    <w:tl2br w:val="nil"/>
                    <w:tr2bl w:val="nil"/>
                  </w:tcBorders>
                  <w:noWrap w:val="0"/>
                  <w:vAlign w:val="center"/>
                </w:tcPr>
                <w:p w14:paraId="053745F2">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eastAsia="宋体" w:cs="Times New Roman"/>
                      <w:color w:val="auto"/>
                      <w:sz w:val="21"/>
                      <w:szCs w:val="21"/>
                      <w:highlight w:val="none"/>
                    </w:rPr>
                  </w:pPr>
                </w:p>
              </w:tc>
            </w:tr>
            <w:tr w14:paraId="259153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441" w:type="dxa"/>
                  <w:gridSpan w:val="7"/>
                  <w:tcBorders>
                    <w:top w:val="single" w:color="000000" w:sz="4" w:space="0"/>
                    <w:left w:val="single" w:color="000000" w:sz="12" w:space="0"/>
                    <w:bottom w:val="single" w:color="000000" w:sz="12" w:space="0"/>
                    <w:right w:val="single" w:color="000000" w:sz="4" w:space="0"/>
                    <w:tl2br w:val="nil"/>
                    <w:tr2bl w:val="nil"/>
                  </w:tcBorders>
                  <w:noWrap w:val="0"/>
                  <w:vAlign w:val="top"/>
                </w:tcPr>
                <w:p w14:paraId="729A283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合计</w:t>
                  </w:r>
                </w:p>
              </w:tc>
              <w:tc>
                <w:tcPr>
                  <w:tcW w:w="975" w:type="dxa"/>
                  <w:tcBorders>
                    <w:top w:val="single" w:color="000000" w:sz="4" w:space="0"/>
                    <w:left w:val="single" w:color="000000" w:sz="4" w:space="0"/>
                    <w:bottom w:val="single" w:color="000000" w:sz="12" w:space="0"/>
                    <w:right w:val="single" w:color="000000" w:sz="4" w:space="0"/>
                    <w:tl2br w:val="nil"/>
                    <w:tr2bl w:val="nil"/>
                  </w:tcBorders>
                  <w:noWrap w:val="0"/>
                  <w:vAlign w:val="center"/>
                </w:tcPr>
                <w:p w14:paraId="6DECBFA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7.03E+07</w:t>
                  </w:r>
                </w:p>
              </w:tc>
              <w:tc>
                <w:tcPr>
                  <w:tcW w:w="619" w:type="dxa"/>
                  <w:vMerge w:val="continue"/>
                  <w:tcBorders>
                    <w:top w:val="single" w:color="000000" w:sz="4" w:space="0"/>
                    <w:left w:val="single" w:color="000000" w:sz="4" w:space="0"/>
                    <w:bottom w:val="single" w:color="000000" w:sz="12" w:space="0"/>
                    <w:right w:val="single" w:color="000000" w:sz="12" w:space="0"/>
                    <w:tl2br w:val="nil"/>
                    <w:tr2bl w:val="nil"/>
                  </w:tcBorders>
                  <w:noWrap w:val="0"/>
                  <w:vAlign w:val="top"/>
                </w:tcPr>
                <w:p w14:paraId="0C1768A5">
                  <w:pPr>
                    <w:pStyle w:val="32"/>
                    <w:keepNext w:val="0"/>
                    <w:keepLines w:val="0"/>
                    <w:suppressLineNumbers w:val="0"/>
                    <w:spacing w:before="20" w:beforeLines="0" w:beforeAutospacing="0" w:after="0" w:afterLines="0" w:afterAutospacing="0"/>
                    <w:ind w:left="0" w:right="0"/>
                    <w:jc w:val="center"/>
                    <w:rPr>
                      <w:rFonts w:hint="default" w:ascii="Times New Roman" w:hAnsi="Times New Roman" w:eastAsia="宋体" w:cs="Times New Roman"/>
                      <w:color w:val="auto"/>
                      <w:sz w:val="21"/>
                      <w:szCs w:val="21"/>
                      <w:highlight w:val="none"/>
                    </w:rPr>
                  </w:pPr>
                </w:p>
              </w:tc>
            </w:tr>
          </w:tbl>
          <w:p w14:paraId="42B5B493">
            <w:pPr>
              <w:keepNext w:val="0"/>
              <w:keepLines w:val="0"/>
              <w:suppressLineNumbers w:val="0"/>
              <w:spacing w:before="0" w:beforeAutospacing="0" w:after="0" w:afterAutospacing="0"/>
              <w:ind w:left="0" w:right="0"/>
              <w:jc w:val="both"/>
              <w:rPr>
                <w:rFonts w:hint="default" w:ascii="Times New Roman" w:hAnsi="Times New Roman" w:eastAsia="宋体" w:cs="Times New Roman"/>
                <w:b/>
                <w:bCs/>
                <w:color w:val="auto"/>
                <w:sz w:val="21"/>
                <w:szCs w:val="20"/>
                <w:highlight w:val="none"/>
                <w:lang w:val="en-US" w:eastAsia="zh-CN"/>
              </w:rPr>
            </w:pPr>
            <w:r>
              <w:rPr>
                <w:rFonts w:hint="default" w:ascii="Times New Roman" w:hAnsi="Times New Roman" w:cs="Times New Roman"/>
                <w:b/>
                <w:bCs/>
                <w:color w:val="auto"/>
                <w:sz w:val="21"/>
                <w:szCs w:val="20"/>
                <w:highlight w:val="none"/>
                <w:lang w:val="en-US" w:eastAsia="zh-CN"/>
              </w:rPr>
              <w:t>注：医疗机构使用</w:t>
            </w:r>
            <w:r>
              <w:rPr>
                <w:rFonts w:hint="eastAsia" w:cs="Times New Roman"/>
                <w:b/>
                <w:bCs/>
                <w:color w:val="auto"/>
                <w:sz w:val="21"/>
                <w:szCs w:val="20"/>
                <w:highlight w:val="none"/>
                <w:vertAlign w:val="baseline"/>
                <w:lang w:val="en-US" w:eastAsia="zh-CN"/>
              </w:rPr>
              <w:t>F-18</w:t>
            </w:r>
            <w:r>
              <w:rPr>
                <w:rFonts w:hint="default" w:ascii="Times New Roman" w:hAnsi="Times New Roman" w:cs="Times New Roman"/>
                <w:b/>
                <w:bCs/>
                <w:color w:val="auto"/>
                <w:sz w:val="21"/>
                <w:szCs w:val="20"/>
                <w:highlight w:val="none"/>
                <w:lang w:val="en-US" w:eastAsia="zh-CN"/>
              </w:rPr>
              <w:t>相关活动视为“很简单的操作”。</w:t>
            </w:r>
          </w:p>
          <w:p w14:paraId="656F3C58">
            <w:pPr>
              <w:keepNext w:val="0"/>
              <w:keepLines w:val="0"/>
              <w:suppressLineNumbers w:val="0"/>
              <w:spacing w:before="0" w:beforeAutospacing="0" w:after="0" w:afterAutospacing="0"/>
              <w:ind w:left="0" w:right="0"/>
              <w:jc w:val="both"/>
              <w:rPr>
                <w:rFonts w:hint="default" w:ascii="Times New Roman" w:hAnsi="Times New Roman" w:cs="Times New Roman"/>
                <w:color w:val="auto"/>
                <w:highlight w:val="none"/>
              </w:rPr>
            </w:pPr>
          </w:p>
          <w:p w14:paraId="33AB4C29">
            <w:pPr>
              <w:keepNext w:val="0"/>
              <w:keepLines w:val="0"/>
              <w:suppressLineNumbers w:val="0"/>
              <w:autoSpaceDE w:val="0"/>
              <w:autoSpaceDN w:val="0"/>
              <w:bidi w:val="0"/>
              <w:spacing w:before="0" w:beforeAutospacing="0" w:after="0" w:afterAutospacing="0"/>
              <w:ind w:left="0" w:right="0" w:firstLine="482" w:firstLineChars="200"/>
              <w:jc w:val="center"/>
              <w:rPr>
                <w:rFonts w:hint="default" w:ascii="Times New Roman" w:hAnsi="Times New Roman" w:eastAsia="宋体" w:cs="Times New Roman"/>
                <w:b/>
                <w:bCs/>
                <w:color w:val="auto"/>
                <w:kern w:val="0"/>
                <w:szCs w:val="22"/>
                <w:highlight w:val="none"/>
                <w:lang w:val="en-US" w:eastAsia="zh-CN"/>
              </w:rPr>
            </w:pPr>
            <w:r>
              <w:rPr>
                <w:rFonts w:hint="default" w:ascii="Times New Roman" w:hAnsi="Times New Roman" w:eastAsia="宋体" w:cs="Times New Roman"/>
                <w:b/>
                <w:bCs/>
                <w:color w:val="auto"/>
                <w:kern w:val="0"/>
                <w:szCs w:val="22"/>
                <w:highlight w:val="none"/>
                <w:lang w:val="en-US" w:eastAsia="zh-CN"/>
              </w:rPr>
              <w:t>表10-</w:t>
            </w:r>
            <w:r>
              <w:rPr>
                <w:rFonts w:hint="eastAsia" w:cs="Times New Roman"/>
                <w:b/>
                <w:bCs/>
                <w:color w:val="auto"/>
                <w:kern w:val="0"/>
                <w:szCs w:val="22"/>
                <w:highlight w:val="none"/>
                <w:lang w:val="en-US" w:eastAsia="zh-CN"/>
              </w:rPr>
              <w:t>6</w:t>
            </w:r>
            <w:r>
              <w:rPr>
                <w:rFonts w:hint="default" w:ascii="Times New Roman" w:hAnsi="Times New Roman" w:eastAsia="宋体" w:cs="Times New Roman"/>
                <w:b/>
                <w:bCs/>
                <w:color w:val="auto"/>
                <w:kern w:val="0"/>
                <w:szCs w:val="22"/>
                <w:highlight w:val="none"/>
                <w:lang w:val="en-US" w:eastAsia="zh-CN"/>
              </w:rPr>
              <w:t xml:space="preserve">  </w:t>
            </w:r>
            <w:r>
              <w:rPr>
                <w:rFonts w:hint="default" w:ascii="Times New Roman" w:hAnsi="Times New Roman" w:eastAsia="宋体" w:cs="Times New Roman"/>
                <w:b/>
                <w:bCs/>
                <w:color w:val="auto"/>
                <w:kern w:val="0"/>
                <w:szCs w:val="22"/>
                <w:highlight w:val="none"/>
                <w:lang w:val="en-US" w:eastAsia="en-US"/>
              </w:rPr>
              <w:t>核医学楼负一层单光子药物生产车间</w:t>
            </w:r>
            <w:r>
              <w:rPr>
                <w:rFonts w:hint="default" w:ascii="Times New Roman" w:hAnsi="Times New Roman" w:eastAsia="宋体" w:cs="Times New Roman"/>
                <w:b/>
                <w:bCs/>
                <w:color w:val="auto"/>
                <w:kern w:val="0"/>
                <w:szCs w:val="22"/>
                <w:highlight w:val="none"/>
                <w:lang w:val="en-US" w:eastAsia="zh-CN"/>
              </w:rPr>
              <w:t>分级情况</w:t>
            </w:r>
          </w:p>
          <w:tbl>
            <w:tblPr>
              <w:tblStyle w:val="30"/>
              <w:tblW w:w="903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39"/>
              <w:gridCol w:w="1219"/>
              <w:gridCol w:w="545"/>
              <w:gridCol w:w="1173"/>
              <w:gridCol w:w="1219"/>
              <w:gridCol w:w="797"/>
              <w:gridCol w:w="975"/>
              <w:gridCol w:w="619"/>
            </w:tblGrid>
            <w:tr w14:paraId="24E9E8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149" w:type="dxa"/>
                  <w:tcBorders>
                    <w:tl2br w:val="nil"/>
                    <w:tr2bl w:val="nil"/>
                  </w:tcBorders>
                  <w:vAlign w:val="center"/>
                </w:tcPr>
                <w:p w14:paraId="5DBAA6BA">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操作场所</w:t>
                  </w:r>
                </w:p>
              </w:tc>
              <w:tc>
                <w:tcPr>
                  <w:tcW w:w="1339" w:type="dxa"/>
                  <w:tcBorders>
                    <w:tl2br w:val="nil"/>
                    <w:tr2bl w:val="nil"/>
                  </w:tcBorders>
                  <w:vAlign w:val="center"/>
                </w:tcPr>
                <w:p w14:paraId="74853203">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核素名称</w:t>
                  </w:r>
                </w:p>
              </w:tc>
              <w:tc>
                <w:tcPr>
                  <w:tcW w:w="1219" w:type="dxa"/>
                  <w:tcBorders>
                    <w:tl2br w:val="nil"/>
                    <w:tr2bl w:val="nil"/>
                  </w:tcBorders>
                  <w:vAlign w:val="center"/>
                </w:tcPr>
                <w:p w14:paraId="5588A36C">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实际日最大操作量</w:t>
                  </w:r>
                </w:p>
                <w:p w14:paraId="448B78C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（Bq）</w:t>
                  </w:r>
                </w:p>
              </w:tc>
              <w:tc>
                <w:tcPr>
                  <w:tcW w:w="545" w:type="dxa"/>
                  <w:tcBorders>
                    <w:tl2br w:val="nil"/>
                    <w:tr2bl w:val="nil"/>
                  </w:tcBorders>
                  <w:vAlign w:val="center"/>
                </w:tcPr>
                <w:p w14:paraId="04400D0D">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毒性组别</w:t>
                  </w:r>
                </w:p>
              </w:tc>
              <w:tc>
                <w:tcPr>
                  <w:tcW w:w="1173" w:type="dxa"/>
                  <w:tcBorders>
                    <w:tl2br w:val="nil"/>
                    <w:tr2bl w:val="nil"/>
                  </w:tcBorders>
                  <w:vAlign w:val="center"/>
                </w:tcPr>
                <w:p w14:paraId="2885D63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毒性组别修正因子</w:t>
                  </w:r>
                </w:p>
              </w:tc>
              <w:tc>
                <w:tcPr>
                  <w:tcW w:w="1219" w:type="dxa"/>
                  <w:tcBorders>
                    <w:tl2br w:val="nil"/>
                    <w:tr2bl w:val="nil"/>
                  </w:tcBorders>
                  <w:vAlign w:val="center"/>
                </w:tcPr>
                <w:p w14:paraId="62A5567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操作方式</w:t>
                  </w:r>
                </w:p>
              </w:tc>
              <w:tc>
                <w:tcPr>
                  <w:tcW w:w="797" w:type="dxa"/>
                  <w:tcBorders>
                    <w:tl2br w:val="nil"/>
                    <w:tr2bl w:val="nil"/>
                  </w:tcBorders>
                  <w:vAlign w:val="center"/>
                </w:tcPr>
                <w:p w14:paraId="66CC2EB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操作方式修正因子</w:t>
                  </w:r>
                </w:p>
              </w:tc>
              <w:tc>
                <w:tcPr>
                  <w:tcW w:w="975" w:type="dxa"/>
                  <w:tcBorders>
                    <w:tl2br w:val="nil"/>
                    <w:tr2bl w:val="nil"/>
                  </w:tcBorders>
                  <w:vAlign w:val="center"/>
                </w:tcPr>
                <w:p w14:paraId="37EE3A0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日等效（Bq）</w:t>
                  </w:r>
                </w:p>
              </w:tc>
              <w:tc>
                <w:tcPr>
                  <w:tcW w:w="619" w:type="dxa"/>
                  <w:tcBorders>
                    <w:tl2br w:val="nil"/>
                    <w:tr2bl w:val="nil"/>
                  </w:tcBorders>
                  <w:vAlign w:val="center"/>
                </w:tcPr>
                <w:p w14:paraId="554AE4F3">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分级</w:t>
                  </w:r>
                </w:p>
              </w:tc>
            </w:tr>
            <w:tr w14:paraId="6725ED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149" w:type="dxa"/>
                  <w:vMerge w:val="restart"/>
                  <w:tcBorders>
                    <w:tl2br w:val="nil"/>
                    <w:tr2bl w:val="nil"/>
                  </w:tcBorders>
                  <w:vAlign w:val="center"/>
                </w:tcPr>
                <w:p w14:paraId="7D46D79D">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核医学楼负一层单光子药物生产车间</w:t>
                  </w:r>
                </w:p>
              </w:tc>
              <w:tc>
                <w:tcPr>
                  <w:tcW w:w="1339" w:type="dxa"/>
                  <w:tcBorders>
                    <w:tl2br w:val="nil"/>
                    <w:tr2bl w:val="nil"/>
                  </w:tcBorders>
                  <w:shd w:val="clear" w:color="auto" w:fill="auto"/>
                  <w:vAlign w:val="center"/>
                </w:tcPr>
                <w:p w14:paraId="5D8E72D2">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Tc-99m</w:t>
                  </w:r>
                </w:p>
              </w:tc>
              <w:tc>
                <w:tcPr>
                  <w:tcW w:w="1219" w:type="dxa"/>
                  <w:tcBorders>
                    <w:tl2br w:val="nil"/>
                    <w:tr2bl w:val="nil"/>
                  </w:tcBorders>
                  <w:shd w:val="clear" w:color="auto" w:fill="auto"/>
                  <w:vAlign w:val="center"/>
                </w:tcPr>
                <w:p w14:paraId="475C85BD">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7.40E+10</w:t>
                  </w:r>
                </w:p>
              </w:tc>
              <w:tc>
                <w:tcPr>
                  <w:tcW w:w="545" w:type="dxa"/>
                  <w:tcBorders>
                    <w:tl2br w:val="nil"/>
                    <w:tr2bl w:val="nil"/>
                  </w:tcBorders>
                  <w:shd w:val="clear" w:color="auto" w:fill="auto"/>
                  <w:vAlign w:val="center"/>
                </w:tcPr>
                <w:p w14:paraId="6066BCFA">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低毒</w:t>
                  </w:r>
                </w:p>
              </w:tc>
              <w:tc>
                <w:tcPr>
                  <w:tcW w:w="1173" w:type="dxa"/>
                  <w:tcBorders>
                    <w:tl2br w:val="nil"/>
                    <w:tr2bl w:val="nil"/>
                  </w:tcBorders>
                  <w:shd w:val="clear" w:color="auto" w:fill="auto"/>
                  <w:vAlign w:val="center"/>
                </w:tcPr>
                <w:p w14:paraId="69B7FC5B">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0.01</w:t>
                  </w:r>
                </w:p>
              </w:tc>
              <w:tc>
                <w:tcPr>
                  <w:tcW w:w="1219" w:type="dxa"/>
                  <w:tcBorders>
                    <w:tl2br w:val="nil"/>
                    <w:tr2bl w:val="nil"/>
                  </w:tcBorders>
                  <w:shd w:val="clear" w:color="auto" w:fill="auto"/>
                  <w:vAlign w:val="center"/>
                </w:tcPr>
                <w:p w14:paraId="7E46F0B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简单操作</w:t>
                  </w:r>
                </w:p>
              </w:tc>
              <w:tc>
                <w:tcPr>
                  <w:tcW w:w="797" w:type="dxa"/>
                  <w:tcBorders>
                    <w:tl2br w:val="nil"/>
                    <w:tr2bl w:val="nil"/>
                  </w:tcBorders>
                  <w:shd w:val="clear" w:color="auto" w:fill="auto"/>
                  <w:vAlign w:val="center"/>
                </w:tcPr>
                <w:p w14:paraId="2B1A72B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1</w:t>
                  </w:r>
                </w:p>
              </w:tc>
              <w:tc>
                <w:tcPr>
                  <w:tcW w:w="975" w:type="dxa"/>
                  <w:tcBorders>
                    <w:tl2br w:val="nil"/>
                    <w:tr2bl w:val="nil"/>
                  </w:tcBorders>
                  <w:shd w:val="clear" w:color="auto" w:fill="auto"/>
                  <w:vAlign w:val="center"/>
                </w:tcPr>
                <w:p w14:paraId="7F5A469C">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7.40E+08</w:t>
                  </w:r>
                </w:p>
              </w:tc>
              <w:tc>
                <w:tcPr>
                  <w:tcW w:w="619" w:type="dxa"/>
                  <w:vMerge w:val="restart"/>
                  <w:tcBorders>
                    <w:tl2br w:val="nil"/>
                    <w:tr2bl w:val="nil"/>
                  </w:tcBorders>
                  <w:vAlign w:val="center"/>
                </w:tcPr>
                <w:p w14:paraId="72A7CEB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乙级</w:t>
                  </w:r>
                </w:p>
              </w:tc>
            </w:tr>
            <w:tr w14:paraId="3F7D24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149" w:type="dxa"/>
                  <w:vMerge w:val="continue"/>
                  <w:tcBorders>
                    <w:tl2br w:val="nil"/>
                    <w:tr2bl w:val="nil"/>
                  </w:tcBorders>
                  <w:vAlign w:val="center"/>
                </w:tcPr>
                <w:p w14:paraId="1C4617A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p>
              </w:tc>
              <w:tc>
                <w:tcPr>
                  <w:tcW w:w="1339" w:type="dxa"/>
                  <w:tcBorders>
                    <w:tl2br w:val="nil"/>
                    <w:tr2bl w:val="nil"/>
                  </w:tcBorders>
                  <w:shd w:val="clear" w:color="auto" w:fill="auto"/>
                  <w:vAlign w:val="center"/>
                </w:tcPr>
                <w:p w14:paraId="09349E85">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Mo-99(Tc-99m)</w:t>
                  </w:r>
                </w:p>
              </w:tc>
              <w:tc>
                <w:tcPr>
                  <w:tcW w:w="1219" w:type="dxa"/>
                  <w:tcBorders>
                    <w:tl2br w:val="nil"/>
                    <w:tr2bl w:val="nil"/>
                  </w:tcBorders>
                  <w:shd w:val="clear" w:color="auto" w:fill="auto"/>
                  <w:vAlign w:val="center"/>
                </w:tcPr>
                <w:p w14:paraId="2466D929">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8.22E+10</w:t>
                  </w:r>
                </w:p>
              </w:tc>
              <w:tc>
                <w:tcPr>
                  <w:tcW w:w="545" w:type="dxa"/>
                  <w:tcBorders>
                    <w:tl2br w:val="nil"/>
                    <w:tr2bl w:val="nil"/>
                  </w:tcBorders>
                  <w:shd w:val="clear" w:color="auto" w:fill="auto"/>
                  <w:vAlign w:val="center"/>
                </w:tcPr>
                <w:p w14:paraId="11B8F8DA">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中毒</w:t>
                  </w:r>
                </w:p>
              </w:tc>
              <w:tc>
                <w:tcPr>
                  <w:tcW w:w="1173" w:type="dxa"/>
                  <w:tcBorders>
                    <w:tl2br w:val="nil"/>
                    <w:tr2bl w:val="nil"/>
                  </w:tcBorders>
                  <w:shd w:val="clear" w:color="auto" w:fill="auto"/>
                  <w:vAlign w:val="center"/>
                </w:tcPr>
                <w:p w14:paraId="5D6FEA53">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0.1</w:t>
                  </w:r>
                </w:p>
              </w:tc>
              <w:tc>
                <w:tcPr>
                  <w:tcW w:w="1219" w:type="dxa"/>
                  <w:tcBorders>
                    <w:tl2br w:val="nil"/>
                    <w:tr2bl w:val="nil"/>
                  </w:tcBorders>
                  <w:shd w:val="clear" w:color="auto" w:fill="auto"/>
                  <w:vAlign w:val="center"/>
                </w:tcPr>
                <w:p w14:paraId="6368C8F1">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源的贮存</w:t>
                  </w:r>
                </w:p>
              </w:tc>
              <w:tc>
                <w:tcPr>
                  <w:tcW w:w="797" w:type="dxa"/>
                  <w:tcBorders>
                    <w:tl2br w:val="nil"/>
                    <w:tr2bl w:val="nil"/>
                  </w:tcBorders>
                  <w:shd w:val="clear" w:color="auto" w:fill="auto"/>
                  <w:vAlign w:val="center"/>
                </w:tcPr>
                <w:p w14:paraId="0529F24E">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100</w:t>
                  </w:r>
                </w:p>
              </w:tc>
              <w:tc>
                <w:tcPr>
                  <w:tcW w:w="975" w:type="dxa"/>
                  <w:tcBorders>
                    <w:tl2br w:val="nil"/>
                    <w:tr2bl w:val="nil"/>
                  </w:tcBorders>
                  <w:shd w:val="clear" w:color="auto" w:fill="auto"/>
                  <w:vAlign w:val="center"/>
                </w:tcPr>
                <w:p w14:paraId="571462EC">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8.22E+07</w:t>
                  </w:r>
                </w:p>
              </w:tc>
              <w:tc>
                <w:tcPr>
                  <w:tcW w:w="619" w:type="dxa"/>
                  <w:vMerge w:val="continue"/>
                  <w:tcBorders>
                    <w:tl2br w:val="nil"/>
                    <w:tr2bl w:val="nil"/>
                  </w:tcBorders>
                  <w:vAlign w:val="center"/>
                </w:tcPr>
                <w:p w14:paraId="039FAAEB">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p>
              </w:tc>
            </w:tr>
            <w:tr w14:paraId="7B4A55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tcBorders>
                    <w:tl2br w:val="nil"/>
                    <w:tr2bl w:val="nil"/>
                  </w:tcBorders>
                  <w:vAlign w:val="center"/>
                </w:tcPr>
                <w:p w14:paraId="554FF65A">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p>
              </w:tc>
              <w:tc>
                <w:tcPr>
                  <w:tcW w:w="1339" w:type="dxa"/>
                  <w:tcBorders>
                    <w:tl2br w:val="nil"/>
                    <w:tr2bl w:val="nil"/>
                  </w:tcBorders>
                  <w:shd w:val="clear" w:color="auto" w:fill="auto"/>
                  <w:vAlign w:val="center"/>
                </w:tcPr>
                <w:p w14:paraId="5814185E">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eastAsia" w:ascii="Times New Roman" w:hAnsi="Times New Roman" w:eastAsia="宋体" w:cs="Times New Roman"/>
                      <w:color w:val="auto"/>
                      <w:kern w:val="0"/>
                      <w:sz w:val="20"/>
                      <w:szCs w:val="20"/>
                      <w:highlight w:val="none"/>
                      <w:lang w:val="en-US" w:eastAsia="zh-CN" w:bidi="ar-SA"/>
                    </w:rPr>
                    <w:t>Y-90</w:t>
                  </w:r>
                </w:p>
              </w:tc>
              <w:tc>
                <w:tcPr>
                  <w:tcW w:w="1219" w:type="dxa"/>
                  <w:tcBorders>
                    <w:tl2br w:val="nil"/>
                    <w:tr2bl w:val="nil"/>
                  </w:tcBorders>
                  <w:shd w:val="clear" w:color="auto" w:fill="auto"/>
                  <w:vAlign w:val="center"/>
                </w:tcPr>
                <w:p w14:paraId="3C2B4305">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eastAsia" w:ascii="Times New Roman" w:hAnsi="Times New Roman" w:eastAsia="宋体" w:cs="Times New Roman"/>
                      <w:color w:val="auto"/>
                      <w:kern w:val="0"/>
                      <w:sz w:val="20"/>
                      <w:szCs w:val="20"/>
                      <w:highlight w:val="none"/>
                      <w:lang w:val="en-US" w:eastAsia="zh-CN" w:bidi="ar-SA"/>
                    </w:rPr>
                    <w:t>3.00E+09</w:t>
                  </w:r>
                </w:p>
              </w:tc>
              <w:tc>
                <w:tcPr>
                  <w:tcW w:w="545" w:type="dxa"/>
                  <w:tcBorders>
                    <w:tl2br w:val="nil"/>
                    <w:tr2bl w:val="nil"/>
                  </w:tcBorders>
                  <w:shd w:val="clear" w:color="auto" w:fill="auto"/>
                  <w:vAlign w:val="center"/>
                </w:tcPr>
                <w:p w14:paraId="740499BE">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eastAsia" w:ascii="Times New Roman" w:hAnsi="Times New Roman" w:eastAsia="宋体" w:cs="Times New Roman"/>
                      <w:color w:val="auto"/>
                      <w:kern w:val="0"/>
                      <w:sz w:val="20"/>
                      <w:szCs w:val="20"/>
                      <w:highlight w:val="none"/>
                      <w:lang w:val="en-US" w:eastAsia="zh-CN" w:bidi="ar-SA"/>
                    </w:rPr>
                    <w:t>中毒</w:t>
                  </w:r>
                </w:p>
              </w:tc>
              <w:tc>
                <w:tcPr>
                  <w:tcW w:w="1173" w:type="dxa"/>
                  <w:tcBorders>
                    <w:tl2br w:val="nil"/>
                    <w:tr2bl w:val="nil"/>
                  </w:tcBorders>
                  <w:shd w:val="clear" w:color="auto" w:fill="auto"/>
                  <w:vAlign w:val="center"/>
                </w:tcPr>
                <w:p w14:paraId="121948D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eastAsia" w:ascii="Times New Roman" w:hAnsi="Times New Roman" w:eastAsia="宋体" w:cs="Times New Roman"/>
                      <w:color w:val="auto"/>
                      <w:kern w:val="0"/>
                      <w:sz w:val="20"/>
                      <w:szCs w:val="20"/>
                      <w:highlight w:val="none"/>
                      <w:lang w:val="en-US" w:eastAsia="zh-CN" w:bidi="ar-SA"/>
                    </w:rPr>
                    <w:t>0.1</w:t>
                  </w:r>
                </w:p>
              </w:tc>
              <w:tc>
                <w:tcPr>
                  <w:tcW w:w="1219" w:type="dxa"/>
                  <w:tcBorders>
                    <w:tl2br w:val="nil"/>
                    <w:tr2bl w:val="nil"/>
                  </w:tcBorders>
                  <w:shd w:val="clear" w:color="auto" w:fill="auto"/>
                  <w:vAlign w:val="center"/>
                </w:tcPr>
                <w:p w14:paraId="07B64FEC">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eastAsia" w:ascii="Times New Roman" w:hAnsi="Times New Roman" w:eastAsia="宋体" w:cs="Times New Roman"/>
                      <w:color w:val="auto"/>
                      <w:kern w:val="0"/>
                      <w:sz w:val="20"/>
                      <w:szCs w:val="20"/>
                      <w:highlight w:val="none"/>
                      <w:lang w:val="en-US" w:eastAsia="zh-CN" w:bidi="ar-SA"/>
                    </w:rPr>
                    <w:t>很简单操作</w:t>
                  </w:r>
                </w:p>
              </w:tc>
              <w:tc>
                <w:tcPr>
                  <w:tcW w:w="797" w:type="dxa"/>
                  <w:tcBorders>
                    <w:tl2br w:val="nil"/>
                    <w:tr2bl w:val="nil"/>
                  </w:tcBorders>
                  <w:shd w:val="clear" w:color="auto" w:fill="auto"/>
                  <w:vAlign w:val="center"/>
                </w:tcPr>
                <w:p w14:paraId="4B1BA3C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eastAsia" w:ascii="Times New Roman" w:hAnsi="Times New Roman" w:eastAsia="宋体" w:cs="Times New Roman"/>
                      <w:color w:val="auto"/>
                      <w:kern w:val="0"/>
                      <w:sz w:val="20"/>
                      <w:szCs w:val="20"/>
                      <w:highlight w:val="none"/>
                      <w:lang w:val="en-US" w:eastAsia="zh-CN" w:bidi="ar-SA"/>
                    </w:rPr>
                    <w:t>10</w:t>
                  </w:r>
                </w:p>
              </w:tc>
              <w:tc>
                <w:tcPr>
                  <w:tcW w:w="975" w:type="dxa"/>
                  <w:tcBorders>
                    <w:tl2br w:val="nil"/>
                    <w:tr2bl w:val="nil"/>
                  </w:tcBorders>
                  <w:shd w:val="clear" w:color="auto" w:fill="auto"/>
                  <w:vAlign w:val="center"/>
                </w:tcPr>
                <w:p w14:paraId="4FAF03E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eastAsia" w:ascii="Times New Roman" w:hAnsi="Times New Roman" w:eastAsia="宋体" w:cs="Times New Roman"/>
                      <w:color w:val="auto"/>
                      <w:kern w:val="0"/>
                      <w:sz w:val="20"/>
                      <w:szCs w:val="20"/>
                      <w:highlight w:val="none"/>
                      <w:lang w:val="en-US" w:eastAsia="zh-CN" w:bidi="ar-SA"/>
                    </w:rPr>
                    <w:t>3.00E+07</w:t>
                  </w:r>
                </w:p>
              </w:tc>
              <w:tc>
                <w:tcPr>
                  <w:tcW w:w="619" w:type="dxa"/>
                  <w:vMerge w:val="continue"/>
                  <w:tcBorders>
                    <w:tl2br w:val="nil"/>
                    <w:tr2bl w:val="nil"/>
                  </w:tcBorders>
                  <w:vAlign w:val="center"/>
                </w:tcPr>
                <w:p w14:paraId="43FB8CB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p>
              </w:tc>
            </w:tr>
            <w:tr w14:paraId="384366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441" w:type="dxa"/>
                  <w:gridSpan w:val="7"/>
                  <w:tcBorders>
                    <w:tl2br w:val="nil"/>
                    <w:tr2bl w:val="nil"/>
                  </w:tcBorders>
                  <w:vAlign w:val="center"/>
                </w:tcPr>
                <w:p w14:paraId="7DCA0922">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en-US" w:bidi="ar-SA"/>
                    </w:rPr>
                    <w:t>合计</w:t>
                  </w:r>
                </w:p>
              </w:tc>
              <w:tc>
                <w:tcPr>
                  <w:tcW w:w="975" w:type="dxa"/>
                  <w:tcBorders>
                    <w:tl2br w:val="nil"/>
                    <w:tr2bl w:val="nil"/>
                  </w:tcBorders>
                  <w:shd w:val="clear" w:color="auto" w:fill="auto"/>
                  <w:vAlign w:val="center"/>
                </w:tcPr>
                <w:p w14:paraId="255EB87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eastAsia" w:ascii="Times New Roman" w:hAnsi="Times New Roman" w:eastAsia="宋体" w:cs="Times New Roman"/>
                      <w:color w:val="auto"/>
                      <w:kern w:val="0"/>
                      <w:sz w:val="20"/>
                      <w:szCs w:val="20"/>
                      <w:highlight w:val="none"/>
                      <w:lang w:val="en-US" w:eastAsia="zh-CN" w:bidi="ar-SA"/>
                    </w:rPr>
                    <w:t>8.</w:t>
                  </w:r>
                  <w:r>
                    <w:rPr>
                      <w:rFonts w:hint="eastAsia" w:cs="Times New Roman"/>
                      <w:color w:val="auto"/>
                      <w:kern w:val="0"/>
                      <w:sz w:val="20"/>
                      <w:szCs w:val="20"/>
                      <w:highlight w:val="none"/>
                      <w:lang w:val="en-US" w:eastAsia="zh-CN" w:bidi="ar-SA"/>
                    </w:rPr>
                    <w:t>5</w:t>
                  </w:r>
                  <w:r>
                    <w:rPr>
                      <w:rFonts w:hint="eastAsia" w:ascii="Times New Roman" w:hAnsi="Times New Roman" w:eastAsia="宋体" w:cs="Times New Roman"/>
                      <w:color w:val="auto"/>
                      <w:kern w:val="0"/>
                      <w:sz w:val="20"/>
                      <w:szCs w:val="20"/>
                      <w:highlight w:val="none"/>
                      <w:lang w:val="en-US" w:eastAsia="zh-CN" w:bidi="ar-SA"/>
                    </w:rPr>
                    <w:t>2E+08</w:t>
                  </w:r>
                </w:p>
              </w:tc>
              <w:tc>
                <w:tcPr>
                  <w:tcW w:w="619" w:type="dxa"/>
                  <w:vMerge w:val="continue"/>
                  <w:tcBorders>
                    <w:tl2br w:val="nil"/>
                    <w:tr2bl w:val="nil"/>
                  </w:tcBorders>
                  <w:vAlign w:val="center"/>
                </w:tcPr>
                <w:p w14:paraId="7FC453F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p>
              </w:tc>
            </w:tr>
          </w:tbl>
          <w:p w14:paraId="1BF59B00">
            <w:pPr>
              <w:keepNext w:val="0"/>
              <w:keepLines w:val="0"/>
              <w:suppressLineNumbers w:val="0"/>
              <w:bidi w:val="0"/>
              <w:spacing w:before="0" w:beforeAutospacing="0" w:after="0" w:afterAutospacing="0"/>
              <w:ind w:left="0" w:right="0" w:firstLine="422" w:firstLineChars="200"/>
              <w:jc w:val="left"/>
              <w:rPr>
                <w:rFonts w:hint="default" w:ascii="Times New Roman" w:hAnsi="Times New Roman" w:cs="Times New Roman"/>
                <w:b/>
                <w:bCs/>
                <w:color w:val="auto"/>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注：利用</w:t>
            </w:r>
            <w:r>
              <w:rPr>
                <w:rFonts w:hint="default" w:ascii="Times New Roman" w:hAnsi="Times New Roman" w:eastAsia="宋体" w:cs="Times New Roman"/>
                <w:b/>
                <w:bCs/>
                <w:color w:val="auto"/>
                <w:kern w:val="0"/>
                <w:sz w:val="21"/>
                <w:szCs w:val="21"/>
                <w:highlight w:val="none"/>
                <w:vertAlign w:val="superscript"/>
                <w:lang w:val="en-US" w:eastAsia="zh-CN"/>
              </w:rPr>
              <w:t>99</w:t>
            </w:r>
            <w:r>
              <w:rPr>
                <w:rFonts w:hint="default" w:ascii="Times New Roman" w:hAnsi="Times New Roman" w:eastAsia="宋体" w:cs="Times New Roman"/>
                <w:b/>
                <w:bCs/>
                <w:color w:val="auto"/>
                <w:kern w:val="0"/>
                <w:sz w:val="21"/>
                <w:szCs w:val="21"/>
                <w:highlight w:val="none"/>
                <w:lang w:val="en-US" w:eastAsia="zh-CN"/>
              </w:rPr>
              <w:t>Mo-</w:t>
            </w:r>
            <w:r>
              <w:rPr>
                <w:rFonts w:hint="default" w:ascii="Times New Roman" w:hAnsi="Times New Roman" w:eastAsia="宋体" w:cs="Times New Roman"/>
                <w:b/>
                <w:bCs/>
                <w:color w:val="auto"/>
                <w:kern w:val="0"/>
                <w:sz w:val="21"/>
                <w:szCs w:val="21"/>
                <w:highlight w:val="none"/>
                <w:vertAlign w:val="superscript"/>
                <w:lang w:val="en-US" w:eastAsia="zh-CN"/>
              </w:rPr>
              <w:t>99m</w:t>
            </w:r>
            <w:r>
              <w:rPr>
                <w:rFonts w:hint="default" w:ascii="Times New Roman" w:hAnsi="Times New Roman" w:eastAsia="宋体" w:cs="Times New Roman"/>
                <w:b/>
                <w:bCs/>
                <w:color w:val="auto"/>
                <w:kern w:val="0"/>
                <w:sz w:val="21"/>
                <w:szCs w:val="21"/>
                <w:highlight w:val="none"/>
                <w:lang w:val="en-US" w:eastAsia="zh-CN"/>
              </w:rPr>
              <w:t>Tc发生器，淋洗</w:t>
            </w:r>
            <w:r>
              <w:rPr>
                <w:rFonts w:hint="default" w:ascii="Times New Roman" w:hAnsi="Times New Roman" w:eastAsia="宋体" w:cs="Times New Roman"/>
                <w:b/>
                <w:bCs/>
                <w:color w:val="auto"/>
                <w:kern w:val="0"/>
                <w:sz w:val="21"/>
                <w:szCs w:val="21"/>
                <w:highlight w:val="none"/>
                <w:vertAlign w:val="superscript"/>
                <w:lang w:val="en-US" w:eastAsia="zh-CN"/>
              </w:rPr>
              <w:t>99m</w:t>
            </w:r>
            <w:r>
              <w:rPr>
                <w:rFonts w:hint="default" w:ascii="Times New Roman" w:hAnsi="Times New Roman" w:eastAsia="宋体" w:cs="Times New Roman"/>
                <w:b/>
                <w:bCs/>
                <w:color w:val="auto"/>
                <w:kern w:val="0"/>
                <w:sz w:val="21"/>
                <w:szCs w:val="21"/>
                <w:highlight w:val="none"/>
                <w:lang w:val="en-US" w:eastAsia="zh-CN"/>
              </w:rPr>
              <w:t>Tc放射性药物时，</w:t>
            </w:r>
            <w:r>
              <w:rPr>
                <w:rFonts w:hint="default" w:ascii="Times New Roman" w:hAnsi="Times New Roman" w:eastAsia="宋体" w:cs="Times New Roman"/>
                <w:b/>
                <w:bCs/>
                <w:color w:val="auto"/>
                <w:kern w:val="0"/>
                <w:sz w:val="21"/>
                <w:szCs w:val="21"/>
                <w:highlight w:val="none"/>
                <w:vertAlign w:val="superscript"/>
                <w:lang w:val="en-US" w:eastAsia="zh-CN"/>
              </w:rPr>
              <w:t>99</w:t>
            </w:r>
            <w:r>
              <w:rPr>
                <w:rFonts w:hint="default" w:ascii="Times New Roman" w:hAnsi="Times New Roman" w:eastAsia="宋体" w:cs="Times New Roman"/>
                <w:b/>
                <w:bCs/>
                <w:color w:val="auto"/>
                <w:kern w:val="0"/>
                <w:sz w:val="21"/>
                <w:szCs w:val="21"/>
                <w:highlight w:val="none"/>
                <w:lang w:val="en-US" w:eastAsia="zh-CN"/>
              </w:rPr>
              <w:t>Mo的操作视为“贮存”；放射性药品生产中，分装、标记等活动视为“简单操作”。</w:t>
            </w:r>
          </w:p>
          <w:p w14:paraId="6ECFA9D0">
            <w:pPr>
              <w:keepNext w:val="0"/>
              <w:keepLines w:val="0"/>
              <w:suppressLineNumbers w:val="0"/>
              <w:bidi w:val="0"/>
              <w:spacing w:before="0" w:beforeAutospacing="0" w:after="0" w:afterAutospacing="0"/>
              <w:ind w:left="0" w:right="0" w:firstLine="482" w:firstLineChars="200"/>
              <w:jc w:val="center"/>
              <w:rPr>
                <w:rFonts w:hint="default" w:ascii="Times New Roman" w:hAnsi="Times New Roman" w:cs="Times New Roman"/>
                <w:b/>
                <w:bCs/>
                <w:color w:val="auto"/>
                <w:highlight w:val="none"/>
                <w:lang w:val="en-US" w:eastAsia="zh-CN"/>
              </w:rPr>
            </w:pPr>
          </w:p>
          <w:p w14:paraId="0F666C81">
            <w:pPr>
              <w:keepNext w:val="0"/>
              <w:keepLines w:val="0"/>
              <w:suppressLineNumbers w:val="0"/>
              <w:bidi w:val="0"/>
              <w:spacing w:before="0" w:beforeAutospacing="0" w:after="0" w:afterAutospacing="0"/>
              <w:ind w:left="0" w:right="0" w:firstLine="482" w:firstLineChars="20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表10-</w:t>
            </w:r>
            <w:r>
              <w:rPr>
                <w:rFonts w:hint="eastAsia" w:cs="Times New Roman"/>
                <w:b/>
                <w:bCs/>
                <w:color w:val="auto"/>
                <w:highlight w:val="none"/>
                <w:lang w:val="en-US" w:eastAsia="zh-CN"/>
              </w:rPr>
              <w:t>7</w:t>
            </w:r>
            <w:r>
              <w:rPr>
                <w:rFonts w:hint="default" w:ascii="Times New Roman" w:hAnsi="Times New Roman" w:cs="Times New Roman"/>
                <w:b/>
                <w:bCs/>
                <w:color w:val="auto"/>
                <w:highlight w:val="none"/>
                <w:lang w:val="en-US" w:eastAsia="zh-CN"/>
              </w:rPr>
              <w:t xml:space="preserve">  </w:t>
            </w:r>
            <w:r>
              <w:rPr>
                <w:rFonts w:hint="default" w:ascii="Times New Roman" w:hAnsi="Times New Roman" w:cs="Times New Roman"/>
                <w:b/>
                <w:bCs/>
                <w:color w:val="auto"/>
                <w:highlight w:val="none"/>
                <w:lang w:val="en-US" w:eastAsia="en-US"/>
              </w:rPr>
              <w:t>核医学楼一层SPECT诊断区</w:t>
            </w:r>
            <w:r>
              <w:rPr>
                <w:rFonts w:hint="default" w:ascii="Times New Roman" w:hAnsi="Times New Roman" w:cs="Times New Roman"/>
                <w:b/>
                <w:bCs/>
                <w:color w:val="auto"/>
                <w:highlight w:val="none"/>
                <w:lang w:val="en-US" w:eastAsia="zh-CN"/>
              </w:rPr>
              <w:t>分级情况</w:t>
            </w:r>
          </w:p>
          <w:tbl>
            <w:tblPr>
              <w:tblStyle w:val="30"/>
              <w:tblW w:w="903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39"/>
              <w:gridCol w:w="1219"/>
              <w:gridCol w:w="1015"/>
              <w:gridCol w:w="971"/>
              <w:gridCol w:w="951"/>
              <w:gridCol w:w="797"/>
              <w:gridCol w:w="975"/>
              <w:gridCol w:w="619"/>
            </w:tblGrid>
            <w:tr w14:paraId="6AF086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149" w:type="dxa"/>
                  <w:tcBorders>
                    <w:tl2br w:val="nil"/>
                    <w:tr2bl w:val="nil"/>
                  </w:tcBorders>
                  <w:vAlign w:val="center"/>
                </w:tcPr>
                <w:p w14:paraId="0AF4D6A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操作场所</w:t>
                  </w:r>
                </w:p>
              </w:tc>
              <w:tc>
                <w:tcPr>
                  <w:tcW w:w="1339" w:type="dxa"/>
                  <w:tcBorders>
                    <w:tl2br w:val="nil"/>
                    <w:tr2bl w:val="nil"/>
                  </w:tcBorders>
                  <w:vAlign w:val="center"/>
                </w:tcPr>
                <w:p w14:paraId="71E4707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核素名称</w:t>
                  </w:r>
                </w:p>
              </w:tc>
              <w:tc>
                <w:tcPr>
                  <w:tcW w:w="1219" w:type="dxa"/>
                  <w:tcBorders>
                    <w:tl2br w:val="nil"/>
                    <w:tr2bl w:val="nil"/>
                  </w:tcBorders>
                  <w:vAlign w:val="center"/>
                </w:tcPr>
                <w:p w14:paraId="05C4A57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实际日最大操作量</w:t>
                  </w:r>
                </w:p>
                <w:p w14:paraId="77AF9E7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（Bq）</w:t>
                  </w:r>
                </w:p>
              </w:tc>
              <w:tc>
                <w:tcPr>
                  <w:tcW w:w="1015" w:type="dxa"/>
                  <w:tcBorders>
                    <w:tl2br w:val="nil"/>
                    <w:tr2bl w:val="nil"/>
                  </w:tcBorders>
                  <w:vAlign w:val="center"/>
                </w:tcPr>
                <w:p w14:paraId="64E32FA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毒性组别</w:t>
                  </w:r>
                </w:p>
              </w:tc>
              <w:tc>
                <w:tcPr>
                  <w:tcW w:w="971" w:type="dxa"/>
                  <w:tcBorders>
                    <w:tl2br w:val="nil"/>
                    <w:tr2bl w:val="nil"/>
                  </w:tcBorders>
                  <w:vAlign w:val="center"/>
                </w:tcPr>
                <w:p w14:paraId="7EE5EBC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毒性组别修正因子</w:t>
                  </w:r>
                </w:p>
              </w:tc>
              <w:tc>
                <w:tcPr>
                  <w:tcW w:w="951" w:type="dxa"/>
                  <w:tcBorders>
                    <w:tl2br w:val="nil"/>
                    <w:tr2bl w:val="nil"/>
                  </w:tcBorders>
                  <w:vAlign w:val="center"/>
                </w:tcPr>
                <w:p w14:paraId="1778C75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操作方式</w:t>
                  </w:r>
                </w:p>
              </w:tc>
              <w:tc>
                <w:tcPr>
                  <w:tcW w:w="797" w:type="dxa"/>
                  <w:tcBorders>
                    <w:tl2br w:val="nil"/>
                    <w:tr2bl w:val="nil"/>
                  </w:tcBorders>
                  <w:vAlign w:val="center"/>
                </w:tcPr>
                <w:p w14:paraId="3BDC593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操作方式修正因子</w:t>
                  </w:r>
                </w:p>
              </w:tc>
              <w:tc>
                <w:tcPr>
                  <w:tcW w:w="975" w:type="dxa"/>
                  <w:tcBorders>
                    <w:tl2br w:val="nil"/>
                    <w:tr2bl w:val="nil"/>
                  </w:tcBorders>
                  <w:vAlign w:val="center"/>
                </w:tcPr>
                <w:p w14:paraId="27CE670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日等效（Bq）</w:t>
                  </w:r>
                </w:p>
              </w:tc>
              <w:tc>
                <w:tcPr>
                  <w:tcW w:w="619" w:type="dxa"/>
                  <w:tcBorders>
                    <w:tl2br w:val="nil"/>
                    <w:tr2bl w:val="nil"/>
                  </w:tcBorders>
                  <w:vAlign w:val="center"/>
                </w:tcPr>
                <w:p w14:paraId="5F97F0F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分级</w:t>
                  </w:r>
                </w:p>
              </w:tc>
            </w:tr>
            <w:tr w14:paraId="2C47EC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149" w:type="dxa"/>
                  <w:vMerge w:val="restart"/>
                  <w:tcBorders>
                    <w:tl2br w:val="nil"/>
                    <w:tr2bl w:val="nil"/>
                  </w:tcBorders>
                  <w:vAlign w:val="center"/>
                </w:tcPr>
                <w:p w14:paraId="579B7DC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核医学楼一层SPECT诊断区</w:t>
                  </w:r>
                </w:p>
              </w:tc>
              <w:tc>
                <w:tcPr>
                  <w:tcW w:w="1339" w:type="dxa"/>
                  <w:tcBorders>
                    <w:tl2br w:val="nil"/>
                    <w:tr2bl w:val="nil"/>
                  </w:tcBorders>
                  <w:shd w:val="clear" w:color="auto" w:fill="auto"/>
                  <w:vAlign w:val="center"/>
                </w:tcPr>
                <w:p w14:paraId="02C09CA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Tc-99m</w:t>
                  </w:r>
                </w:p>
              </w:tc>
              <w:tc>
                <w:tcPr>
                  <w:tcW w:w="1219" w:type="dxa"/>
                  <w:tcBorders>
                    <w:tl2br w:val="nil"/>
                    <w:tr2bl w:val="nil"/>
                  </w:tcBorders>
                  <w:shd w:val="clear" w:color="auto" w:fill="auto"/>
                  <w:vAlign w:val="center"/>
                </w:tcPr>
                <w:p w14:paraId="460657C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7.40E+10</w:t>
                  </w:r>
                </w:p>
              </w:tc>
              <w:tc>
                <w:tcPr>
                  <w:tcW w:w="1015" w:type="dxa"/>
                  <w:tcBorders>
                    <w:tl2br w:val="nil"/>
                    <w:tr2bl w:val="nil"/>
                  </w:tcBorders>
                  <w:shd w:val="clear" w:color="auto" w:fill="auto"/>
                  <w:vAlign w:val="center"/>
                </w:tcPr>
                <w:p w14:paraId="410D63D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低毒</w:t>
                  </w:r>
                </w:p>
              </w:tc>
              <w:tc>
                <w:tcPr>
                  <w:tcW w:w="971" w:type="dxa"/>
                  <w:tcBorders>
                    <w:tl2br w:val="nil"/>
                    <w:tr2bl w:val="nil"/>
                  </w:tcBorders>
                  <w:shd w:val="clear" w:color="auto" w:fill="auto"/>
                  <w:vAlign w:val="center"/>
                </w:tcPr>
                <w:p w14:paraId="58BF200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0.01</w:t>
                  </w:r>
                </w:p>
              </w:tc>
              <w:tc>
                <w:tcPr>
                  <w:tcW w:w="951" w:type="dxa"/>
                  <w:tcBorders>
                    <w:tl2br w:val="nil"/>
                    <w:tr2bl w:val="nil"/>
                  </w:tcBorders>
                  <w:shd w:val="clear" w:color="auto" w:fill="auto"/>
                  <w:vAlign w:val="center"/>
                </w:tcPr>
                <w:p w14:paraId="47E95D5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18"/>
                      <w:szCs w:val="18"/>
                      <w:highlight w:val="none"/>
                      <w:lang w:val="en-US" w:eastAsia="zh-CN"/>
                    </w:rPr>
                    <w:t>很简单操作</w:t>
                  </w:r>
                </w:p>
              </w:tc>
              <w:tc>
                <w:tcPr>
                  <w:tcW w:w="797" w:type="dxa"/>
                  <w:tcBorders>
                    <w:tl2br w:val="nil"/>
                    <w:tr2bl w:val="nil"/>
                  </w:tcBorders>
                  <w:shd w:val="clear" w:color="auto" w:fill="auto"/>
                  <w:vAlign w:val="center"/>
                </w:tcPr>
                <w:p w14:paraId="1806D26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10</w:t>
                  </w:r>
                </w:p>
              </w:tc>
              <w:tc>
                <w:tcPr>
                  <w:tcW w:w="975" w:type="dxa"/>
                  <w:tcBorders>
                    <w:tl2br w:val="nil"/>
                    <w:tr2bl w:val="nil"/>
                  </w:tcBorders>
                  <w:shd w:val="clear" w:color="auto" w:fill="auto"/>
                  <w:vAlign w:val="center"/>
                </w:tcPr>
                <w:p w14:paraId="2D18BA4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7.40E+07</w:t>
                  </w:r>
                </w:p>
              </w:tc>
              <w:tc>
                <w:tcPr>
                  <w:tcW w:w="619" w:type="dxa"/>
                  <w:vMerge w:val="restart"/>
                  <w:tcBorders>
                    <w:tl2br w:val="nil"/>
                    <w:tr2bl w:val="nil"/>
                  </w:tcBorders>
                  <w:vAlign w:val="center"/>
                </w:tcPr>
                <w:p w14:paraId="0DA2CB2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乙级</w:t>
                  </w:r>
                </w:p>
              </w:tc>
            </w:tr>
            <w:tr w14:paraId="1F2BD2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tcBorders>
                    <w:tl2br w:val="nil"/>
                    <w:tr2bl w:val="nil"/>
                  </w:tcBorders>
                  <w:vAlign w:val="center"/>
                </w:tcPr>
                <w:p w14:paraId="501FF5C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p>
              </w:tc>
              <w:tc>
                <w:tcPr>
                  <w:tcW w:w="1339" w:type="dxa"/>
                  <w:tcBorders>
                    <w:tl2br w:val="nil"/>
                    <w:tr2bl w:val="nil"/>
                  </w:tcBorders>
                  <w:shd w:val="clear" w:color="auto" w:fill="auto"/>
                  <w:vAlign w:val="center"/>
                </w:tcPr>
                <w:p w14:paraId="1B65BAD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vertAlign w:val="baseline"/>
                      <w:lang w:val="en-US" w:eastAsia="zh-CN"/>
                    </w:rPr>
                    <w:t>I-131</w:t>
                  </w:r>
                </w:p>
              </w:tc>
              <w:tc>
                <w:tcPr>
                  <w:tcW w:w="1219" w:type="dxa"/>
                  <w:tcBorders>
                    <w:tl2br w:val="nil"/>
                    <w:tr2bl w:val="nil"/>
                  </w:tcBorders>
                  <w:shd w:val="clear" w:color="auto" w:fill="auto"/>
                  <w:vAlign w:val="center"/>
                </w:tcPr>
                <w:p w14:paraId="5FE41A5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1.11E+10</w:t>
                  </w:r>
                </w:p>
              </w:tc>
              <w:tc>
                <w:tcPr>
                  <w:tcW w:w="1015" w:type="dxa"/>
                  <w:tcBorders>
                    <w:tl2br w:val="nil"/>
                    <w:tr2bl w:val="nil"/>
                  </w:tcBorders>
                  <w:shd w:val="clear" w:color="auto" w:fill="auto"/>
                  <w:vAlign w:val="center"/>
                </w:tcPr>
                <w:p w14:paraId="58C23A3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中毒</w:t>
                  </w:r>
                </w:p>
              </w:tc>
              <w:tc>
                <w:tcPr>
                  <w:tcW w:w="971" w:type="dxa"/>
                  <w:tcBorders>
                    <w:tl2br w:val="nil"/>
                    <w:tr2bl w:val="nil"/>
                  </w:tcBorders>
                  <w:shd w:val="clear" w:color="auto" w:fill="auto"/>
                  <w:vAlign w:val="center"/>
                </w:tcPr>
                <w:p w14:paraId="3BF1952F">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0.1</w:t>
                  </w:r>
                </w:p>
              </w:tc>
              <w:tc>
                <w:tcPr>
                  <w:tcW w:w="951" w:type="dxa"/>
                  <w:tcBorders>
                    <w:tl2br w:val="nil"/>
                    <w:tr2bl w:val="nil"/>
                  </w:tcBorders>
                  <w:shd w:val="clear" w:color="auto" w:fill="auto"/>
                  <w:vAlign w:val="center"/>
                </w:tcPr>
                <w:p w14:paraId="7D1DD87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简单操作</w:t>
                  </w:r>
                </w:p>
              </w:tc>
              <w:tc>
                <w:tcPr>
                  <w:tcW w:w="797" w:type="dxa"/>
                  <w:tcBorders>
                    <w:tl2br w:val="nil"/>
                    <w:tr2bl w:val="nil"/>
                  </w:tcBorders>
                  <w:shd w:val="clear" w:color="auto" w:fill="auto"/>
                  <w:vAlign w:val="center"/>
                </w:tcPr>
                <w:p w14:paraId="5E7864F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1</w:t>
                  </w:r>
                </w:p>
              </w:tc>
              <w:tc>
                <w:tcPr>
                  <w:tcW w:w="975" w:type="dxa"/>
                  <w:tcBorders>
                    <w:tl2br w:val="nil"/>
                    <w:tr2bl w:val="nil"/>
                  </w:tcBorders>
                  <w:shd w:val="clear" w:color="auto" w:fill="auto"/>
                  <w:vAlign w:val="center"/>
                </w:tcPr>
                <w:p w14:paraId="4B2E25A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1.11E+09</w:t>
                  </w:r>
                </w:p>
              </w:tc>
              <w:tc>
                <w:tcPr>
                  <w:tcW w:w="619" w:type="dxa"/>
                  <w:vMerge w:val="continue"/>
                  <w:tcBorders>
                    <w:tl2br w:val="nil"/>
                    <w:tr2bl w:val="nil"/>
                  </w:tcBorders>
                  <w:vAlign w:val="center"/>
                </w:tcPr>
                <w:p w14:paraId="3C481DE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r w14:paraId="6F16B9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441" w:type="dxa"/>
                  <w:gridSpan w:val="7"/>
                  <w:tcBorders>
                    <w:tl2br w:val="nil"/>
                    <w:tr2bl w:val="nil"/>
                  </w:tcBorders>
                  <w:vAlign w:val="center"/>
                </w:tcPr>
                <w:p w14:paraId="1E442DD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合计</w:t>
                  </w:r>
                </w:p>
              </w:tc>
              <w:tc>
                <w:tcPr>
                  <w:tcW w:w="975" w:type="dxa"/>
                  <w:tcBorders>
                    <w:tl2br w:val="nil"/>
                    <w:tr2bl w:val="nil"/>
                  </w:tcBorders>
                  <w:shd w:val="clear" w:color="auto" w:fill="auto"/>
                  <w:vAlign w:val="center"/>
                </w:tcPr>
                <w:p w14:paraId="0D2116E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1.18E+09</w:t>
                  </w:r>
                </w:p>
              </w:tc>
              <w:tc>
                <w:tcPr>
                  <w:tcW w:w="619" w:type="dxa"/>
                  <w:vMerge w:val="continue"/>
                  <w:tcBorders>
                    <w:tl2br w:val="nil"/>
                    <w:tr2bl w:val="nil"/>
                  </w:tcBorders>
                  <w:vAlign w:val="center"/>
                </w:tcPr>
                <w:p w14:paraId="6AEE38F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p>
              </w:tc>
            </w:tr>
          </w:tbl>
          <w:p w14:paraId="5E31588B">
            <w:pPr>
              <w:keepNext w:val="0"/>
              <w:keepLines w:val="0"/>
              <w:suppressLineNumbers w:val="0"/>
              <w:bidi w:val="0"/>
              <w:spacing w:before="0" w:beforeAutospacing="0" w:after="0" w:afterAutospacing="0"/>
              <w:ind w:left="0" w:right="0"/>
              <w:jc w:val="both"/>
              <w:rPr>
                <w:rFonts w:hint="default" w:ascii="Times New Roman" w:hAnsi="Times New Roman" w:cs="Times New Roman"/>
                <w:b/>
                <w:bCs/>
                <w:color w:val="auto"/>
                <w:sz w:val="21"/>
                <w:szCs w:val="20"/>
                <w:highlight w:val="none"/>
                <w:lang w:val="en-US" w:eastAsia="zh-CN"/>
              </w:rPr>
            </w:pPr>
            <w:r>
              <w:rPr>
                <w:rFonts w:hint="default" w:ascii="Times New Roman" w:hAnsi="Times New Roman" w:cs="Times New Roman"/>
                <w:b/>
                <w:bCs/>
                <w:color w:val="auto"/>
                <w:sz w:val="21"/>
                <w:szCs w:val="20"/>
                <w:highlight w:val="none"/>
                <w:lang w:val="en-US" w:eastAsia="zh-CN"/>
              </w:rPr>
              <w:t>注：医疗机构使用</w:t>
            </w:r>
            <w:r>
              <w:rPr>
                <w:rFonts w:hint="default" w:ascii="Times New Roman" w:hAnsi="Times New Roman" w:cs="Times New Roman"/>
                <w:b/>
                <w:bCs/>
                <w:color w:val="auto"/>
                <w:sz w:val="21"/>
                <w:szCs w:val="20"/>
                <w:highlight w:val="none"/>
                <w:vertAlign w:val="superscript"/>
                <w:lang w:val="en-US" w:eastAsia="zh-CN"/>
              </w:rPr>
              <w:t>99m</w:t>
            </w:r>
            <w:r>
              <w:rPr>
                <w:rFonts w:hint="default" w:ascii="Times New Roman" w:hAnsi="Times New Roman" w:cs="Times New Roman"/>
                <w:b/>
                <w:bCs/>
                <w:color w:val="auto"/>
                <w:sz w:val="21"/>
                <w:szCs w:val="20"/>
                <w:highlight w:val="none"/>
                <w:lang w:val="en-US" w:eastAsia="zh-CN"/>
              </w:rPr>
              <w:t>Tc相关活动视为“很简单的操作”，使用</w:t>
            </w:r>
            <w:r>
              <w:rPr>
                <w:rFonts w:hint="eastAsia" w:cs="Times New Roman"/>
                <w:b/>
                <w:bCs/>
                <w:color w:val="auto"/>
                <w:sz w:val="21"/>
                <w:szCs w:val="20"/>
                <w:highlight w:val="none"/>
                <w:vertAlign w:val="superscript"/>
                <w:lang w:val="en-US" w:eastAsia="zh-CN"/>
              </w:rPr>
              <w:t>131</w:t>
            </w:r>
            <w:r>
              <w:rPr>
                <w:rFonts w:hint="default" w:ascii="Times New Roman" w:hAnsi="Times New Roman" w:cs="Times New Roman"/>
                <w:b/>
                <w:bCs/>
                <w:color w:val="auto"/>
                <w:sz w:val="21"/>
                <w:szCs w:val="20"/>
                <w:highlight w:val="none"/>
                <w:lang w:val="en-US" w:eastAsia="zh-CN"/>
              </w:rPr>
              <w:t>I核素相关活动视为“简单操作”。</w:t>
            </w:r>
          </w:p>
          <w:p w14:paraId="38B0C22A">
            <w:pPr>
              <w:keepNext w:val="0"/>
              <w:keepLines w:val="0"/>
              <w:suppressLineNumbers w:val="0"/>
              <w:bidi w:val="0"/>
              <w:spacing w:before="0" w:beforeAutospacing="0" w:after="0" w:afterAutospacing="0"/>
              <w:ind w:left="0" w:right="0" w:firstLine="482" w:firstLineChars="200"/>
              <w:jc w:val="center"/>
              <w:rPr>
                <w:rFonts w:hint="default" w:ascii="Times New Roman" w:hAnsi="Times New Roman" w:cs="Times New Roman"/>
                <w:b/>
                <w:bCs/>
                <w:color w:val="auto"/>
                <w:highlight w:val="none"/>
                <w:lang w:val="en-US" w:eastAsia="zh-CN"/>
              </w:rPr>
            </w:pPr>
          </w:p>
          <w:p w14:paraId="3EAB6098">
            <w:pPr>
              <w:keepNext w:val="0"/>
              <w:keepLines w:val="0"/>
              <w:suppressLineNumbers w:val="0"/>
              <w:autoSpaceDE w:val="0"/>
              <w:autoSpaceDN w:val="0"/>
              <w:bidi w:val="0"/>
              <w:spacing w:before="0" w:beforeAutospacing="0" w:after="0" w:afterAutospacing="0"/>
              <w:ind w:left="0" w:right="0" w:firstLine="482" w:firstLineChars="200"/>
              <w:jc w:val="center"/>
              <w:rPr>
                <w:rFonts w:hint="default" w:ascii="Times New Roman" w:hAnsi="Times New Roman" w:eastAsia="宋体" w:cs="Times New Roman"/>
                <w:b/>
                <w:bCs/>
                <w:color w:val="auto"/>
                <w:kern w:val="0"/>
                <w:szCs w:val="22"/>
                <w:highlight w:val="none"/>
                <w:lang w:val="en-US" w:eastAsia="zh-CN"/>
              </w:rPr>
            </w:pPr>
            <w:r>
              <w:rPr>
                <w:rFonts w:hint="default" w:ascii="Times New Roman" w:hAnsi="Times New Roman" w:eastAsia="宋体" w:cs="Times New Roman"/>
                <w:b/>
                <w:bCs/>
                <w:color w:val="auto"/>
                <w:kern w:val="0"/>
                <w:szCs w:val="22"/>
                <w:highlight w:val="none"/>
                <w:lang w:val="en-US" w:eastAsia="zh-CN"/>
              </w:rPr>
              <w:t>表10-</w:t>
            </w:r>
            <w:r>
              <w:rPr>
                <w:rFonts w:hint="eastAsia" w:cs="Times New Roman"/>
                <w:b/>
                <w:bCs/>
                <w:color w:val="auto"/>
                <w:kern w:val="0"/>
                <w:szCs w:val="22"/>
                <w:highlight w:val="none"/>
                <w:lang w:val="en-US" w:eastAsia="zh-CN"/>
              </w:rPr>
              <w:t>8</w:t>
            </w:r>
            <w:r>
              <w:rPr>
                <w:rFonts w:hint="default" w:ascii="Times New Roman" w:hAnsi="Times New Roman" w:eastAsia="宋体" w:cs="Times New Roman"/>
                <w:b/>
                <w:bCs/>
                <w:color w:val="auto"/>
                <w:kern w:val="0"/>
                <w:szCs w:val="22"/>
                <w:highlight w:val="none"/>
                <w:lang w:val="en-US" w:eastAsia="zh-CN"/>
              </w:rPr>
              <w:t xml:space="preserve">  </w:t>
            </w:r>
            <w:r>
              <w:rPr>
                <w:rFonts w:hint="default" w:ascii="Times New Roman" w:hAnsi="Times New Roman" w:eastAsia="宋体" w:cs="Times New Roman"/>
                <w:b/>
                <w:bCs/>
                <w:color w:val="auto"/>
                <w:kern w:val="0"/>
                <w:szCs w:val="22"/>
                <w:highlight w:val="none"/>
                <w:lang w:val="en-US" w:eastAsia="en-US"/>
              </w:rPr>
              <w:t>核医学楼三层核素治疗区</w:t>
            </w:r>
            <w:r>
              <w:rPr>
                <w:rFonts w:hint="default" w:ascii="Times New Roman" w:hAnsi="Times New Roman" w:eastAsia="宋体" w:cs="Times New Roman"/>
                <w:b/>
                <w:bCs/>
                <w:color w:val="auto"/>
                <w:kern w:val="0"/>
                <w:szCs w:val="22"/>
                <w:highlight w:val="none"/>
                <w:lang w:val="en-US" w:eastAsia="zh-CN"/>
              </w:rPr>
              <w:t>分级情况</w:t>
            </w:r>
            <w:r>
              <w:rPr>
                <w:rFonts w:hint="eastAsia" w:ascii="Times New Roman" w:hAnsi="Times New Roman" w:eastAsia="宋体" w:cs="Times New Roman"/>
                <w:b/>
                <w:bCs/>
                <w:color w:val="auto"/>
                <w:kern w:val="0"/>
                <w:szCs w:val="22"/>
                <w:highlight w:val="none"/>
                <w:lang w:val="en-US" w:eastAsia="zh-CN"/>
              </w:rPr>
              <w:t>（调整）</w:t>
            </w:r>
          </w:p>
          <w:tbl>
            <w:tblPr>
              <w:tblStyle w:val="30"/>
              <w:tblW w:w="903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339"/>
              <w:gridCol w:w="1219"/>
              <w:gridCol w:w="1015"/>
              <w:gridCol w:w="971"/>
              <w:gridCol w:w="951"/>
              <w:gridCol w:w="797"/>
              <w:gridCol w:w="975"/>
              <w:gridCol w:w="619"/>
            </w:tblGrid>
            <w:tr w14:paraId="59A864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149" w:type="dxa"/>
                  <w:tcBorders>
                    <w:tl2br w:val="nil"/>
                    <w:tr2bl w:val="nil"/>
                  </w:tcBorders>
                  <w:vAlign w:val="center"/>
                </w:tcPr>
                <w:p w14:paraId="712892D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操作场所</w:t>
                  </w:r>
                </w:p>
              </w:tc>
              <w:tc>
                <w:tcPr>
                  <w:tcW w:w="1339" w:type="dxa"/>
                  <w:tcBorders>
                    <w:tl2br w:val="nil"/>
                    <w:tr2bl w:val="nil"/>
                  </w:tcBorders>
                  <w:vAlign w:val="center"/>
                </w:tcPr>
                <w:p w14:paraId="6F72B202">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核素名称</w:t>
                  </w:r>
                </w:p>
              </w:tc>
              <w:tc>
                <w:tcPr>
                  <w:tcW w:w="1219" w:type="dxa"/>
                  <w:tcBorders>
                    <w:tl2br w:val="nil"/>
                    <w:tr2bl w:val="nil"/>
                  </w:tcBorders>
                  <w:vAlign w:val="center"/>
                </w:tcPr>
                <w:p w14:paraId="6FCDEFA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实际日最大操作量</w:t>
                  </w:r>
                </w:p>
                <w:p w14:paraId="1D2D5C1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（Bq）</w:t>
                  </w:r>
                </w:p>
              </w:tc>
              <w:tc>
                <w:tcPr>
                  <w:tcW w:w="1015" w:type="dxa"/>
                  <w:tcBorders>
                    <w:tl2br w:val="nil"/>
                    <w:tr2bl w:val="nil"/>
                  </w:tcBorders>
                  <w:vAlign w:val="center"/>
                </w:tcPr>
                <w:p w14:paraId="165EE56B">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毒性组别</w:t>
                  </w:r>
                </w:p>
              </w:tc>
              <w:tc>
                <w:tcPr>
                  <w:tcW w:w="971" w:type="dxa"/>
                  <w:tcBorders>
                    <w:tl2br w:val="nil"/>
                    <w:tr2bl w:val="nil"/>
                  </w:tcBorders>
                  <w:vAlign w:val="center"/>
                </w:tcPr>
                <w:p w14:paraId="34F40379">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毒性组别修正因子</w:t>
                  </w:r>
                </w:p>
              </w:tc>
              <w:tc>
                <w:tcPr>
                  <w:tcW w:w="951" w:type="dxa"/>
                  <w:tcBorders>
                    <w:tl2br w:val="nil"/>
                    <w:tr2bl w:val="nil"/>
                  </w:tcBorders>
                  <w:vAlign w:val="center"/>
                </w:tcPr>
                <w:p w14:paraId="7EBF5A0D">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操作方式</w:t>
                  </w:r>
                </w:p>
              </w:tc>
              <w:tc>
                <w:tcPr>
                  <w:tcW w:w="797" w:type="dxa"/>
                  <w:tcBorders>
                    <w:tl2br w:val="nil"/>
                    <w:tr2bl w:val="nil"/>
                  </w:tcBorders>
                  <w:vAlign w:val="center"/>
                </w:tcPr>
                <w:p w14:paraId="75A39E9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操作方式修正因子</w:t>
                  </w:r>
                </w:p>
              </w:tc>
              <w:tc>
                <w:tcPr>
                  <w:tcW w:w="975" w:type="dxa"/>
                  <w:tcBorders>
                    <w:tl2br w:val="nil"/>
                    <w:tr2bl w:val="nil"/>
                  </w:tcBorders>
                  <w:vAlign w:val="center"/>
                </w:tcPr>
                <w:p w14:paraId="47F28D09">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日等效（Bq）</w:t>
                  </w:r>
                </w:p>
              </w:tc>
              <w:tc>
                <w:tcPr>
                  <w:tcW w:w="619" w:type="dxa"/>
                  <w:tcBorders>
                    <w:tl2br w:val="nil"/>
                    <w:tr2bl w:val="nil"/>
                  </w:tcBorders>
                  <w:vAlign w:val="center"/>
                </w:tcPr>
                <w:p w14:paraId="24C2EE0C">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分级</w:t>
                  </w:r>
                </w:p>
              </w:tc>
            </w:tr>
            <w:tr w14:paraId="2FA6CD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49" w:type="dxa"/>
                  <w:vMerge w:val="restart"/>
                  <w:tcBorders>
                    <w:tl2br w:val="nil"/>
                    <w:tr2bl w:val="nil"/>
                  </w:tcBorders>
                  <w:vAlign w:val="center"/>
                </w:tcPr>
                <w:p w14:paraId="59C58F81">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r>
                    <w:rPr>
                      <w:rFonts w:hint="default" w:ascii="Times New Roman" w:hAnsi="Times New Roman" w:eastAsia="宋体" w:cs="Times New Roman"/>
                      <w:color w:val="auto"/>
                      <w:kern w:val="0"/>
                      <w:sz w:val="21"/>
                      <w:szCs w:val="21"/>
                      <w:highlight w:val="none"/>
                      <w:lang w:val="en-US" w:eastAsia="en-US" w:bidi="ar-SA"/>
                    </w:rPr>
                    <w:t>核医学楼三层核素治疗区</w:t>
                  </w:r>
                </w:p>
              </w:tc>
              <w:tc>
                <w:tcPr>
                  <w:tcW w:w="1339" w:type="dxa"/>
                  <w:tcBorders>
                    <w:tl2br w:val="nil"/>
                    <w:tr2bl w:val="nil"/>
                  </w:tcBorders>
                  <w:shd w:val="clear" w:color="auto" w:fill="auto"/>
                  <w:vAlign w:val="center"/>
                </w:tcPr>
                <w:p w14:paraId="2BF5B75E">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vertAlign w:val="baseline"/>
                      <w:lang w:val="en-US" w:eastAsia="zh-CN" w:bidi="ar-SA"/>
                    </w:rPr>
                    <w:t>I-131</w:t>
                  </w:r>
                  <w:r>
                    <w:rPr>
                      <w:rFonts w:hint="eastAsia" w:ascii="Times New Roman" w:hAnsi="Times New Roman" w:eastAsia="宋体" w:cs="Times New Roman"/>
                      <w:color w:val="auto"/>
                      <w:kern w:val="0"/>
                      <w:sz w:val="20"/>
                      <w:szCs w:val="20"/>
                      <w:highlight w:val="none"/>
                      <w:lang w:val="en-US" w:eastAsia="zh-CN" w:bidi="ar-SA"/>
                    </w:rPr>
                    <w:t>（胶囊）</w:t>
                  </w:r>
                </w:p>
              </w:tc>
              <w:tc>
                <w:tcPr>
                  <w:tcW w:w="1219" w:type="dxa"/>
                  <w:tcBorders>
                    <w:tl2br w:val="nil"/>
                    <w:tr2bl w:val="nil"/>
                  </w:tcBorders>
                  <w:shd w:val="clear" w:color="auto" w:fill="auto"/>
                  <w:vAlign w:val="center"/>
                </w:tcPr>
                <w:p w14:paraId="4088B50D">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9.44E+10</w:t>
                  </w:r>
                </w:p>
              </w:tc>
              <w:tc>
                <w:tcPr>
                  <w:tcW w:w="1015" w:type="dxa"/>
                  <w:tcBorders>
                    <w:tl2br w:val="nil"/>
                    <w:tr2bl w:val="nil"/>
                  </w:tcBorders>
                  <w:shd w:val="clear" w:color="auto" w:fill="auto"/>
                  <w:vAlign w:val="center"/>
                </w:tcPr>
                <w:p w14:paraId="080A676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中毒</w:t>
                  </w:r>
                </w:p>
              </w:tc>
              <w:tc>
                <w:tcPr>
                  <w:tcW w:w="971" w:type="dxa"/>
                  <w:tcBorders>
                    <w:tl2br w:val="nil"/>
                    <w:tr2bl w:val="nil"/>
                  </w:tcBorders>
                  <w:shd w:val="clear" w:color="auto" w:fill="auto"/>
                  <w:vAlign w:val="center"/>
                </w:tcPr>
                <w:p w14:paraId="28B99A8C">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0.1</w:t>
                  </w:r>
                </w:p>
              </w:tc>
              <w:tc>
                <w:tcPr>
                  <w:tcW w:w="951" w:type="dxa"/>
                  <w:tcBorders>
                    <w:tl2br w:val="nil"/>
                    <w:tr2bl w:val="nil"/>
                  </w:tcBorders>
                  <w:shd w:val="clear" w:color="auto" w:fill="auto"/>
                  <w:vAlign w:val="center"/>
                </w:tcPr>
                <w:p w14:paraId="21F48D5D">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简单操作</w:t>
                  </w:r>
                </w:p>
              </w:tc>
              <w:tc>
                <w:tcPr>
                  <w:tcW w:w="797" w:type="dxa"/>
                  <w:tcBorders>
                    <w:tl2br w:val="nil"/>
                    <w:tr2bl w:val="nil"/>
                  </w:tcBorders>
                  <w:shd w:val="clear" w:color="auto" w:fill="auto"/>
                  <w:vAlign w:val="center"/>
                </w:tcPr>
                <w:p w14:paraId="6909D412">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10</w:t>
                  </w:r>
                </w:p>
              </w:tc>
              <w:tc>
                <w:tcPr>
                  <w:tcW w:w="975" w:type="dxa"/>
                  <w:tcBorders>
                    <w:tl2br w:val="nil"/>
                    <w:tr2bl w:val="nil"/>
                  </w:tcBorders>
                  <w:shd w:val="clear" w:color="auto" w:fill="auto"/>
                  <w:vAlign w:val="center"/>
                </w:tcPr>
                <w:p w14:paraId="4FA3E15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9.44E+08</w:t>
                  </w:r>
                </w:p>
              </w:tc>
              <w:tc>
                <w:tcPr>
                  <w:tcW w:w="619" w:type="dxa"/>
                  <w:vMerge w:val="restart"/>
                  <w:tcBorders>
                    <w:tl2br w:val="nil"/>
                    <w:tr2bl w:val="nil"/>
                  </w:tcBorders>
                  <w:vAlign w:val="center"/>
                </w:tcPr>
                <w:p w14:paraId="3A5B7B31">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乙级</w:t>
                  </w:r>
                </w:p>
              </w:tc>
            </w:tr>
            <w:tr w14:paraId="03D8A5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tcBorders>
                    <w:tl2br w:val="nil"/>
                    <w:tr2bl w:val="nil"/>
                  </w:tcBorders>
                  <w:vAlign w:val="center"/>
                </w:tcPr>
                <w:p w14:paraId="7775A995">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p>
              </w:tc>
              <w:tc>
                <w:tcPr>
                  <w:tcW w:w="1339" w:type="dxa"/>
                  <w:tcBorders>
                    <w:tl2br w:val="nil"/>
                    <w:tr2bl w:val="nil"/>
                  </w:tcBorders>
                  <w:shd w:val="clear" w:color="auto" w:fill="auto"/>
                  <w:vAlign w:val="center"/>
                </w:tcPr>
                <w:p w14:paraId="7B47A3C5">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vertAlign w:val="baseline"/>
                      <w:lang w:val="en-US" w:eastAsia="zh-CN" w:bidi="ar-SA"/>
                    </w:rPr>
                    <w:t>Lu-177</w:t>
                  </w:r>
                </w:p>
              </w:tc>
              <w:tc>
                <w:tcPr>
                  <w:tcW w:w="1219" w:type="dxa"/>
                  <w:tcBorders>
                    <w:tl2br w:val="nil"/>
                    <w:tr2bl w:val="nil"/>
                  </w:tcBorders>
                  <w:shd w:val="clear" w:color="auto" w:fill="auto"/>
                  <w:vAlign w:val="center"/>
                </w:tcPr>
                <w:p w14:paraId="4C2492D3">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1.11E+10</w:t>
                  </w:r>
                </w:p>
              </w:tc>
              <w:tc>
                <w:tcPr>
                  <w:tcW w:w="1015" w:type="dxa"/>
                  <w:tcBorders>
                    <w:tl2br w:val="nil"/>
                    <w:tr2bl w:val="nil"/>
                  </w:tcBorders>
                  <w:shd w:val="clear" w:color="auto" w:fill="auto"/>
                  <w:vAlign w:val="center"/>
                </w:tcPr>
                <w:p w14:paraId="602A96C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中毒</w:t>
                  </w:r>
                </w:p>
              </w:tc>
              <w:tc>
                <w:tcPr>
                  <w:tcW w:w="971" w:type="dxa"/>
                  <w:tcBorders>
                    <w:tl2br w:val="nil"/>
                    <w:tr2bl w:val="nil"/>
                  </w:tcBorders>
                  <w:shd w:val="clear" w:color="auto" w:fill="auto"/>
                  <w:vAlign w:val="center"/>
                </w:tcPr>
                <w:p w14:paraId="39518EAC">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0.1</w:t>
                  </w:r>
                </w:p>
              </w:tc>
              <w:tc>
                <w:tcPr>
                  <w:tcW w:w="951" w:type="dxa"/>
                  <w:tcBorders>
                    <w:tl2br w:val="nil"/>
                    <w:tr2bl w:val="nil"/>
                  </w:tcBorders>
                  <w:shd w:val="clear" w:color="auto" w:fill="auto"/>
                  <w:vAlign w:val="center"/>
                </w:tcPr>
                <w:p w14:paraId="5733A36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简单操作</w:t>
                  </w:r>
                </w:p>
              </w:tc>
              <w:tc>
                <w:tcPr>
                  <w:tcW w:w="797" w:type="dxa"/>
                  <w:tcBorders>
                    <w:tl2br w:val="nil"/>
                    <w:tr2bl w:val="nil"/>
                  </w:tcBorders>
                  <w:shd w:val="clear" w:color="auto" w:fill="auto"/>
                  <w:vAlign w:val="center"/>
                </w:tcPr>
                <w:p w14:paraId="5837AE5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1</w:t>
                  </w:r>
                </w:p>
              </w:tc>
              <w:tc>
                <w:tcPr>
                  <w:tcW w:w="975" w:type="dxa"/>
                  <w:tcBorders>
                    <w:tl2br w:val="nil"/>
                    <w:tr2bl w:val="nil"/>
                  </w:tcBorders>
                  <w:shd w:val="clear" w:color="auto" w:fill="auto"/>
                  <w:vAlign w:val="center"/>
                </w:tcPr>
                <w:p w14:paraId="6C9DE1A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1.11E+09</w:t>
                  </w:r>
                </w:p>
              </w:tc>
              <w:tc>
                <w:tcPr>
                  <w:tcW w:w="619" w:type="dxa"/>
                  <w:vMerge w:val="continue"/>
                  <w:tcBorders>
                    <w:tl2br w:val="nil"/>
                    <w:tr2bl w:val="nil"/>
                  </w:tcBorders>
                  <w:vAlign w:val="center"/>
                </w:tcPr>
                <w:p w14:paraId="79E81D5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p>
              </w:tc>
            </w:tr>
            <w:tr w14:paraId="2B95012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vAlign w:val="center"/>
                </w:tcPr>
                <w:p w14:paraId="5E76BEB4">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p>
              </w:tc>
              <w:tc>
                <w:tcPr>
                  <w:tcW w:w="0" w:type="auto"/>
                  <w:shd w:val="clear" w:color="auto" w:fill="auto"/>
                  <w:vAlign w:val="center"/>
                </w:tcPr>
                <w:p w14:paraId="3C6E8EE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vertAlign w:val="baseline"/>
                      <w:lang w:val="en-US" w:eastAsia="zh-CN" w:bidi="ar-SA"/>
                    </w:rPr>
                    <w:t>Ra-223</w:t>
                  </w:r>
                </w:p>
              </w:tc>
              <w:tc>
                <w:tcPr>
                  <w:tcW w:w="0" w:type="auto"/>
                  <w:shd w:val="clear" w:color="auto" w:fill="auto"/>
                  <w:vAlign w:val="center"/>
                </w:tcPr>
                <w:p w14:paraId="32FAB76B">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5.50E+06</w:t>
                  </w:r>
                </w:p>
              </w:tc>
              <w:tc>
                <w:tcPr>
                  <w:tcW w:w="0" w:type="auto"/>
                  <w:shd w:val="clear" w:color="auto" w:fill="auto"/>
                  <w:vAlign w:val="center"/>
                </w:tcPr>
                <w:p w14:paraId="78316F47">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极毒</w:t>
                  </w:r>
                </w:p>
              </w:tc>
              <w:tc>
                <w:tcPr>
                  <w:tcW w:w="0" w:type="auto"/>
                  <w:shd w:val="clear" w:color="auto" w:fill="auto"/>
                  <w:vAlign w:val="center"/>
                </w:tcPr>
                <w:p w14:paraId="49F9953F">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10</w:t>
                  </w:r>
                </w:p>
              </w:tc>
              <w:tc>
                <w:tcPr>
                  <w:tcW w:w="0" w:type="auto"/>
                  <w:shd w:val="clear" w:color="auto" w:fill="auto"/>
                  <w:vAlign w:val="center"/>
                </w:tcPr>
                <w:p w14:paraId="3CB988F4">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简单操作</w:t>
                  </w:r>
                </w:p>
              </w:tc>
              <w:tc>
                <w:tcPr>
                  <w:tcW w:w="797" w:type="dxa"/>
                  <w:shd w:val="clear" w:color="auto" w:fill="auto"/>
                  <w:vAlign w:val="center"/>
                </w:tcPr>
                <w:p w14:paraId="04987601">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1</w:t>
                  </w:r>
                </w:p>
              </w:tc>
              <w:tc>
                <w:tcPr>
                  <w:tcW w:w="975" w:type="dxa"/>
                  <w:shd w:val="clear" w:color="auto" w:fill="auto"/>
                  <w:vAlign w:val="center"/>
                </w:tcPr>
                <w:p w14:paraId="542FD20A">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5.50E+07</w:t>
                  </w:r>
                </w:p>
              </w:tc>
              <w:tc>
                <w:tcPr>
                  <w:tcW w:w="619" w:type="dxa"/>
                  <w:vMerge w:val="continue"/>
                </w:tcPr>
                <w:p w14:paraId="0070C6D1">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p>
              </w:tc>
            </w:tr>
            <w:tr w14:paraId="4C16CA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149" w:type="dxa"/>
                  <w:vMerge w:val="continue"/>
                  <w:vAlign w:val="center"/>
                </w:tcPr>
                <w:p w14:paraId="5FAC6D8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bidi="ar-SA"/>
                    </w:rPr>
                  </w:pPr>
                </w:p>
              </w:tc>
              <w:tc>
                <w:tcPr>
                  <w:tcW w:w="0" w:type="auto"/>
                  <w:shd w:val="clear" w:color="auto" w:fill="auto"/>
                  <w:vAlign w:val="center"/>
                </w:tcPr>
                <w:p w14:paraId="1CFE076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vertAlign w:val="baseline"/>
                      <w:lang w:val="en-US" w:eastAsia="zh-CN" w:bidi="ar-SA"/>
                    </w:rPr>
                    <w:t>Ac-225</w:t>
                  </w:r>
                </w:p>
              </w:tc>
              <w:tc>
                <w:tcPr>
                  <w:tcW w:w="0" w:type="auto"/>
                  <w:shd w:val="clear" w:color="auto" w:fill="auto"/>
                  <w:vAlign w:val="center"/>
                </w:tcPr>
                <w:p w14:paraId="4B6A4429">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1.00E+07</w:t>
                  </w:r>
                </w:p>
              </w:tc>
              <w:tc>
                <w:tcPr>
                  <w:tcW w:w="0" w:type="auto"/>
                  <w:shd w:val="clear" w:color="auto" w:fill="auto"/>
                  <w:vAlign w:val="center"/>
                </w:tcPr>
                <w:p w14:paraId="72934E4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极毒</w:t>
                  </w:r>
                </w:p>
              </w:tc>
              <w:tc>
                <w:tcPr>
                  <w:tcW w:w="0" w:type="auto"/>
                  <w:shd w:val="clear" w:color="auto" w:fill="auto"/>
                  <w:vAlign w:val="center"/>
                </w:tcPr>
                <w:p w14:paraId="5E9EF93B">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10</w:t>
                  </w:r>
                </w:p>
              </w:tc>
              <w:tc>
                <w:tcPr>
                  <w:tcW w:w="0" w:type="auto"/>
                  <w:shd w:val="clear" w:color="auto" w:fill="auto"/>
                  <w:vAlign w:val="center"/>
                </w:tcPr>
                <w:p w14:paraId="016F8FE5">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简单操作</w:t>
                  </w:r>
                </w:p>
              </w:tc>
              <w:tc>
                <w:tcPr>
                  <w:tcW w:w="797" w:type="dxa"/>
                  <w:shd w:val="clear" w:color="auto" w:fill="auto"/>
                  <w:vAlign w:val="center"/>
                </w:tcPr>
                <w:p w14:paraId="2E850A5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bidi="ar-SA"/>
                    </w:rPr>
                  </w:pPr>
                  <w:r>
                    <w:rPr>
                      <w:rFonts w:hint="default" w:ascii="Times New Roman" w:hAnsi="Times New Roman" w:eastAsia="宋体" w:cs="Times New Roman"/>
                      <w:color w:val="auto"/>
                      <w:kern w:val="0"/>
                      <w:sz w:val="20"/>
                      <w:szCs w:val="20"/>
                      <w:highlight w:val="none"/>
                      <w:lang w:val="en-US" w:eastAsia="zh-CN" w:bidi="ar-SA"/>
                    </w:rPr>
                    <w:t>1</w:t>
                  </w:r>
                </w:p>
              </w:tc>
              <w:tc>
                <w:tcPr>
                  <w:tcW w:w="975" w:type="dxa"/>
                  <w:shd w:val="clear" w:color="auto" w:fill="auto"/>
                  <w:vAlign w:val="center"/>
                </w:tcPr>
                <w:p w14:paraId="1FA845B0">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1.00E+08</w:t>
                  </w:r>
                </w:p>
              </w:tc>
              <w:tc>
                <w:tcPr>
                  <w:tcW w:w="619" w:type="dxa"/>
                  <w:vMerge w:val="continue"/>
                </w:tcPr>
                <w:p w14:paraId="752DB775">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p>
              </w:tc>
            </w:tr>
            <w:tr w14:paraId="0CC7DB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PrEx>
              <w:trPr>
                <w:trHeight w:val="288" w:hRule="atLeast"/>
              </w:trPr>
              <w:tc>
                <w:tcPr>
                  <w:tcW w:w="7441" w:type="dxa"/>
                  <w:gridSpan w:val="7"/>
                  <w:vAlign w:val="center"/>
                </w:tcPr>
                <w:p w14:paraId="4692A018">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default" w:ascii="Times New Roman" w:hAnsi="Times New Roman" w:eastAsia="宋体" w:cs="Times New Roman"/>
                      <w:color w:val="auto"/>
                      <w:kern w:val="0"/>
                      <w:sz w:val="20"/>
                      <w:szCs w:val="20"/>
                      <w:highlight w:val="none"/>
                      <w:lang w:val="en-US" w:eastAsia="zh-CN" w:bidi="ar-SA"/>
                    </w:rPr>
                    <w:t>合计</w:t>
                  </w:r>
                </w:p>
              </w:tc>
              <w:tc>
                <w:tcPr>
                  <w:tcW w:w="975" w:type="dxa"/>
                  <w:shd w:val="clear" w:color="auto" w:fill="auto"/>
                  <w:vAlign w:val="center"/>
                </w:tcPr>
                <w:p w14:paraId="2A6928E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bidi="ar-SA"/>
                    </w:rPr>
                  </w:pPr>
                  <w:r>
                    <w:rPr>
                      <w:rFonts w:hint="eastAsia" w:cs="Times New Roman"/>
                      <w:color w:val="auto"/>
                      <w:kern w:val="0"/>
                      <w:sz w:val="20"/>
                      <w:szCs w:val="20"/>
                      <w:highlight w:val="none"/>
                      <w:lang w:val="en-US" w:eastAsia="zh-CN" w:bidi="ar-SA"/>
                    </w:rPr>
                    <w:t>2.21</w:t>
                  </w:r>
                  <w:r>
                    <w:rPr>
                      <w:rFonts w:hint="eastAsia" w:ascii="Times New Roman" w:hAnsi="Times New Roman" w:eastAsia="宋体" w:cs="Times New Roman"/>
                      <w:color w:val="auto"/>
                      <w:kern w:val="0"/>
                      <w:sz w:val="20"/>
                      <w:szCs w:val="20"/>
                      <w:highlight w:val="none"/>
                      <w:lang w:val="en-US" w:eastAsia="zh-CN" w:bidi="ar-SA"/>
                    </w:rPr>
                    <w:t>E+09</w:t>
                  </w:r>
                </w:p>
              </w:tc>
              <w:tc>
                <w:tcPr>
                  <w:tcW w:w="619" w:type="dxa"/>
                  <w:vMerge w:val="continue"/>
                </w:tcPr>
                <w:p w14:paraId="71103986">
                  <w:pPr>
                    <w:keepNext w:val="0"/>
                    <w:keepLines w:val="0"/>
                    <w:widowControl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p>
              </w:tc>
            </w:tr>
          </w:tbl>
          <w:p w14:paraId="432D7429">
            <w:pPr>
              <w:keepNext w:val="0"/>
              <w:keepLines w:val="0"/>
              <w:suppressLineNumbers w:val="0"/>
              <w:autoSpaceDE w:val="0"/>
              <w:autoSpaceDN w:val="0"/>
              <w:bidi w:val="0"/>
              <w:spacing w:before="0" w:beforeAutospacing="0" w:after="0" w:afterAutospacing="0"/>
              <w:ind w:left="0" w:right="0" w:firstLine="0" w:firstLineChars="0"/>
              <w:jc w:val="both"/>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注：医疗机构</w:t>
            </w:r>
            <w:r>
              <w:rPr>
                <w:rFonts w:hint="eastAsia" w:cs="Times New Roman"/>
                <w:b/>
                <w:bCs/>
                <w:color w:val="auto"/>
                <w:kern w:val="0"/>
                <w:sz w:val="21"/>
                <w:szCs w:val="21"/>
                <w:highlight w:val="none"/>
                <w:lang w:val="en-US" w:eastAsia="zh-CN"/>
              </w:rPr>
              <w:t>使用</w:t>
            </w:r>
            <w:r>
              <w:rPr>
                <w:rFonts w:hint="eastAsia" w:cs="Times New Roman"/>
                <w:b/>
                <w:bCs/>
                <w:color w:val="auto"/>
                <w:kern w:val="0"/>
                <w:sz w:val="21"/>
                <w:szCs w:val="21"/>
                <w:highlight w:val="none"/>
                <w:vertAlign w:val="superscript"/>
                <w:lang w:val="en-US" w:eastAsia="zh-CN"/>
              </w:rPr>
              <w:t>131</w:t>
            </w:r>
            <w:r>
              <w:rPr>
                <w:rFonts w:hint="default" w:ascii="Times New Roman" w:hAnsi="Times New Roman" w:eastAsia="宋体" w:cs="Times New Roman"/>
                <w:b/>
                <w:bCs/>
                <w:color w:val="auto"/>
                <w:kern w:val="0"/>
                <w:sz w:val="21"/>
                <w:szCs w:val="21"/>
                <w:highlight w:val="none"/>
                <w:lang w:val="en-US" w:eastAsia="zh-CN"/>
              </w:rPr>
              <w:t>I核素相关活动视为“简单操作”，</w:t>
            </w:r>
            <w:r>
              <w:rPr>
                <w:rFonts w:hint="eastAsia" w:cs="Times New Roman"/>
                <w:b/>
                <w:bCs/>
                <w:color w:val="auto"/>
                <w:kern w:val="0"/>
                <w:sz w:val="21"/>
                <w:szCs w:val="21"/>
                <w:highlight w:val="none"/>
                <w:vertAlign w:val="baseline"/>
                <w:lang w:val="en-US" w:eastAsia="zh-CN"/>
              </w:rPr>
              <w:t>I-131</w:t>
            </w:r>
            <w:r>
              <w:rPr>
                <w:rFonts w:hint="default" w:ascii="Times New Roman" w:hAnsi="Times New Roman" w:eastAsia="宋体" w:cs="Times New Roman"/>
                <w:b/>
                <w:bCs/>
                <w:color w:val="auto"/>
                <w:kern w:val="0"/>
                <w:sz w:val="21"/>
                <w:szCs w:val="21"/>
                <w:highlight w:val="none"/>
                <w:lang w:val="en-US" w:eastAsia="zh-CN"/>
              </w:rPr>
              <w:t>胶囊为表面污染水平较低的固体，操作方式修正因子取10。</w:t>
            </w:r>
          </w:p>
          <w:p w14:paraId="21E56A78">
            <w:pPr>
              <w:keepNext w:val="0"/>
              <w:keepLines w:val="0"/>
              <w:suppressLineNumbers w:val="0"/>
              <w:bidi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auto"/>
                <w:highlight w:val="none"/>
                <w:lang w:val="en-US" w:eastAsia="zh-CN"/>
              </w:rPr>
            </w:pPr>
            <w:r>
              <w:rPr>
                <w:rFonts w:hint="eastAsia" w:cs="Times New Roman"/>
                <w:b w:val="0"/>
                <w:bCs w:val="0"/>
                <w:color w:val="auto"/>
                <w:highlight w:val="none"/>
                <w:lang w:val="en-US" w:eastAsia="zh-CN"/>
              </w:rPr>
              <w:t>此外，核医学楼已许可使用Sr-89进行骨转移治疗，许可的日等效最大操作量为2.96E+07，使用区域为核医学楼三层核素治疗区。调整后的核医学楼三层核素治疗区整体非密封放射性物工作场所分级情况如下：</w:t>
            </w:r>
          </w:p>
          <w:p w14:paraId="725EDCB3">
            <w:pPr>
              <w:keepNext w:val="0"/>
              <w:keepLines w:val="0"/>
              <w:suppressLineNumbers w:val="0"/>
              <w:bidi w:val="0"/>
              <w:spacing w:before="0" w:beforeAutospacing="0" w:after="0" w:afterAutospacing="0"/>
              <w:ind w:left="0" w:right="0" w:firstLine="482" w:firstLineChars="20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表10-</w:t>
            </w:r>
            <w:r>
              <w:rPr>
                <w:rFonts w:hint="eastAsia" w:cs="Times New Roman"/>
                <w:b/>
                <w:bCs/>
                <w:color w:val="auto"/>
                <w:highlight w:val="none"/>
                <w:lang w:val="en-US" w:eastAsia="zh-CN"/>
              </w:rPr>
              <w:t>9</w:t>
            </w:r>
            <w:r>
              <w:rPr>
                <w:rFonts w:hint="default" w:ascii="Times New Roman" w:hAnsi="Times New Roman" w:cs="Times New Roman"/>
                <w:b/>
                <w:bCs/>
                <w:color w:val="auto"/>
                <w:highlight w:val="none"/>
                <w:lang w:val="en-US" w:eastAsia="zh-CN"/>
              </w:rPr>
              <w:t xml:space="preserve">  </w:t>
            </w:r>
            <w:r>
              <w:rPr>
                <w:rFonts w:hint="default" w:ascii="Times New Roman" w:hAnsi="Times New Roman" w:cs="Times New Roman"/>
                <w:b/>
                <w:bCs/>
                <w:color w:val="auto"/>
                <w:highlight w:val="none"/>
                <w:lang w:val="en-US" w:eastAsia="en-US"/>
              </w:rPr>
              <w:t>核医学楼三层核素治疗区</w:t>
            </w:r>
            <w:r>
              <w:rPr>
                <w:rFonts w:hint="default" w:ascii="Times New Roman" w:hAnsi="Times New Roman" w:cs="Times New Roman"/>
                <w:b/>
                <w:bCs/>
                <w:color w:val="auto"/>
                <w:highlight w:val="none"/>
                <w:lang w:val="en-US" w:eastAsia="zh-CN"/>
              </w:rPr>
              <w:t>分级情况</w:t>
            </w:r>
            <w:r>
              <w:rPr>
                <w:rFonts w:hint="eastAsia" w:cs="Times New Roman"/>
                <w:b/>
                <w:bCs/>
                <w:color w:val="auto"/>
                <w:highlight w:val="none"/>
                <w:lang w:val="en-US" w:eastAsia="zh-CN"/>
              </w:rPr>
              <w:t>（最终）</w:t>
            </w:r>
          </w:p>
          <w:tbl>
            <w:tblPr>
              <w:tblStyle w:val="30"/>
              <w:tblW w:w="8997"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329"/>
              <w:gridCol w:w="2716"/>
              <w:gridCol w:w="1976"/>
              <w:gridCol w:w="1976"/>
            </w:tblGrid>
            <w:tr w14:paraId="67466C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329" w:type="dxa"/>
                  <w:tcBorders>
                    <w:tl2br w:val="nil"/>
                    <w:tr2bl w:val="nil"/>
                  </w:tcBorders>
                  <w:vAlign w:val="center"/>
                </w:tcPr>
                <w:p w14:paraId="49CAADE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操作场所</w:t>
                  </w:r>
                </w:p>
              </w:tc>
              <w:tc>
                <w:tcPr>
                  <w:tcW w:w="2716" w:type="dxa"/>
                  <w:tcBorders>
                    <w:tl2br w:val="nil"/>
                    <w:tr2bl w:val="nil"/>
                  </w:tcBorders>
                  <w:vAlign w:val="center"/>
                </w:tcPr>
                <w:p w14:paraId="029E2BE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核素名称</w:t>
                  </w:r>
                </w:p>
              </w:tc>
              <w:tc>
                <w:tcPr>
                  <w:tcW w:w="1976" w:type="dxa"/>
                  <w:tcBorders>
                    <w:tl2br w:val="nil"/>
                    <w:tr2bl w:val="nil"/>
                  </w:tcBorders>
                  <w:vAlign w:val="center"/>
                </w:tcPr>
                <w:p w14:paraId="3765E2E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日等效（Bq）</w:t>
                  </w:r>
                </w:p>
              </w:tc>
              <w:tc>
                <w:tcPr>
                  <w:tcW w:w="1976" w:type="dxa"/>
                  <w:tcBorders>
                    <w:tl2br w:val="nil"/>
                    <w:tr2bl w:val="nil"/>
                  </w:tcBorders>
                  <w:vAlign w:val="center"/>
                </w:tcPr>
                <w:p w14:paraId="4563443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eastAsia" w:ascii="Times New Roman" w:hAnsi="Times New Roman" w:eastAsia="宋体" w:cs="Times New Roman"/>
                      <w:color w:val="auto"/>
                      <w:kern w:val="0"/>
                      <w:sz w:val="20"/>
                      <w:szCs w:val="20"/>
                      <w:highlight w:val="none"/>
                      <w:lang w:val="en-US" w:eastAsia="zh-CN"/>
                    </w:rPr>
                    <w:t>备注</w:t>
                  </w:r>
                </w:p>
              </w:tc>
            </w:tr>
            <w:tr w14:paraId="11DDF3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329" w:type="dxa"/>
                  <w:vMerge w:val="restart"/>
                  <w:tcBorders>
                    <w:tl2br w:val="nil"/>
                    <w:tr2bl w:val="nil"/>
                  </w:tcBorders>
                  <w:vAlign w:val="center"/>
                </w:tcPr>
                <w:p w14:paraId="224C043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核医学楼三层核素治疗区</w:t>
                  </w:r>
                </w:p>
              </w:tc>
              <w:tc>
                <w:tcPr>
                  <w:tcW w:w="2716" w:type="dxa"/>
                  <w:tcBorders>
                    <w:tl2br w:val="nil"/>
                    <w:tr2bl w:val="nil"/>
                  </w:tcBorders>
                  <w:shd w:val="clear" w:color="auto" w:fill="auto"/>
                  <w:vAlign w:val="center"/>
                </w:tcPr>
                <w:p w14:paraId="09E4078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Sr-89</w:t>
                  </w:r>
                </w:p>
              </w:tc>
              <w:tc>
                <w:tcPr>
                  <w:tcW w:w="1976" w:type="dxa"/>
                  <w:tcBorders>
                    <w:tl2br w:val="nil"/>
                    <w:tr2bl w:val="nil"/>
                  </w:tcBorders>
                  <w:shd w:val="clear" w:color="auto" w:fill="auto"/>
                  <w:vAlign w:val="center"/>
                </w:tcPr>
                <w:p w14:paraId="1D1550E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2.96E+07</w:t>
                  </w:r>
                </w:p>
              </w:tc>
              <w:tc>
                <w:tcPr>
                  <w:tcW w:w="1976" w:type="dxa"/>
                  <w:tcBorders>
                    <w:tl2br w:val="nil"/>
                    <w:tr2bl w:val="nil"/>
                  </w:tcBorders>
                  <w:shd w:val="clear" w:color="auto" w:fill="auto"/>
                  <w:vAlign w:val="center"/>
                </w:tcPr>
                <w:p w14:paraId="5135C25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eastAsia" w:ascii="Times New Roman" w:hAnsi="Times New Roman" w:eastAsia="宋体" w:cs="Times New Roman"/>
                      <w:color w:val="auto"/>
                      <w:kern w:val="0"/>
                      <w:sz w:val="20"/>
                      <w:szCs w:val="20"/>
                      <w:highlight w:val="none"/>
                      <w:lang w:val="en-US" w:eastAsia="zh-CN"/>
                    </w:rPr>
                    <w:t>原许可</w:t>
                  </w:r>
                </w:p>
              </w:tc>
            </w:tr>
            <w:tr w14:paraId="152223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329" w:type="dxa"/>
                  <w:vMerge w:val="continue"/>
                </w:tcPr>
                <w:p w14:paraId="45DD610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p>
              </w:tc>
              <w:tc>
                <w:tcPr>
                  <w:tcW w:w="2716" w:type="dxa"/>
                  <w:shd w:val="clear" w:color="auto" w:fill="auto"/>
                  <w:vAlign w:val="center"/>
                </w:tcPr>
                <w:p w14:paraId="26975B5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vertAlign w:val="baseline"/>
                      <w:lang w:val="en-US" w:eastAsia="zh-CN"/>
                    </w:rPr>
                    <w:t>I-131</w:t>
                  </w:r>
                </w:p>
              </w:tc>
              <w:tc>
                <w:tcPr>
                  <w:tcW w:w="1976" w:type="dxa"/>
                  <w:shd w:val="clear" w:color="auto" w:fill="auto"/>
                  <w:vAlign w:val="center"/>
                </w:tcPr>
                <w:p w14:paraId="5891781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9.44E+08</w:t>
                  </w:r>
                </w:p>
              </w:tc>
              <w:tc>
                <w:tcPr>
                  <w:tcW w:w="1976" w:type="dxa"/>
                  <w:shd w:val="clear" w:color="auto" w:fill="auto"/>
                  <w:vAlign w:val="center"/>
                </w:tcPr>
                <w:p w14:paraId="12552DE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eastAsia" w:ascii="Times New Roman" w:hAnsi="Times New Roman" w:eastAsia="宋体" w:cs="Times New Roman"/>
                      <w:color w:val="auto"/>
                      <w:kern w:val="0"/>
                      <w:sz w:val="20"/>
                      <w:szCs w:val="20"/>
                      <w:highlight w:val="none"/>
                      <w:lang w:val="en-US" w:eastAsia="zh-CN"/>
                    </w:rPr>
                    <w:t>新调整</w:t>
                  </w:r>
                </w:p>
              </w:tc>
            </w:tr>
            <w:tr w14:paraId="6F2285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329" w:type="dxa"/>
                  <w:vMerge w:val="continue"/>
                </w:tcPr>
                <w:p w14:paraId="6C53C60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p>
              </w:tc>
              <w:tc>
                <w:tcPr>
                  <w:tcW w:w="2716" w:type="dxa"/>
                  <w:shd w:val="clear" w:color="auto" w:fill="auto"/>
                  <w:vAlign w:val="center"/>
                </w:tcPr>
                <w:p w14:paraId="44A86AB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vertAlign w:val="baseline"/>
                      <w:lang w:val="en-US" w:eastAsia="zh-CN"/>
                    </w:rPr>
                    <w:t>Lu-177</w:t>
                  </w:r>
                </w:p>
              </w:tc>
              <w:tc>
                <w:tcPr>
                  <w:tcW w:w="1976" w:type="dxa"/>
                  <w:shd w:val="clear" w:color="auto" w:fill="auto"/>
                  <w:vAlign w:val="center"/>
                </w:tcPr>
                <w:p w14:paraId="1636D52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1.11E+09</w:t>
                  </w:r>
                </w:p>
              </w:tc>
              <w:tc>
                <w:tcPr>
                  <w:tcW w:w="1976" w:type="dxa"/>
                  <w:shd w:val="clear" w:color="auto" w:fill="auto"/>
                  <w:vAlign w:val="center"/>
                </w:tcPr>
                <w:p w14:paraId="71CEBA1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eastAsia" w:ascii="Times New Roman" w:hAnsi="Times New Roman" w:eastAsia="宋体" w:cs="Times New Roman"/>
                      <w:color w:val="auto"/>
                      <w:kern w:val="0"/>
                      <w:sz w:val="20"/>
                      <w:szCs w:val="20"/>
                      <w:highlight w:val="none"/>
                      <w:lang w:val="en-US" w:eastAsia="zh-CN"/>
                    </w:rPr>
                    <w:t>新调整</w:t>
                  </w:r>
                </w:p>
              </w:tc>
            </w:tr>
            <w:tr w14:paraId="277939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329" w:type="dxa"/>
                  <w:vMerge w:val="continue"/>
                </w:tcPr>
                <w:p w14:paraId="4E04A36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p>
              </w:tc>
              <w:tc>
                <w:tcPr>
                  <w:tcW w:w="2716" w:type="dxa"/>
                  <w:shd w:val="clear" w:color="auto" w:fill="auto"/>
                  <w:vAlign w:val="center"/>
                </w:tcPr>
                <w:p w14:paraId="569C3AB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vertAlign w:val="baseline"/>
                      <w:lang w:val="en-US" w:eastAsia="zh-CN"/>
                    </w:rPr>
                    <w:t>Ra-223</w:t>
                  </w:r>
                </w:p>
              </w:tc>
              <w:tc>
                <w:tcPr>
                  <w:tcW w:w="1976" w:type="dxa"/>
                  <w:shd w:val="clear" w:color="auto" w:fill="auto"/>
                  <w:vAlign w:val="center"/>
                </w:tcPr>
                <w:p w14:paraId="5394AD83">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5.50E+07</w:t>
                  </w:r>
                </w:p>
              </w:tc>
              <w:tc>
                <w:tcPr>
                  <w:tcW w:w="1976" w:type="dxa"/>
                  <w:shd w:val="clear" w:color="auto" w:fill="auto"/>
                  <w:vAlign w:val="center"/>
                </w:tcPr>
                <w:p w14:paraId="7254882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eastAsia" w:ascii="Times New Roman" w:hAnsi="Times New Roman" w:eastAsia="宋体" w:cs="Times New Roman"/>
                      <w:color w:val="auto"/>
                      <w:kern w:val="0"/>
                      <w:sz w:val="20"/>
                      <w:szCs w:val="20"/>
                      <w:highlight w:val="none"/>
                      <w:lang w:val="en-US" w:eastAsia="zh-CN"/>
                    </w:rPr>
                    <w:t>新调整</w:t>
                  </w:r>
                </w:p>
              </w:tc>
            </w:tr>
            <w:tr w14:paraId="29EE16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2329" w:type="dxa"/>
                  <w:vMerge w:val="continue"/>
                </w:tcPr>
                <w:p w14:paraId="1F0D5AA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p>
              </w:tc>
              <w:tc>
                <w:tcPr>
                  <w:tcW w:w="2716" w:type="dxa"/>
                  <w:shd w:val="clear" w:color="auto" w:fill="auto"/>
                  <w:vAlign w:val="center"/>
                </w:tcPr>
                <w:p w14:paraId="16047960">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vertAlign w:val="baseline"/>
                      <w:lang w:val="en-US" w:eastAsia="zh-CN"/>
                    </w:rPr>
                    <w:t>Ac-225</w:t>
                  </w:r>
                </w:p>
              </w:tc>
              <w:tc>
                <w:tcPr>
                  <w:tcW w:w="1976" w:type="dxa"/>
                  <w:shd w:val="clear" w:color="auto" w:fill="auto"/>
                  <w:vAlign w:val="center"/>
                </w:tcPr>
                <w:p w14:paraId="7AD91A8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1.00E+08</w:t>
                  </w:r>
                </w:p>
              </w:tc>
              <w:tc>
                <w:tcPr>
                  <w:tcW w:w="1976" w:type="dxa"/>
                  <w:vAlign w:val="center"/>
                </w:tcPr>
                <w:p w14:paraId="4C2C02A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eastAsia" w:ascii="Times New Roman" w:hAnsi="Times New Roman" w:eastAsia="宋体" w:cs="Times New Roman"/>
                      <w:color w:val="auto"/>
                      <w:kern w:val="0"/>
                      <w:sz w:val="20"/>
                      <w:szCs w:val="20"/>
                      <w:highlight w:val="none"/>
                      <w:lang w:val="en-US" w:eastAsia="zh-CN"/>
                    </w:rPr>
                    <w:t>新调整</w:t>
                  </w:r>
                </w:p>
              </w:tc>
            </w:tr>
            <w:tr w14:paraId="6663CA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0" w:hRule="exact"/>
              </w:trPr>
              <w:tc>
                <w:tcPr>
                  <w:tcW w:w="5045" w:type="dxa"/>
                  <w:gridSpan w:val="2"/>
                </w:tcPr>
                <w:p w14:paraId="2A1F8A0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eastAsia" w:cs="Times New Roman"/>
                      <w:color w:val="auto"/>
                      <w:kern w:val="0"/>
                      <w:sz w:val="20"/>
                      <w:szCs w:val="20"/>
                      <w:highlight w:val="none"/>
                      <w:lang w:val="en-US" w:eastAsia="zh-CN"/>
                    </w:rPr>
                    <w:t>合计</w:t>
                  </w:r>
                </w:p>
              </w:tc>
              <w:tc>
                <w:tcPr>
                  <w:tcW w:w="1976" w:type="dxa"/>
                  <w:shd w:val="clear" w:color="auto" w:fill="auto"/>
                  <w:vAlign w:val="center"/>
                </w:tcPr>
                <w:p w14:paraId="3BA4C3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20"/>
                      <w:szCs w:val="20"/>
                      <w:highlight w:val="none"/>
                      <w:u w:val="none"/>
                      <w:lang w:val="en-US" w:eastAsia="zh-CN" w:bidi="ar-SA"/>
                    </w:rPr>
                  </w:pPr>
                  <w:r>
                    <w:rPr>
                      <w:rFonts w:hint="default" w:ascii="Times New Roman" w:hAnsi="Times New Roman" w:eastAsia="宋体" w:cs="Times New Roman"/>
                      <w:i w:val="0"/>
                      <w:iCs w:val="0"/>
                      <w:color w:val="auto"/>
                      <w:kern w:val="0"/>
                      <w:sz w:val="20"/>
                      <w:szCs w:val="20"/>
                      <w:highlight w:val="none"/>
                      <w:u w:val="none"/>
                      <w:lang w:val="en-US" w:eastAsia="zh-CN" w:bidi="ar"/>
                    </w:rPr>
                    <w:t>2.24E+09</w:t>
                  </w:r>
                </w:p>
              </w:tc>
              <w:tc>
                <w:tcPr>
                  <w:tcW w:w="1976" w:type="dxa"/>
                  <w:vAlign w:val="center"/>
                </w:tcPr>
                <w:p w14:paraId="00FC1BC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eastAsia" w:ascii="Times New Roman" w:hAnsi="Times New Roman" w:eastAsia="宋体" w:cs="Times New Roman"/>
                      <w:color w:val="auto"/>
                      <w:kern w:val="0"/>
                      <w:sz w:val="20"/>
                      <w:szCs w:val="20"/>
                      <w:highlight w:val="none"/>
                      <w:lang w:val="en-US" w:eastAsia="zh-CN"/>
                    </w:rPr>
                  </w:pPr>
                  <w:r>
                    <w:rPr>
                      <w:rFonts w:hint="eastAsia" w:ascii="Times New Roman" w:hAnsi="Times New Roman" w:eastAsia="宋体" w:cs="Times New Roman"/>
                      <w:color w:val="auto"/>
                      <w:kern w:val="0"/>
                      <w:sz w:val="20"/>
                      <w:szCs w:val="20"/>
                      <w:highlight w:val="none"/>
                      <w:lang w:val="en-US" w:eastAsia="zh-CN"/>
                    </w:rPr>
                    <w:t>乙级</w:t>
                  </w:r>
                </w:p>
              </w:tc>
            </w:tr>
          </w:tbl>
          <w:p w14:paraId="7551511E">
            <w:pPr>
              <w:keepNext w:val="0"/>
              <w:keepLines w:val="0"/>
              <w:suppressLineNumbers w:val="0"/>
              <w:bidi w:val="0"/>
              <w:spacing w:before="0" w:beforeAutospacing="0" w:after="0" w:afterAutospacing="0"/>
              <w:ind w:left="0" w:right="0" w:firstLine="482" w:firstLineChars="200"/>
              <w:jc w:val="center"/>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表10-</w:t>
            </w:r>
            <w:r>
              <w:rPr>
                <w:rFonts w:hint="eastAsia" w:cs="Times New Roman"/>
                <w:b/>
                <w:bCs/>
                <w:color w:val="auto"/>
                <w:highlight w:val="none"/>
                <w:lang w:val="en-US" w:eastAsia="zh-CN"/>
              </w:rPr>
              <w:t>10</w:t>
            </w:r>
            <w:r>
              <w:rPr>
                <w:rFonts w:hint="default" w:ascii="Times New Roman" w:hAnsi="Times New Roman" w:cs="Times New Roman"/>
                <w:b/>
                <w:bCs/>
                <w:color w:val="auto"/>
                <w:highlight w:val="none"/>
                <w:lang w:val="en-US" w:eastAsia="zh-CN"/>
              </w:rPr>
              <w:t xml:space="preserve">  </w:t>
            </w:r>
            <w:r>
              <w:rPr>
                <w:rFonts w:hint="default" w:ascii="Times New Roman" w:hAnsi="Times New Roman" w:cs="Times New Roman"/>
                <w:b/>
                <w:bCs/>
                <w:color w:val="auto"/>
                <w:highlight w:val="none"/>
                <w:lang w:val="en-US" w:eastAsia="en-US"/>
              </w:rPr>
              <w:t>综合楼一层介入手术2室</w:t>
            </w:r>
            <w:r>
              <w:rPr>
                <w:rFonts w:hint="default" w:ascii="Times New Roman" w:hAnsi="Times New Roman" w:cs="Times New Roman"/>
                <w:b/>
                <w:bCs/>
                <w:color w:val="auto"/>
                <w:highlight w:val="none"/>
                <w:lang w:val="en-US" w:eastAsia="zh-CN"/>
              </w:rPr>
              <w:t>分级情况</w:t>
            </w:r>
          </w:p>
          <w:tbl>
            <w:tblPr>
              <w:tblStyle w:val="30"/>
              <w:tblW w:w="9035"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49"/>
              <w:gridCol w:w="1187"/>
              <w:gridCol w:w="1172"/>
              <w:gridCol w:w="997"/>
              <w:gridCol w:w="914"/>
              <w:gridCol w:w="1225"/>
              <w:gridCol w:w="797"/>
              <w:gridCol w:w="975"/>
              <w:gridCol w:w="619"/>
            </w:tblGrid>
            <w:tr w14:paraId="2D186E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149" w:type="dxa"/>
                  <w:tcBorders>
                    <w:tl2br w:val="nil"/>
                    <w:tr2bl w:val="nil"/>
                  </w:tcBorders>
                  <w:vAlign w:val="center"/>
                </w:tcPr>
                <w:p w14:paraId="489C19C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操作场所</w:t>
                  </w:r>
                </w:p>
              </w:tc>
              <w:tc>
                <w:tcPr>
                  <w:tcW w:w="1187" w:type="dxa"/>
                  <w:tcBorders>
                    <w:tl2br w:val="nil"/>
                    <w:tr2bl w:val="nil"/>
                  </w:tcBorders>
                  <w:vAlign w:val="center"/>
                </w:tcPr>
                <w:p w14:paraId="54939A4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核素名称</w:t>
                  </w:r>
                </w:p>
              </w:tc>
              <w:tc>
                <w:tcPr>
                  <w:tcW w:w="1172" w:type="dxa"/>
                  <w:tcBorders>
                    <w:tl2br w:val="nil"/>
                    <w:tr2bl w:val="nil"/>
                  </w:tcBorders>
                  <w:vAlign w:val="center"/>
                </w:tcPr>
                <w:p w14:paraId="0F005AF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实际日最大操作量</w:t>
                  </w:r>
                </w:p>
                <w:p w14:paraId="7060E659">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（Bq）</w:t>
                  </w:r>
                </w:p>
              </w:tc>
              <w:tc>
                <w:tcPr>
                  <w:tcW w:w="997" w:type="dxa"/>
                  <w:tcBorders>
                    <w:tl2br w:val="nil"/>
                    <w:tr2bl w:val="nil"/>
                  </w:tcBorders>
                  <w:vAlign w:val="center"/>
                </w:tcPr>
                <w:p w14:paraId="1C33096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毒性组别</w:t>
                  </w:r>
                </w:p>
              </w:tc>
              <w:tc>
                <w:tcPr>
                  <w:tcW w:w="914" w:type="dxa"/>
                  <w:tcBorders>
                    <w:tl2br w:val="nil"/>
                    <w:tr2bl w:val="nil"/>
                  </w:tcBorders>
                  <w:vAlign w:val="center"/>
                </w:tcPr>
                <w:p w14:paraId="67A7EB7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毒性组别修正因子</w:t>
                  </w:r>
                </w:p>
              </w:tc>
              <w:tc>
                <w:tcPr>
                  <w:tcW w:w="1225" w:type="dxa"/>
                  <w:tcBorders>
                    <w:tl2br w:val="nil"/>
                    <w:tr2bl w:val="nil"/>
                  </w:tcBorders>
                  <w:vAlign w:val="center"/>
                </w:tcPr>
                <w:p w14:paraId="120F891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操作方式</w:t>
                  </w:r>
                </w:p>
              </w:tc>
              <w:tc>
                <w:tcPr>
                  <w:tcW w:w="797" w:type="dxa"/>
                  <w:tcBorders>
                    <w:tl2br w:val="nil"/>
                    <w:tr2bl w:val="nil"/>
                  </w:tcBorders>
                  <w:vAlign w:val="center"/>
                </w:tcPr>
                <w:p w14:paraId="7130C8B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en-US"/>
                    </w:rPr>
                  </w:pPr>
                  <w:r>
                    <w:rPr>
                      <w:rFonts w:hint="default" w:ascii="Times New Roman" w:hAnsi="Times New Roman" w:eastAsia="宋体" w:cs="Times New Roman"/>
                      <w:color w:val="auto"/>
                      <w:kern w:val="0"/>
                      <w:sz w:val="21"/>
                      <w:szCs w:val="21"/>
                      <w:highlight w:val="none"/>
                      <w:lang w:val="en-US" w:eastAsia="en-US"/>
                    </w:rPr>
                    <w:t>操作方式修正因子</w:t>
                  </w:r>
                </w:p>
              </w:tc>
              <w:tc>
                <w:tcPr>
                  <w:tcW w:w="975" w:type="dxa"/>
                  <w:tcBorders>
                    <w:tl2br w:val="nil"/>
                    <w:tr2bl w:val="nil"/>
                  </w:tcBorders>
                  <w:vAlign w:val="center"/>
                </w:tcPr>
                <w:p w14:paraId="3DCAA792">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日等效（Bq）</w:t>
                  </w:r>
                </w:p>
              </w:tc>
              <w:tc>
                <w:tcPr>
                  <w:tcW w:w="619" w:type="dxa"/>
                  <w:tcBorders>
                    <w:tl2br w:val="nil"/>
                    <w:tr2bl w:val="nil"/>
                  </w:tcBorders>
                  <w:vAlign w:val="center"/>
                </w:tcPr>
                <w:p w14:paraId="22A5267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分级</w:t>
                  </w:r>
                </w:p>
              </w:tc>
            </w:tr>
            <w:tr w14:paraId="5F053F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49" w:type="dxa"/>
                  <w:vMerge w:val="restart"/>
                  <w:tcBorders>
                    <w:tl2br w:val="nil"/>
                    <w:tr2bl w:val="nil"/>
                  </w:tcBorders>
                  <w:vAlign w:val="center"/>
                </w:tcPr>
                <w:p w14:paraId="5BDA57F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en-US"/>
                    </w:rPr>
                    <w:t>综合楼一层介入手术2室</w:t>
                  </w:r>
                </w:p>
              </w:tc>
              <w:tc>
                <w:tcPr>
                  <w:tcW w:w="1187" w:type="dxa"/>
                  <w:tcBorders>
                    <w:tl2br w:val="nil"/>
                    <w:tr2bl w:val="nil"/>
                  </w:tcBorders>
                  <w:shd w:val="clear" w:color="auto" w:fill="auto"/>
                  <w:vAlign w:val="center"/>
                </w:tcPr>
                <w:p w14:paraId="211D3F8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Y-90</w:t>
                  </w:r>
                </w:p>
              </w:tc>
              <w:tc>
                <w:tcPr>
                  <w:tcW w:w="1172" w:type="dxa"/>
                  <w:tcBorders>
                    <w:tl2br w:val="nil"/>
                    <w:tr2bl w:val="nil"/>
                  </w:tcBorders>
                  <w:shd w:val="clear" w:color="auto" w:fill="auto"/>
                  <w:vAlign w:val="center"/>
                </w:tcPr>
                <w:p w14:paraId="47F0F001">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2.50E+09</w:t>
                  </w:r>
                </w:p>
              </w:tc>
              <w:tc>
                <w:tcPr>
                  <w:tcW w:w="997" w:type="dxa"/>
                  <w:tcBorders>
                    <w:tl2br w:val="nil"/>
                    <w:tr2bl w:val="nil"/>
                  </w:tcBorders>
                  <w:shd w:val="clear" w:color="auto" w:fill="auto"/>
                  <w:vAlign w:val="center"/>
                </w:tcPr>
                <w:p w14:paraId="081D48C8">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中毒</w:t>
                  </w:r>
                </w:p>
              </w:tc>
              <w:tc>
                <w:tcPr>
                  <w:tcW w:w="914" w:type="dxa"/>
                  <w:tcBorders>
                    <w:tl2br w:val="nil"/>
                    <w:tr2bl w:val="nil"/>
                  </w:tcBorders>
                  <w:shd w:val="clear" w:color="auto" w:fill="auto"/>
                  <w:vAlign w:val="center"/>
                </w:tcPr>
                <w:p w14:paraId="60E1C57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0.1</w:t>
                  </w:r>
                </w:p>
              </w:tc>
              <w:tc>
                <w:tcPr>
                  <w:tcW w:w="1225" w:type="dxa"/>
                  <w:tcBorders>
                    <w:tl2br w:val="nil"/>
                    <w:tr2bl w:val="nil"/>
                  </w:tcBorders>
                  <w:shd w:val="clear" w:color="auto" w:fill="auto"/>
                  <w:vAlign w:val="center"/>
                </w:tcPr>
                <w:p w14:paraId="0FCF1F7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r>
                    <w:rPr>
                      <w:rFonts w:hint="default" w:ascii="Times New Roman" w:hAnsi="Times New Roman" w:eastAsia="宋体" w:cs="Times New Roman"/>
                      <w:color w:val="auto"/>
                      <w:kern w:val="0"/>
                      <w:sz w:val="20"/>
                      <w:szCs w:val="20"/>
                      <w:highlight w:val="none"/>
                      <w:lang w:val="en-US" w:eastAsia="zh-CN"/>
                    </w:rPr>
                    <w:t>很简单操作</w:t>
                  </w:r>
                </w:p>
              </w:tc>
              <w:tc>
                <w:tcPr>
                  <w:tcW w:w="797" w:type="dxa"/>
                  <w:tcBorders>
                    <w:tl2br w:val="nil"/>
                    <w:tr2bl w:val="nil"/>
                  </w:tcBorders>
                  <w:shd w:val="clear" w:color="auto" w:fill="auto"/>
                  <w:vAlign w:val="center"/>
                </w:tcPr>
                <w:p w14:paraId="41ACBB3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10</w:t>
                  </w:r>
                </w:p>
              </w:tc>
              <w:tc>
                <w:tcPr>
                  <w:tcW w:w="975" w:type="dxa"/>
                  <w:tcBorders>
                    <w:tl2br w:val="nil"/>
                    <w:tr2bl w:val="nil"/>
                  </w:tcBorders>
                  <w:shd w:val="clear" w:color="auto" w:fill="auto"/>
                  <w:vAlign w:val="center"/>
                </w:tcPr>
                <w:p w14:paraId="40BBFB5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2.50E+07</w:t>
                  </w:r>
                </w:p>
              </w:tc>
              <w:tc>
                <w:tcPr>
                  <w:tcW w:w="619" w:type="dxa"/>
                  <w:vMerge w:val="restart"/>
                  <w:tcBorders>
                    <w:tl2br w:val="nil"/>
                    <w:tr2bl w:val="nil"/>
                  </w:tcBorders>
                  <w:shd w:val="clear" w:color="auto" w:fill="auto"/>
                  <w:vAlign w:val="center"/>
                </w:tcPr>
                <w:p w14:paraId="707EE8CB">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乙级</w:t>
                  </w:r>
                </w:p>
              </w:tc>
            </w:tr>
            <w:tr w14:paraId="7B3FC8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1149" w:type="dxa"/>
                  <w:vMerge w:val="continue"/>
                  <w:tcBorders>
                    <w:tl2br w:val="nil"/>
                    <w:tr2bl w:val="nil"/>
                  </w:tcBorders>
                  <w:vAlign w:val="center"/>
                </w:tcPr>
                <w:p w14:paraId="51551FB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en-US"/>
                    </w:rPr>
                  </w:pPr>
                </w:p>
              </w:tc>
              <w:tc>
                <w:tcPr>
                  <w:tcW w:w="1187" w:type="dxa"/>
                  <w:tcBorders>
                    <w:tl2br w:val="nil"/>
                    <w:tr2bl w:val="nil"/>
                  </w:tcBorders>
                  <w:shd w:val="clear" w:color="auto" w:fill="auto"/>
                  <w:vAlign w:val="center"/>
                </w:tcPr>
                <w:p w14:paraId="2996DD26">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Tc-99m</w:t>
                  </w:r>
                </w:p>
              </w:tc>
              <w:tc>
                <w:tcPr>
                  <w:tcW w:w="1172" w:type="dxa"/>
                  <w:tcBorders>
                    <w:tl2br w:val="nil"/>
                    <w:tr2bl w:val="nil"/>
                  </w:tcBorders>
                  <w:shd w:val="clear" w:color="auto" w:fill="auto"/>
                  <w:vAlign w:val="center"/>
                </w:tcPr>
                <w:p w14:paraId="2C8A21DE">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eastAsia" w:ascii="Times New Roman" w:hAnsi="Times New Roman" w:eastAsia="宋体" w:cs="Times New Roman"/>
                      <w:color w:val="auto"/>
                      <w:kern w:val="0"/>
                      <w:sz w:val="20"/>
                      <w:szCs w:val="20"/>
                      <w:highlight w:val="none"/>
                      <w:lang w:val="en-US" w:eastAsia="zh-CN"/>
                    </w:rPr>
                    <w:t>1.48E+08</w:t>
                  </w:r>
                </w:p>
              </w:tc>
              <w:tc>
                <w:tcPr>
                  <w:tcW w:w="997" w:type="dxa"/>
                  <w:tcBorders>
                    <w:tl2br w:val="nil"/>
                    <w:tr2bl w:val="nil"/>
                  </w:tcBorders>
                  <w:shd w:val="clear" w:color="auto" w:fill="auto"/>
                  <w:vAlign w:val="center"/>
                </w:tcPr>
                <w:p w14:paraId="1C411B7A">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低毒</w:t>
                  </w:r>
                </w:p>
              </w:tc>
              <w:tc>
                <w:tcPr>
                  <w:tcW w:w="914" w:type="dxa"/>
                  <w:tcBorders>
                    <w:tl2br w:val="nil"/>
                    <w:tr2bl w:val="nil"/>
                  </w:tcBorders>
                  <w:shd w:val="clear" w:color="auto" w:fill="auto"/>
                  <w:vAlign w:val="center"/>
                </w:tcPr>
                <w:p w14:paraId="19EBC43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0.01</w:t>
                  </w:r>
                </w:p>
              </w:tc>
              <w:tc>
                <w:tcPr>
                  <w:tcW w:w="1225" w:type="dxa"/>
                  <w:tcBorders>
                    <w:tl2br w:val="nil"/>
                    <w:tr2bl w:val="nil"/>
                  </w:tcBorders>
                  <w:shd w:val="clear" w:color="auto" w:fill="auto"/>
                  <w:vAlign w:val="center"/>
                </w:tcPr>
                <w:p w14:paraId="06CFC795">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很简单操作</w:t>
                  </w:r>
                </w:p>
              </w:tc>
              <w:tc>
                <w:tcPr>
                  <w:tcW w:w="797" w:type="dxa"/>
                  <w:tcBorders>
                    <w:tl2br w:val="nil"/>
                    <w:tr2bl w:val="nil"/>
                  </w:tcBorders>
                  <w:shd w:val="clear" w:color="auto" w:fill="auto"/>
                  <w:vAlign w:val="center"/>
                </w:tcPr>
                <w:p w14:paraId="19081ED4">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default" w:ascii="Times New Roman" w:hAnsi="Times New Roman" w:eastAsia="宋体" w:cs="Times New Roman"/>
                      <w:color w:val="auto"/>
                      <w:kern w:val="0"/>
                      <w:sz w:val="20"/>
                      <w:szCs w:val="20"/>
                      <w:highlight w:val="none"/>
                      <w:lang w:val="en-US" w:eastAsia="zh-CN"/>
                    </w:rPr>
                    <w:t>10</w:t>
                  </w:r>
                </w:p>
              </w:tc>
              <w:tc>
                <w:tcPr>
                  <w:tcW w:w="975" w:type="dxa"/>
                  <w:tcBorders>
                    <w:tl2br w:val="nil"/>
                    <w:tr2bl w:val="nil"/>
                  </w:tcBorders>
                  <w:shd w:val="clear" w:color="auto" w:fill="auto"/>
                  <w:vAlign w:val="center"/>
                </w:tcPr>
                <w:p w14:paraId="7403979C">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eastAsia" w:ascii="Times New Roman" w:hAnsi="Times New Roman" w:eastAsia="宋体" w:cs="Times New Roman"/>
                      <w:color w:val="auto"/>
                      <w:kern w:val="0"/>
                      <w:sz w:val="20"/>
                      <w:szCs w:val="20"/>
                      <w:highlight w:val="none"/>
                      <w:lang w:val="en-US" w:eastAsia="zh-CN"/>
                    </w:rPr>
                    <w:t>1.48E+05</w:t>
                  </w:r>
                </w:p>
              </w:tc>
              <w:tc>
                <w:tcPr>
                  <w:tcW w:w="619" w:type="dxa"/>
                  <w:vMerge w:val="continue"/>
                  <w:tcBorders>
                    <w:tl2br w:val="nil"/>
                    <w:tr2bl w:val="nil"/>
                  </w:tcBorders>
                  <w:shd w:val="clear" w:color="auto" w:fill="auto"/>
                  <w:vAlign w:val="center"/>
                </w:tcPr>
                <w:p w14:paraId="4CF3C5B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p>
              </w:tc>
            </w:tr>
            <w:tr w14:paraId="67768A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7441" w:type="dxa"/>
                  <w:gridSpan w:val="7"/>
                  <w:tcBorders>
                    <w:tl2br w:val="nil"/>
                    <w:tr2bl w:val="nil"/>
                  </w:tcBorders>
                  <w:shd w:val="clear" w:color="auto" w:fill="auto"/>
                  <w:vAlign w:val="center"/>
                </w:tcPr>
                <w:p w14:paraId="6A5D8687">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r>
                    <w:rPr>
                      <w:rFonts w:hint="eastAsia" w:ascii="Times New Roman" w:hAnsi="Times New Roman" w:eastAsia="宋体" w:cs="Times New Roman"/>
                      <w:color w:val="auto"/>
                      <w:kern w:val="0"/>
                      <w:sz w:val="20"/>
                      <w:szCs w:val="20"/>
                      <w:highlight w:val="none"/>
                      <w:lang w:val="en-US" w:eastAsia="zh-CN"/>
                    </w:rPr>
                    <w:t>合计</w:t>
                  </w:r>
                </w:p>
              </w:tc>
              <w:tc>
                <w:tcPr>
                  <w:tcW w:w="975" w:type="dxa"/>
                  <w:tcBorders>
                    <w:tl2br w:val="nil"/>
                    <w:tr2bl w:val="nil"/>
                  </w:tcBorders>
                  <w:shd w:val="clear" w:color="auto" w:fill="auto"/>
                  <w:vAlign w:val="center"/>
                </w:tcPr>
                <w:p w14:paraId="6F8CD5A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eastAsia" w:ascii="Times New Roman" w:hAnsi="Times New Roman" w:eastAsia="宋体" w:cs="Times New Roman"/>
                      <w:color w:val="auto"/>
                      <w:kern w:val="0"/>
                      <w:sz w:val="20"/>
                      <w:szCs w:val="20"/>
                      <w:highlight w:val="none"/>
                      <w:lang w:val="en-US" w:eastAsia="zh-CN"/>
                    </w:rPr>
                  </w:pPr>
                  <w:r>
                    <w:rPr>
                      <w:rFonts w:hint="eastAsia" w:ascii="Times New Roman" w:hAnsi="Times New Roman" w:eastAsia="宋体" w:cs="Times New Roman"/>
                      <w:color w:val="auto"/>
                      <w:kern w:val="0"/>
                      <w:sz w:val="20"/>
                      <w:szCs w:val="20"/>
                      <w:highlight w:val="none"/>
                      <w:lang w:val="en-US" w:eastAsia="zh-CN"/>
                    </w:rPr>
                    <w:t>2.51E+07</w:t>
                  </w:r>
                </w:p>
              </w:tc>
              <w:tc>
                <w:tcPr>
                  <w:tcW w:w="619" w:type="dxa"/>
                  <w:vMerge w:val="continue"/>
                  <w:tcBorders>
                    <w:tl2br w:val="nil"/>
                    <w:tr2bl w:val="nil"/>
                  </w:tcBorders>
                  <w:shd w:val="clear" w:color="auto" w:fill="auto"/>
                  <w:vAlign w:val="center"/>
                </w:tcPr>
                <w:p w14:paraId="4F466B7D">
                  <w:pPr>
                    <w:pStyle w:val="32"/>
                    <w:keepNext w:val="0"/>
                    <w:keepLines w:val="0"/>
                    <w:suppressLineNumbers w:val="0"/>
                    <w:shd w:val="clear"/>
                    <w:autoSpaceDE w:val="0"/>
                    <w:autoSpaceDN w:val="0"/>
                    <w:spacing w:before="2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0"/>
                      <w:szCs w:val="20"/>
                      <w:highlight w:val="none"/>
                      <w:lang w:val="en-US" w:eastAsia="zh-CN"/>
                    </w:rPr>
                  </w:pPr>
                </w:p>
              </w:tc>
            </w:tr>
          </w:tbl>
          <w:p w14:paraId="42E62EBA">
            <w:pPr>
              <w:keepNext w:val="0"/>
              <w:keepLines w:val="0"/>
              <w:suppressLineNumbers w:val="0"/>
              <w:bidi w:val="0"/>
              <w:spacing w:before="0" w:beforeAutospacing="0" w:after="0" w:afterAutospacing="0"/>
              <w:ind w:left="0" w:right="0"/>
              <w:jc w:val="both"/>
              <w:rPr>
                <w:rFonts w:hint="default" w:ascii="Times New Roman" w:hAnsi="Times New Roman" w:cs="Times New Roman"/>
                <w:b/>
                <w:bCs/>
                <w:i w:val="0"/>
                <w:iCs w:val="0"/>
                <w:color w:val="auto"/>
                <w:sz w:val="20"/>
                <w:szCs w:val="18"/>
                <w:highlight w:val="none"/>
                <w:lang w:val="en-US" w:eastAsia="zh-CN"/>
              </w:rPr>
            </w:pPr>
            <w:r>
              <w:rPr>
                <w:rFonts w:hint="default" w:ascii="Times New Roman" w:hAnsi="Times New Roman" w:cs="Times New Roman"/>
                <w:b/>
                <w:bCs/>
                <w:i w:val="0"/>
                <w:iCs w:val="0"/>
                <w:color w:val="auto"/>
                <w:sz w:val="20"/>
                <w:szCs w:val="18"/>
                <w:highlight w:val="none"/>
                <w:lang w:val="en-US" w:eastAsia="zh-CN"/>
              </w:rPr>
              <w:t xml:space="preserve">注：根据《钇-90 树脂微球使用过程辐射安全风险研究报告》（生态环境部核与辐射安全中心）：可将医疗机构 </w:t>
            </w:r>
            <w:r>
              <w:rPr>
                <w:rFonts w:hint="default" w:ascii="Times New Roman" w:hAnsi="Times New Roman" w:cs="Times New Roman"/>
                <w:b/>
                <w:bCs/>
                <w:i w:val="0"/>
                <w:iCs w:val="0"/>
                <w:color w:val="auto"/>
                <w:sz w:val="20"/>
                <w:szCs w:val="18"/>
                <w:highlight w:val="none"/>
                <w:vertAlign w:val="superscript"/>
                <w:lang w:val="en-US" w:eastAsia="zh-CN"/>
              </w:rPr>
              <w:t>90</w:t>
            </w:r>
            <w:r>
              <w:rPr>
                <w:rFonts w:hint="default" w:ascii="Times New Roman" w:hAnsi="Times New Roman" w:cs="Times New Roman"/>
                <w:b/>
                <w:bCs/>
                <w:i w:val="0"/>
                <w:iCs w:val="0"/>
                <w:color w:val="auto"/>
                <w:sz w:val="20"/>
                <w:szCs w:val="18"/>
                <w:highlight w:val="none"/>
                <w:lang w:val="en-US" w:eastAsia="zh-CN"/>
              </w:rPr>
              <w:t>Y 核素介入治疗过程中，活度测量、抽取与注射相关活动视为“很简单的操作”。</w:t>
            </w:r>
          </w:p>
          <w:p w14:paraId="1E0E7E42">
            <w:pPr>
              <w:pStyle w:val="9"/>
              <w:keepNext w:val="0"/>
              <w:keepLines w:val="0"/>
              <w:suppressLineNumbers w:val="0"/>
              <w:spacing w:before="0" w:beforeAutospacing="0" w:after="0" w:afterAutospacing="0"/>
              <w:jc w:val="both"/>
              <w:rPr>
                <w:rFonts w:hint="default" w:ascii="Times New Roman" w:hAnsi="Times New Roman" w:eastAsia="宋体" w:cs="Times New Roman"/>
                <w:b/>
                <w:bCs/>
                <w:color w:val="auto"/>
                <w:sz w:val="24"/>
                <w:szCs w:val="22"/>
                <w:highlight w:val="none"/>
                <w:lang w:val="en-US" w:eastAsia="zh-CN" w:bidi="ar-SA"/>
              </w:rPr>
            </w:pPr>
          </w:p>
          <w:p w14:paraId="6AE4D4F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根据《关于明确核技术利用辐射安全监管有关事项的通知》（环办辐射函〔2016〕430号）：（一）满足以下特点的放射性药品生产、使用场所，应当作为一个单独场所进行</w:t>
            </w:r>
            <w:r>
              <w:rPr>
                <w:rFonts w:hint="eastAsia" w:cs="Times New Roman"/>
                <w:color w:val="auto"/>
                <w:sz w:val="24"/>
                <w:szCs w:val="24"/>
                <w:highlight w:val="none"/>
                <w:lang w:val="en-US" w:eastAsia="zh-CN"/>
              </w:rPr>
              <w:t>日等效最大操作量</w:t>
            </w:r>
            <w:r>
              <w:rPr>
                <w:rFonts w:hint="default" w:ascii="Times New Roman" w:hAnsi="Times New Roman" w:eastAsia="宋体" w:cs="Times New Roman"/>
                <w:color w:val="auto"/>
                <w:sz w:val="24"/>
                <w:szCs w:val="24"/>
                <w:highlight w:val="none"/>
                <w:lang w:val="en-US" w:eastAsia="zh-CN"/>
              </w:rPr>
              <w:t>核算：</w:t>
            </w:r>
          </w:p>
          <w:p w14:paraId="5967A52A">
            <w:pPr>
              <w:keepNext w:val="0"/>
              <w:keepLines w:val="0"/>
              <w:pageBreakBefore w:val="0"/>
              <w:widowControl w:val="0"/>
              <w:numPr>
                <w:ilvl w:val="0"/>
                <w:numId w:val="3"/>
              </w:numPr>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有相对独立、明确的监督区和控制区划分；</w:t>
            </w:r>
          </w:p>
          <w:p w14:paraId="6FE3CF6C">
            <w:pPr>
              <w:keepNext w:val="0"/>
              <w:keepLines w:val="0"/>
              <w:pageBreakBefore w:val="0"/>
              <w:widowControl w:val="0"/>
              <w:numPr>
                <w:ilvl w:val="0"/>
                <w:numId w:val="3"/>
              </w:numPr>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工艺流程连续完整；</w:t>
            </w:r>
          </w:p>
          <w:p w14:paraId="27106FE9">
            <w:pPr>
              <w:keepNext w:val="0"/>
              <w:keepLines w:val="0"/>
              <w:pageBreakBefore w:val="0"/>
              <w:widowControl w:val="0"/>
              <w:numPr>
                <w:ilvl w:val="0"/>
                <w:numId w:val="3"/>
              </w:numPr>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有相对独立的辐射防护措施。</w:t>
            </w:r>
          </w:p>
          <w:p w14:paraId="440AFDF6">
            <w:pPr>
              <w:keepNext w:val="0"/>
              <w:keepLines w:val="0"/>
              <w:suppressLineNumbers w:val="0"/>
              <w:spacing w:before="0" w:beforeLines="0" w:beforeAutospacing="0" w:after="0" w:afterLines="0" w:afterAutospacing="0" w:line="360" w:lineRule="auto"/>
              <w:ind w:left="0" w:right="0" w:firstLine="480" w:firstLineChars="200"/>
              <w:jc w:val="left"/>
              <w:rPr>
                <w:rFonts w:hint="default" w:ascii="Times New Roman" w:hAnsi="Times New Roman" w:eastAsia="宋体" w:cs="Times New Roman"/>
                <w:b w:val="0"/>
                <w:bCs w:val="0"/>
                <w:color w:val="auto"/>
                <w:sz w:val="24"/>
                <w:szCs w:val="24"/>
                <w:highlight w:val="none"/>
                <w:lang w:val="en-US" w:eastAsia="zh-CN" w:bidi="ar-SA"/>
              </w:rPr>
            </w:pPr>
            <w:r>
              <w:rPr>
                <w:rFonts w:hint="default" w:ascii="Times New Roman" w:hAnsi="Times New Roman" w:cs="Times New Roman"/>
                <w:b w:val="0"/>
                <w:bCs w:val="0"/>
                <w:color w:val="auto"/>
                <w:sz w:val="24"/>
                <w:szCs w:val="24"/>
                <w:highlight w:val="none"/>
                <w:lang w:val="en-US" w:eastAsia="zh-CN" w:bidi="ar-SA"/>
              </w:rPr>
              <w:t>根据前文工艺流程章节分析，本项目各工作场所分区满足上述要求。</w:t>
            </w:r>
          </w:p>
          <w:p w14:paraId="1D055B77">
            <w:pPr>
              <w:keepNext w:val="0"/>
              <w:keepLines w:val="0"/>
              <w:widowControl/>
              <w:suppressLineNumbers w:val="0"/>
              <w:shd w:val="clear"/>
              <w:spacing w:before="0" w:beforeLines="50" w:beforeAutospacing="0" w:after="0" w:afterAutospacing="0" w:line="360" w:lineRule="auto"/>
              <w:ind w:left="0" w:right="0" w:firstLine="482" w:firstLineChars="200"/>
              <w:jc w:val="both"/>
              <w:rPr>
                <w:rFonts w:hint="default" w:ascii="Times New Roman" w:hAnsi="Times New Roman" w:eastAsia="宋体" w:cs="Times New Roman"/>
                <w:b/>
                <w:color w:val="auto"/>
                <w:sz w:val="24"/>
                <w:szCs w:val="22"/>
                <w:highlight w:val="none"/>
              </w:rPr>
            </w:pPr>
            <w:r>
              <w:rPr>
                <w:rFonts w:hint="default" w:ascii="Times New Roman" w:hAnsi="Times New Roman" w:eastAsia="宋体" w:cs="Times New Roman"/>
                <w:b/>
                <w:color w:val="auto"/>
                <w:sz w:val="24"/>
                <w:szCs w:val="22"/>
                <w:highlight w:val="none"/>
              </w:rPr>
              <w:t>10.1.</w:t>
            </w:r>
            <w:r>
              <w:rPr>
                <w:rFonts w:hint="default" w:ascii="Times New Roman" w:hAnsi="Times New Roman" w:cs="Times New Roman"/>
                <w:b/>
                <w:color w:val="auto"/>
                <w:sz w:val="24"/>
                <w:szCs w:val="22"/>
                <w:highlight w:val="none"/>
                <w:lang w:val="en-US" w:eastAsia="zh-CN"/>
              </w:rPr>
              <w:t>4</w:t>
            </w:r>
            <w:r>
              <w:rPr>
                <w:rFonts w:hint="default" w:ascii="Times New Roman" w:hAnsi="Times New Roman" w:eastAsia="宋体" w:cs="Times New Roman"/>
                <w:b/>
                <w:color w:val="auto"/>
                <w:sz w:val="24"/>
                <w:szCs w:val="22"/>
                <w:highlight w:val="none"/>
                <w:lang w:val="en-US" w:eastAsia="zh-CN"/>
              </w:rPr>
              <w:t xml:space="preserve"> 工作场所分类</w:t>
            </w:r>
          </w:p>
          <w:p w14:paraId="71F39CD2">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lang w:val="en-US" w:eastAsia="zh-CN"/>
              </w:rPr>
              <w:t>根据《核医学放射防护要求》（GBZ120-2020）核医学的非密封放射性物质工作场所根据操作放射性核素的权重活度分为三类，见</w:t>
            </w:r>
            <w:r>
              <w:rPr>
                <w:rFonts w:hint="eastAsia" w:cs="Times New Roman"/>
                <w:color w:val="auto"/>
                <w:sz w:val="24"/>
                <w:szCs w:val="24"/>
                <w:highlight w:val="none"/>
                <w:lang w:val="en-US" w:eastAsia="zh-CN"/>
              </w:rPr>
              <w:t>下</w:t>
            </w:r>
            <w:r>
              <w:rPr>
                <w:rFonts w:hint="default" w:ascii="Times New Roman" w:hAnsi="Times New Roman" w:eastAsia="宋体" w:cs="Times New Roman"/>
                <w:color w:val="auto"/>
                <w:sz w:val="24"/>
                <w:szCs w:val="24"/>
                <w:highlight w:val="none"/>
                <w:lang w:val="en-US" w:eastAsia="zh-CN"/>
              </w:rPr>
              <w:t>表。</w:t>
            </w:r>
          </w:p>
          <w:p w14:paraId="72081578">
            <w:pPr>
              <w:keepNext w:val="0"/>
              <w:keepLines w:val="0"/>
              <w:widowControl w:val="0"/>
              <w:suppressLineNumbers w:val="0"/>
              <w:autoSpaceDE w:val="0"/>
              <w:autoSpaceDN w:val="0"/>
              <w:spacing w:before="0" w:beforeAutospacing="0" w:after="0" w:afterAutospacing="0"/>
              <w:ind w:left="0" w:right="0"/>
              <w:jc w:val="center"/>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kern w:val="0"/>
                <w:sz w:val="24"/>
                <w:szCs w:val="24"/>
                <w:highlight w:val="none"/>
                <w:lang w:val="en-US" w:eastAsia="zh-CN" w:bidi="ar"/>
              </w:rPr>
              <w:t>表10-</w:t>
            </w:r>
            <w:r>
              <w:rPr>
                <w:rFonts w:hint="eastAsia" w:cs="Times New Roman"/>
                <w:b/>
                <w:bCs w:val="0"/>
                <w:color w:val="auto"/>
                <w:kern w:val="0"/>
                <w:sz w:val="24"/>
                <w:szCs w:val="24"/>
                <w:highlight w:val="none"/>
                <w:lang w:val="en-US" w:eastAsia="zh-CN" w:bidi="ar"/>
              </w:rPr>
              <w:t>11</w:t>
            </w:r>
            <w:r>
              <w:rPr>
                <w:rFonts w:hint="default" w:ascii="Times New Roman" w:hAnsi="Times New Roman" w:eastAsia="宋体" w:cs="Times New Roman"/>
                <w:b/>
                <w:bCs w:val="0"/>
                <w:color w:val="auto"/>
                <w:kern w:val="0"/>
                <w:sz w:val="24"/>
                <w:szCs w:val="24"/>
                <w:highlight w:val="none"/>
                <w:lang w:val="en-US" w:eastAsia="zh-CN" w:bidi="ar"/>
              </w:rPr>
              <w:t xml:space="preserve">  临床核医学工作场所分类</w:t>
            </w:r>
          </w:p>
          <w:tbl>
            <w:tblPr>
              <w:tblStyle w:val="30"/>
              <w:tblW w:w="8839" w:type="dxa"/>
              <w:tblInd w:w="95"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3653"/>
              <w:gridCol w:w="5186"/>
            </w:tblGrid>
            <w:tr w14:paraId="05BC50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228" w:hRule="atLeast"/>
              </w:trPr>
              <w:tc>
                <w:tcPr>
                  <w:tcW w:w="3653" w:type="dxa"/>
                  <w:tcBorders>
                    <w:tl2br w:val="nil"/>
                    <w:tr2bl w:val="nil"/>
                  </w:tcBorders>
                  <w:shd w:val="clear" w:color="auto" w:fill="auto"/>
                  <w:vAlign w:val="top"/>
                </w:tcPr>
                <w:p w14:paraId="19187C75">
                  <w:pPr>
                    <w:keepNext w:val="0"/>
                    <w:keepLines w:val="0"/>
                    <w:widowControl w:val="0"/>
                    <w:suppressLineNumbers w:val="0"/>
                    <w:kinsoku w:val="0"/>
                    <w:autoSpaceDE w:val="0"/>
                    <w:autoSpaceDN w:val="0"/>
                    <w:adjustRightInd w:val="0"/>
                    <w:snapToGrid w:val="0"/>
                    <w:spacing w:before="19" w:beforeAutospacing="0" w:after="120" w:afterAutospacing="0"/>
                    <w:ind w:left="1647"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3"/>
                      <w:kern w:val="0"/>
                      <w:sz w:val="21"/>
                      <w:szCs w:val="21"/>
                      <w:highlight w:val="none"/>
                      <w:vertAlign w:val="baseline"/>
                      <w:lang w:val="en-US" w:eastAsia="zh-CN" w:bidi="ar"/>
                    </w:rPr>
                    <w:t>分类</w:t>
                  </w:r>
                </w:p>
              </w:tc>
              <w:tc>
                <w:tcPr>
                  <w:tcW w:w="5186" w:type="dxa"/>
                  <w:tcBorders>
                    <w:tl2br w:val="nil"/>
                    <w:tr2bl w:val="nil"/>
                  </w:tcBorders>
                  <w:shd w:val="clear" w:color="auto" w:fill="auto"/>
                  <w:vAlign w:val="top"/>
                </w:tcPr>
                <w:p w14:paraId="7C52F484">
                  <w:pPr>
                    <w:keepNext w:val="0"/>
                    <w:keepLines w:val="0"/>
                    <w:widowControl w:val="0"/>
                    <w:suppressLineNumbers w:val="0"/>
                    <w:kinsoku w:val="0"/>
                    <w:autoSpaceDE w:val="0"/>
                    <w:autoSpaceDN w:val="0"/>
                    <w:adjustRightInd w:val="0"/>
                    <w:snapToGrid w:val="0"/>
                    <w:spacing w:before="19" w:beforeAutospacing="0" w:after="120" w:afterAutospacing="0"/>
                    <w:ind w:left="1923"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1"/>
                      <w:kern w:val="0"/>
                      <w:sz w:val="21"/>
                      <w:szCs w:val="21"/>
                      <w:highlight w:val="none"/>
                      <w:vertAlign w:val="baseline"/>
                      <w:lang w:val="en-US" w:eastAsia="zh-CN" w:bidi="ar"/>
                    </w:rPr>
                    <w:t>权重活度，</w:t>
                  </w:r>
                  <w:r>
                    <w:rPr>
                      <w:rFonts w:hint="default" w:ascii="Times New Roman" w:hAnsi="Times New Roman" w:cs="Times New Roman"/>
                      <w:color w:val="auto"/>
                      <w:spacing w:val="-1"/>
                      <w:kern w:val="0"/>
                      <w:sz w:val="21"/>
                      <w:szCs w:val="21"/>
                      <w:highlight w:val="none"/>
                      <w:vertAlign w:val="baseline"/>
                      <w:lang w:val="en-US" w:eastAsia="zh-CN" w:bidi="ar"/>
                    </w:rPr>
                    <w:t>MBq</w:t>
                  </w:r>
                </w:p>
              </w:tc>
            </w:tr>
            <w:tr w14:paraId="109243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59" w:hRule="atLeast"/>
              </w:trPr>
              <w:tc>
                <w:tcPr>
                  <w:tcW w:w="3653" w:type="dxa"/>
                  <w:tcBorders>
                    <w:tl2br w:val="nil"/>
                    <w:tr2bl w:val="nil"/>
                  </w:tcBorders>
                  <w:shd w:val="clear" w:color="auto" w:fill="auto"/>
                  <w:vAlign w:val="top"/>
                </w:tcPr>
                <w:p w14:paraId="0DE2AD05">
                  <w:pPr>
                    <w:keepNext w:val="0"/>
                    <w:keepLines w:val="0"/>
                    <w:widowControl/>
                    <w:suppressLineNumbers w:val="0"/>
                    <w:kinsoku w:val="0"/>
                    <w:autoSpaceDE w:val="0"/>
                    <w:autoSpaceDN w:val="0"/>
                    <w:adjustRightInd w:val="0"/>
                    <w:snapToGrid w:val="0"/>
                    <w:spacing w:before="57" w:beforeAutospacing="0" w:after="0" w:afterAutospacing="0"/>
                    <w:ind w:left="1817"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kern w:val="0"/>
                      <w:sz w:val="21"/>
                      <w:szCs w:val="21"/>
                      <w:highlight w:val="none"/>
                      <w:vertAlign w:val="baseline"/>
                      <w:lang w:val="en-US" w:eastAsia="zh-CN" w:bidi="ar"/>
                    </w:rPr>
                    <w:t>I</w:t>
                  </w:r>
                </w:p>
              </w:tc>
              <w:tc>
                <w:tcPr>
                  <w:tcW w:w="5186" w:type="dxa"/>
                  <w:tcBorders>
                    <w:tl2br w:val="nil"/>
                    <w:tr2bl w:val="nil"/>
                  </w:tcBorders>
                  <w:shd w:val="clear" w:color="auto" w:fill="auto"/>
                  <w:vAlign w:val="top"/>
                </w:tcPr>
                <w:p w14:paraId="444CB0D7">
                  <w:pPr>
                    <w:keepNext w:val="0"/>
                    <w:keepLines w:val="0"/>
                    <w:widowControl/>
                    <w:suppressLineNumbers w:val="0"/>
                    <w:kinsoku w:val="0"/>
                    <w:autoSpaceDE w:val="0"/>
                    <w:autoSpaceDN w:val="0"/>
                    <w:adjustRightInd w:val="0"/>
                    <w:snapToGrid w:val="0"/>
                    <w:spacing w:before="54" w:beforeAutospacing="0" w:after="0" w:afterAutospacing="0"/>
                    <w:ind w:left="2340"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1"/>
                      <w:kern w:val="0"/>
                      <w:sz w:val="21"/>
                      <w:szCs w:val="21"/>
                      <w:highlight w:val="none"/>
                      <w:vertAlign w:val="baseline"/>
                      <w:lang w:val="en-US" w:eastAsia="zh-CN" w:bidi="ar"/>
                    </w:rPr>
                    <w:t>&gt;50000</w:t>
                  </w:r>
                </w:p>
              </w:tc>
            </w:tr>
            <w:tr w14:paraId="40E63C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59" w:hRule="atLeast"/>
              </w:trPr>
              <w:tc>
                <w:tcPr>
                  <w:tcW w:w="3653" w:type="dxa"/>
                  <w:tcBorders>
                    <w:tl2br w:val="nil"/>
                    <w:tr2bl w:val="nil"/>
                  </w:tcBorders>
                  <w:shd w:val="clear" w:color="auto" w:fill="auto"/>
                  <w:vAlign w:val="top"/>
                </w:tcPr>
                <w:p w14:paraId="6629F9CA">
                  <w:pPr>
                    <w:keepNext w:val="0"/>
                    <w:keepLines w:val="0"/>
                    <w:widowControl/>
                    <w:suppressLineNumbers w:val="0"/>
                    <w:kinsoku w:val="0"/>
                    <w:autoSpaceDE w:val="0"/>
                    <w:autoSpaceDN w:val="0"/>
                    <w:adjustRightInd w:val="0"/>
                    <w:snapToGrid w:val="0"/>
                    <w:spacing w:before="57" w:beforeAutospacing="0" w:after="0" w:afterAutospacing="0"/>
                    <w:ind w:left="1783"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cs="Times New Roman"/>
                      <w:color w:val="auto"/>
                      <w:spacing w:val="-2"/>
                      <w:kern w:val="0"/>
                      <w:sz w:val="21"/>
                      <w:szCs w:val="21"/>
                      <w:highlight w:val="none"/>
                      <w:vertAlign w:val="baseline"/>
                      <w:lang w:val="en-US" w:eastAsia="zh-CN" w:bidi="ar"/>
                    </w:rPr>
                    <w:t>Ⅱ</w:t>
                  </w:r>
                </w:p>
              </w:tc>
              <w:tc>
                <w:tcPr>
                  <w:tcW w:w="5186" w:type="dxa"/>
                  <w:tcBorders>
                    <w:tl2br w:val="nil"/>
                    <w:tr2bl w:val="nil"/>
                  </w:tcBorders>
                  <w:shd w:val="clear" w:color="auto" w:fill="auto"/>
                  <w:vAlign w:val="top"/>
                </w:tcPr>
                <w:p w14:paraId="01255FBC">
                  <w:pPr>
                    <w:keepNext w:val="0"/>
                    <w:keepLines w:val="0"/>
                    <w:widowControl/>
                    <w:suppressLineNumbers w:val="0"/>
                    <w:kinsoku w:val="0"/>
                    <w:autoSpaceDE w:val="0"/>
                    <w:autoSpaceDN w:val="0"/>
                    <w:adjustRightInd w:val="0"/>
                    <w:snapToGrid w:val="0"/>
                    <w:spacing w:before="54" w:beforeAutospacing="0" w:after="0" w:afterAutospacing="0"/>
                    <w:ind w:left="2243"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1"/>
                      <w:kern w:val="0"/>
                      <w:sz w:val="21"/>
                      <w:szCs w:val="21"/>
                      <w:highlight w:val="none"/>
                      <w:vertAlign w:val="baseline"/>
                      <w:lang w:val="en-US" w:eastAsia="zh-CN" w:bidi="ar"/>
                    </w:rPr>
                    <w:t>50~50000</w:t>
                  </w:r>
                </w:p>
              </w:tc>
            </w:tr>
            <w:tr w14:paraId="45E0AF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59" w:hRule="atLeast"/>
              </w:trPr>
              <w:tc>
                <w:tcPr>
                  <w:tcW w:w="3653" w:type="dxa"/>
                  <w:tcBorders>
                    <w:tl2br w:val="nil"/>
                    <w:tr2bl w:val="nil"/>
                  </w:tcBorders>
                  <w:shd w:val="clear" w:color="auto" w:fill="auto"/>
                  <w:vAlign w:val="top"/>
                </w:tcPr>
                <w:p w14:paraId="5E614189">
                  <w:pPr>
                    <w:keepNext w:val="0"/>
                    <w:keepLines w:val="0"/>
                    <w:widowControl/>
                    <w:suppressLineNumbers w:val="0"/>
                    <w:kinsoku w:val="0"/>
                    <w:autoSpaceDE w:val="0"/>
                    <w:autoSpaceDN w:val="0"/>
                    <w:adjustRightInd w:val="0"/>
                    <w:snapToGrid w:val="0"/>
                    <w:spacing w:before="57" w:beforeAutospacing="0" w:after="0" w:afterAutospacing="0"/>
                    <w:ind w:left="1747"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cs="Times New Roman"/>
                      <w:color w:val="auto"/>
                      <w:spacing w:val="-2"/>
                      <w:kern w:val="0"/>
                      <w:sz w:val="21"/>
                      <w:szCs w:val="21"/>
                      <w:highlight w:val="none"/>
                      <w:vertAlign w:val="baseline"/>
                      <w:lang w:val="en-US" w:eastAsia="zh-CN" w:bidi="ar"/>
                    </w:rPr>
                    <w:t>Ⅲ</w:t>
                  </w:r>
                </w:p>
              </w:tc>
              <w:tc>
                <w:tcPr>
                  <w:tcW w:w="5186" w:type="dxa"/>
                  <w:tcBorders>
                    <w:tl2br w:val="nil"/>
                    <w:tr2bl w:val="nil"/>
                  </w:tcBorders>
                  <w:shd w:val="clear" w:color="auto" w:fill="auto"/>
                  <w:vAlign w:val="top"/>
                </w:tcPr>
                <w:p w14:paraId="21E972EC">
                  <w:pPr>
                    <w:keepNext w:val="0"/>
                    <w:keepLines w:val="0"/>
                    <w:widowControl/>
                    <w:suppressLineNumbers w:val="0"/>
                    <w:kinsoku w:val="0"/>
                    <w:autoSpaceDE w:val="0"/>
                    <w:autoSpaceDN w:val="0"/>
                    <w:adjustRightInd w:val="0"/>
                    <w:snapToGrid w:val="0"/>
                    <w:spacing w:before="54" w:beforeAutospacing="0" w:after="0" w:afterAutospacing="0"/>
                    <w:ind w:left="2496"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1"/>
                      <w:kern w:val="0"/>
                      <w:sz w:val="21"/>
                      <w:szCs w:val="21"/>
                      <w:highlight w:val="none"/>
                      <w:vertAlign w:val="baseline"/>
                      <w:lang w:val="en-US" w:eastAsia="zh-CN" w:bidi="ar"/>
                    </w:rPr>
                    <w:t>&lt;50</w:t>
                  </w:r>
                </w:p>
              </w:tc>
            </w:tr>
            <w:tr w14:paraId="78597D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287" w:hRule="atLeast"/>
              </w:trPr>
              <w:tc>
                <w:tcPr>
                  <w:tcW w:w="8839" w:type="dxa"/>
                  <w:gridSpan w:val="2"/>
                  <w:tcBorders>
                    <w:tl2br w:val="nil"/>
                    <w:tr2bl w:val="nil"/>
                  </w:tcBorders>
                  <w:shd w:val="clear" w:color="auto" w:fill="auto"/>
                  <w:vAlign w:val="top"/>
                </w:tcPr>
                <w:p w14:paraId="39891B0E">
                  <w:pPr>
                    <w:keepNext w:val="0"/>
                    <w:keepLines w:val="0"/>
                    <w:widowControl w:val="0"/>
                    <w:suppressLineNumbers w:val="0"/>
                    <w:kinsoku w:val="0"/>
                    <w:autoSpaceDE w:val="0"/>
                    <w:autoSpaceDN w:val="0"/>
                    <w:adjustRightInd w:val="0"/>
                    <w:snapToGrid w:val="0"/>
                    <w:spacing w:before="120" w:beforeAutospacing="0" w:after="120" w:afterAutospacing="0" w:line="276" w:lineRule="exact"/>
                    <w:ind w:left="87"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kern w:val="0"/>
                      <w:position w:val="1"/>
                      <w:sz w:val="21"/>
                      <w:szCs w:val="21"/>
                      <w:highlight w:val="none"/>
                      <w:vertAlign w:val="baseline"/>
                      <w:lang w:val="en-US" w:eastAsia="zh-CN" w:bidi="ar"/>
                    </w:rPr>
                    <w:t>注：加权活度=（计划的日最大操作活度×核素毒性权重因子）/操</w:t>
                  </w:r>
                  <w:r>
                    <w:rPr>
                      <w:rFonts w:hint="default" w:ascii="Times New Roman" w:hAnsi="Times New Roman" w:eastAsia="宋体" w:cs="Times New Roman"/>
                      <w:color w:val="auto"/>
                      <w:spacing w:val="-1"/>
                      <w:kern w:val="0"/>
                      <w:position w:val="1"/>
                      <w:sz w:val="21"/>
                      <w:szCs w:val="21"/>
                      <w:highlight w:val="none"/>
                      <w:vertAlign w:val="baseline"/>
                      <w:lang w:val="en-US" w:eastAsia="zh-CN" w:bidi="ar"/>
                    </w:rPr>
                    <w:t>作性质修正因子</w:t>
                  </w:r>
                </w:p>
              </w:tc>
            </w:tr>
          </w:tbl>
          <w:p w14:paraId="75589DDC">
            <w:pPr>
              <w:keepNext w:val="0"/>
              <w:keepLines w:val="0"/>
              <w:widowControl w:val="0"/>
              <w:suppressLineNumbers w:val="0"/>
              <w:spacing w:before="120" w:beforeAutospacing="0" w:after="120" w:afterAutospacing="0"/>
              <w:ind w:left="0" w:right="0" w:firstLine="472" w:firstLineChars="200"/>
              <w:jc w:val="both"/>
              <w:rPr>
                <w:rFonts w:hint="default" w:ascii="Times New Roman" w:hAnsi="Times New Roman" w:eastAsia="宋体" w:cs="Times New Roman"/>
                <w:color w:val="auto"/>
                <w:kern w:val="0"/>
                <w:sz w:val="24"/>
                <w:szCs w:val="24"/>
                <w:highlight w:val="none"/>
                <w:vertAlign w:val="baseline"/>
              </w:rPr>
            </w:pPr>
            <w:r>
              <w:rPr>
                <w:rFonts w:hint="default" w:ascii="Times New Roman" w:hAnsi="Times New Roman" w:eastAsia="宋体" w:cs="Times New Roman"/>
                <w:color w:val="auto"/>
                <w:spacing w:val="-2"/>
                <w:kern w:val="0"/>
                <w:sz w:val="24"/>
                <w:szCs w:val="24"/>
                <w:highlight w:val="none"/>
                <w:vertAlign w:val="baseline"/>
                <w:lang w:val="en-US" w:eastAsia="zh-CN" w:bidi="ar"/>
              </w:rPr>
              <w:t>本项目放射性核素毒性权重因子和操作性质修正因子见</w:t>
            </w:r>
            <w:r>
              <w:rPr>
                <w:rFonts w:hint="eastAsia" w:cs="Times New Roman"/>
                <w:color w:val="auto"/>
                <w:spacing w:val="-2"/>
                <w:kern w:val="0"/>
                <w:sz w:val="24"/>
                <w:szCs w:val="24"/>
                <w:highlight w:val="none"/>
                <w:vertAlign w:val="baseline"/>
                <w:lang w:val="en-US" w:eastAsia="zh-CN" w:bidi="ar"/>
              </w:rPr>
              <w:t>下</w:t>
            </w:r>
            <w:r>
              <w:rPr>
                <w:rFonts w:hint="default" w:ascii="Times New Roman" w:hAnsi="Times New Roman" w:eastAsia="宋体" w:cs="Times New Roman"/>
                <w:color w:val="auto"/>
                <w:spacing w:val="-2"/>
                <w:kern w:val="0"/>
                <w:sz w:val="24"/>
                <w:szCs w:val="24"/>
                <w:highlight w:val="none"/>
                <w:vertAlign w:val="baseline"/>
                <w:lang w:val="en-US" w:eastAsia="zh-CN" w:bidi="ar"/>
              </w:rPr>
              <w:t>表。</w:t>
            </w:r>
          </w:p>
          <w:p w14:paraId="064C9E6E">
            <w:pPr>
              <w:keepNext w:val="0"/>
              <w:keepLines w:val="0"/>
              <w:widowControl w:val="0"/>
              <w:suppressLineNumbers w:val="0"/>
              <w:spacing w:before="120" w:beforeAutospacing="0" w:after="120" w:afterAutospacing="0"/>
              <w:ind w:left="0" w:right="0"/>
              <w:jc w:val="center"/>
              <w:rPr>
                <w:rFonts w:hint="default" w:ascii="Times New Roman" w:hAnsi="Times New Roman" w:eastAsia="宋体" w:cs="Times New Roman"/>
                <w:b/>
                <w:bCs/>
                <w:color w:val="auto"/>
                <w:spacing w:val="-3"/>
                <w:kern w:val="0"/>
                <w:sz w:val="24"/>
                <w:szCs w:val="24"/>
                <w:highlight w:val="none"/>
              </w:rPr>
            </w:pPr>
            <w:r>
              <w:rPr>
                <w:rFonts w:hint="default" w:ascii="Times New Roman" w:hAnsi="Times New Roman" w:eastAsia="宋体" w:cs="Times New Roman"/>
                <w:b/>
                <w:bCs/>
                <w:color w:val="auto"/>
                <w:spacing w:val="-3"/>
                <w:kern w:val="0"/>
                <w:sz w:val="24"/>
                <w:szCs w:val="24"/>
                <w:highlight w:val="none"/>
                <w:lang w:val="en-US" w:eastAsia="zh-CN" w:bidi="ar"/>
              </w:rPr>
              <w:t>表10-</w:t>
            </w:r>
            <w:r>
              <w:rPr>
                <w:rFonts w:hint="eastAsia" w:cs="Times New Roman"/>
                <w:b/>
                <w:bCs/>
                <w:color w:val="auto"/>
                <w:spacing w:val="-3"/>
                <w:kern w:val="0"/>
                <w:sz w:val="24"/>
                <w:szCs w:val="24"/>
                <w:highlight w:val="none"/>
                <w:lang w:val="en-US" w:eastAsia="zh-CN" w:bidi="ar"/>
              </w:rPr>
              <w:t>12</w:t>
            </w:r>
            <w:r>
              <w:rPr>
                <w:rFonts w:hint="default" w:ascii="Times New Roman" w:hAnsi="Times New Roman" w:eastAsia="宋体" w:cs="Times New Roman"/>
                <w:b/>
                <w:bCs/>
                <w:color w:val="auto"/>
                <w:spacing w:val="-3"/>
                <w:kern w:val="0"/>
                <w:sz w:val="24"/>
                <w:szCs w:val="24"/>
                <w:highlight w:val="none"/>
                <w:lang w:val="en-US" w:eastAsia="zh-CN" w:bidi="ar"/>
              </w:rPr>
              <w:t xml:space="preserve">  核医学科常用放射性核素毒性权重因子</w:t>
            </w:r>
          </w:p>
          <w:tbl>
            <w:tblPr>
              <w:tblStyle w:val="30"/>
              <w:tblW w:w="9118" w:type="dxa"/>
              <w:tblInd w:w="95"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410"/>
              <w:gridCol w:w="6303"/>
              <w:gridCol w:w="1405"/>
            </w:tblGrid>
            <w:tr w14:paraId="0A7E61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PrEx>
              <w:trPr>
                <w:trHeight w:val="523" w:hRule="atLeast"/>
              </w:trPr>
              <w:tc>
                <w:tcPr>
                  <w:tcW w:w="1410" w:type="dxa"/>
                  <w:tcBorders>
                    <w:tl2br w:val="nil"/>
                    <w:tr2bl w:val="nil"/>
                  </w:tcBorders>
                  <w:shd w:val="clear" w:color="auto" w:fill="auto"/>
                  <w:vAlign w:val="top"/>
                </w:tcPr>
                <w:p w14:paraId="05456CB1">
                  <w:pPr>
                    <w:keepNext w:val="0"/>
                    <w:keepLines w:val="0"/>
                    <w:widowControl w:val="0"/>
                    <w:suppressLineNumbers w:val="0"/>
                    <w:kinsoku w:val="0"/>
                    <w:autoSpaceDE w:val="0"/>
                    <w:autoSpaceDN w:val="0"/>
                    <w:adjustRightInd w:val="0"/>
                    <w:snapToGrid w:val="0"/>
                    <w:spacing w:before="23" w:beforeAutospacing="0" w:after="120" w:afterAutospacing="0"/>
                    <w:ind w:left="483"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2"/>
                      <w:kern w:val="0"/>
                      <w:sz w:val="21"/>
                      <w:szCs w:val="21"/>
                      <w:highlight w:val="none"/>
                      <w:vertAlign w:val="baseline"/>
                      <w:lang w:val="en-US" w:eastAsia="zh-CN" w:bidi="ar"/>
                    </w:rPr>
                    <w:t>类别</w:t>
                  </w:r>
                </w:p>
              </w:tc>
              <w:tc>
                <w:tcPr>
                  <w:tcW w:w="6303" w:type="dxa"/>
                  <w:tcBorders>
                    <w:tl2br w:val="nil"/>
                    <w:tr2bl w:val="nil"/>
                  </w:tcBorders>
                  <w:shd w:val="clear" w:color="auto" w:fill="auto"/>
                  <w:vAlign w:val="top"/>
                </w:tcPr>
                <w:p w14:paraId="7B8AF878">
                  <w:pPr>
                    <w:keepNext w:val="0"/>
                    <w:keepLines w:val="0"/>
                    <w:widowControl w:val="0"/>
                    <w:suppressLineNumbers w:val="0"/>
                    <w:kinsoku w:val="0"/>
                    <w:autoSpaceDE w:val="0"/>
                    <w:autoSpaceDN w:val="0"/>
                    <w:adjustRightInd w:val="0"/>
                    <w:snapToGrid w:val="0"/>
                    <w:spacing w:before="23" w:beforeAutospacing="0" w:after="120" w:afterAutospacing="0"/>
                    <w:ind w:left="2596"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1"/>
                      <w:kern w:val="0"/>
                      <w:sz w:val="21"/>
                      <w:szCs w:val="21"/>
                      <w:highlight w:val="none"/>
                      <w:vertAlign w:val="baseline"/>
                      <w:lang w:val="en-US" w:eastAsia="zh-CN" w:bidi="ar"/>
                    </w:rPr>
                    <w:t>放射性核素</w:t>
                  </w:r>
                </w:p>
              </w:tc>
              <w:tc>
                <w:tcPr>
                  <w:tcW w:w="1405" w:type="dxa"/>
                  <w:tcBorders>
                    <w:tl2br w:val="nil"/>
                    <w:tr2bl w:val="nil"/>
                  </w:tcBorders>
                  <w:shd w:val="clear" w:color="auto" w:fill="auto"/>
                  <w:vAlign w:val="top"/>
                </w:tcPr>
                <w:p w14:paraId="2614DFAC">
                  <w:pPr>
                    <w:keepNext w:val="0"/>
                    <w:keepLines w:val="0"/>
                    <w:widowControl w:val="0"/>
                    <w:suppressLineNumbers w:val="0"/>
                    <w:kinsoku w:val="0"/>
                    <w:autoSpaceDE w:val="0"/>
                    <w:autoSpaceDN w:val="0"/>
                    <w:adjustRightInd w:val="0"/>
                    <w:snapToGrid w:val="0"/>
                    <w:spacing w:before="23" w:beforeAutospacing="0" w:after="120" w:afterAutospacing="0"/>
                    <w:ind w:left="287"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1"/>
                      <w:kern w:val="0"/>
                      <w:sz w:val="21"/>
                      <w:szCs w:val="21"/>
                      <w:highlight w:val="none"/>
                      <w:vertAlign w:val="baseline"/>
                      <w:lang w:val="en-US" w:eastAsia="zh-CN" w:bidi="ar"/>
                    </w:rPr>
                    <w:t>权重系数</w:t>
                  </w:r>
                </w:p>
              </w:tc>
            </w:tr>
            <w:tr w14:paraId="2C3967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70" w:hRule="atLeast"/>
              </w:trPr>
              <w:tc>
                <w:tcPr>
                  <w:tcW w:w="1410" w:type="dxa"/>
                  <w:tcBorders>
                    <w:tl2br w:val="nil"/>
                    <w:tr2bl w:val="nil"/>
                  </w:tcBorders>
                  <w:shd w:val="clear" w:color="auto" w:fill="auto"/>
                  <w:vAlign w:val="top"/>
                </w:tcPr>
                <w:p w14:paraId="59B331D8">
                  <w:pPr>
                    <w:keepNext w:val="0"/>
                    <w:keepLines w:val="0"/>
                    <w:widowControl/>
                    <w:suppressLineNumbers w:val="0"/>
                    <w:kinsoku w:val="0"/>
                    <w:autoSpaceDE w:val="0"/>
                    <w:autoSpaceDN w:val="0"/>
                    <w:adjustRightInd w:val="0"/>
                    <w:snapToGrid w:val="0"/>
                    <w:spacing w:before="70" w:beforeAutospacing="0" w:after="0" w:afterAutospacing="0"/>
                    <w:ind w:left="611"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kern w:val="0"/>
                      <w:sz w:val="21"/>
                      <w:szCs w:val="21"/>
                      <w:highlight w:val="none"/>
                      <w:vertAlign w:val="baseline"/>
                      <w:lang w:val="en-US" w:eastAsia="zh-CN" w:bidi="ar"/>
                    </w:rPr>
                    <w:t>A</w:t>
                  </w:r>
                </w:p>
              </w:tc>
              <w:tc>
                <w:tcPr>
                  <w:tcW w:w="6303" w:type="dxa"/>
                  <w:tcBorders>
                    <w:tl2br w:val="nil"/>
                    <w:tr2bl w:val="nil"/>
                  </w:tcBorders>
                  <w:shd w:val="clear" w:color="auto" w:fill="auto"/>
                  <w:vAlign w:val="top"/>
                </w:tcPr>
                <w:p w14:paraId="697C6D82">
                  <w:pPr>
                    <w:keepNext w:val="0"/>
                    <w:keepLines w:val="0"/>
                    <w:widowControl w:val="0"/>
                    <w:suppressLineNumbers w:val="0"/>
                    <w:kinsoku w:val="0"/>
                    <w:autoSpaceDE w:val="0"/>
                    <w:autoSpaceDN w:val="0"/>
                    <w:adjustRightInd w:val="0"/>
                    <w:snapToGrid w:val="0"/>
                    <w:spacing w:before="49" w:beforeAutospacing="0" w:after="120" w:afterAutospacing="0"/>
                    <w:ind w:left="1865"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1"/>
                      <w:kern w:val="0"/>
                      <w:position w:val="4"/>
                      <w:sz w:val="13"/>
                      <w:szCs w:val="13"/>
                      <w:highlight w:val="none"/>
                      <w:vertAlign w:val="baseline"/>
                      <w:lang w:val="en-US" w:eastAsia="zh-CN" w:bidi="ar"/>
                    </w:rPr>
                    <w:t>75</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Se、</w:t>
                  </w:r>
                  <w:r>
                    <w:rPr>
                      <w:rFonts w:hint="default" w:ascii="Times New Roman" w:hAnsi="Times New Roman" w:eastAsia="宋体" w:cs="Times New Roman"/>
                      <w:color w:val="auto"/>
                      <w:spacing w:val="-1"/>
                      <w:kern w:val="0"/>
                      <w:position w:val="4"/>
                      <w:sz w:val="13"/>
                      <w:szCs w:val="13"/>
                      <w:highlight w:val="none"/>
                      <w:vertAlign w:val="superscript"/>
                      <w:lang w:val="en-US" w:eastAsia="zh-CN" w:bidi="ar"/>
                    </w:rPr>
                    <w:t>89</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Sr、</w:t>
                  </w:r>
                  <w:r>
                    <w:rPr>
                      <w:rFonts w:hint="default" w:ascii="Times New Roman" w:hAnsi="Times New Roman" w:eastAsia="宋体" w:cs="Times New Roman"/>
                      <w:color w:val="auto"/>
                      <w:spacing w:val="-1"/>
                      <w:kern w:val="0"/>
                      <w:position w:val="4"/>
                      <w:sz w:val="13"/>
                      <w:szCs w:val="13"/>
                      <w:highlight w:val="none"/>
                      <w:vertAlign w:val="superscript"/>
                      <w:lang w:val="en-US" w:eastAsia="zh-CN" w:bidi="ar"/>
                    </w:rPr>
                    <w:t>125</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I、</w:t>
                  </w:r>
                  <w:r>
                    <w:rPr>
                      <w:rFonts w:hint="eastAsia" w:cs="Times New Roman"/>
                      <w:color w:val="auto"/>
                      <w:spacing w:val="-1"/>
                      <w:kern w:val="0"/>
                      <w:position w:val="4"/>
                      <w:sz w:val="20"/>
                      <w:szCs w:val="20"/>
                      <w:highlight w:val="none"/>
                      <w:vertAlign w:val="baseline"/>
                      <w:lang w:val="en-US" w:eastAsia="zh-CN" w:bidi="ar"/>
                    </w:rPr>
                    <w:t>I-131</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w:t>
                  </w:r>
                  <w:r>
                    <w:rPr>
                      <w:rFonts w:hint="default" w:ascii="Times New Roman" w:hAnsi="Times New Roman" w:eastAsia="宋体" w:cs="Times New Roman"/>
                      <w:color w:val="auto"/>
                      <w:spacing w:val="-1"/>
                      <w:kern w:val="0"/>
                      <w:position w:val="4"/>
                      <w:sz w:val="13"/>
                      <w:szCs w:val="13"/>
                      <w:highlight w:val="none"/>
                      <w:vertAlign w:val="baseline"/>
                      <w:lang w:val="en-US" w:eastAsia="zh-CN" w:bidi="ar"/>
                    </w:rPr>
                    <w:t>99</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Mo</w:t>
                  </w:r>
                </w:p>
              </w:tc>
              <w:tc>
                <w:tcPr>
                  <w:tcW w:w="1405" w:type="dxa"/>
                  <w:tcBorders>
                    <w:tl2br w:val="nil"/>
                    <w:tr2bl w:val="nil"/>
                  </w:tcBorders>
                  <w:shd w:val="clear" w:color="auto" w:fill="auto"/>
                  <w:vAlign w:val="top"/>
                </w:tcPr>
                <w:p w14:paraId="2BAB21E8">
                  <w:pPr>
                    <w:keepNext w:val="0"/>
                    <w:keepLines w:val="0"/>
                    <w:widowControl/>
                    <w:suppressLineNumbers w:val="0"/>
                    <w:kinsoku w:val="0"/>
                    <w:autoSpaceDE w:val="0"/>
                    <w:autoSpaceDN w:val="0"/>
                    <w:adjustRightInd w:val="0"/>
                    <w:snapToGrid w:val="0"/>
                    <w:spacing w:before="55" w:beforeAutospacing="0" w:after="0" w:afterAutospacing="0"/>
                    <w:ind w:left="568"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6"/>
                      <w:kern w:val="0"/>
                      <w:sz w:val="21"/>
                      <w:szCs w:val="21"/>
                      <w:highlight w:val="none"/>
                      <w:vertAlign w:val="baseline"/>
                      <w:lang w:val="en-US" w:eastAsia="zh-CN" w:bidi="ar"/>
                    </w:rPr>
                    <w:t>100</w:t>
                  </w:r>
                </w:p>
              </w:tc>
            </w:tr>
            <w:tr w14:paraId="07C59E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29" w:hRule="atLeast"/>
              </w:trPr>
              <w:tc>
                <w:tcPr>
                  <w:tcW w:w="1410" w:type="dxa"/>
                  <w:tcBorders>
                    <w:tl2br w:val="nil"/>
                    <w:tr2bl w:val="nil"/>
                  </w:tcBorders>
                  <w:shd w:val="clear" w:color="auto" w:fill="auto"/>
                  <w:vAlign w:val="top"/>
                </w:tcPr>
                <w:p w14:paraId="6520789F">
                  <w:pPr>
                    <w:keepNext w:val="0"/>
                    <w:keepLines w:val="0"/>
                    <w:widowControl/>
                    <w:suppressLineNumbers w:val="0"/>
                    <w:kinsoku w:val="0"/>
                    <w:autoSpaceDE w:val="0"/>
                    <w:autoSpaceDN w:val="0"/>
                    <w:adjustRightInd w:val="0"/>
                    <w:snapToGrid w:val="0"/>
                    <w:spacing w:before="73" w:beforeAutospacing="0" w:after="0" w:afterAutospacing="0"/>
                    <w:ind w:left="617"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kern w:val="0"/>
                      <w:sz w:val="21"/>
                      <w:szCs w:val="21"/>
                      <w:highlight w:val="none"/>
                      <w:vertAlign w:val="baseline"/>
                      <w:lang w:val="en-US" w:eastAsia="zh-CN" w:bidi="ar"/>
                    </w:rPr>
                    <w:t>B</w:t>
                  </w:r>
                </w:p>
              </w:tc>
              <w:tc>
                <w:tcPr>
                  <w:tcW w:w="6303" w:type="dxa"/>
                  <w:tcBorders>
                    <w:tl2br w:val="nil"/>
                    <w:tr2bl w:val="nil"/>
                  </w:tcBorders>
                  <w:shd w:val="clear" w:color="auto" w:fill="auto"/>
                  <w:vAlign w:val="top"/>
                </w:tcPr>
                <w:p w14:paraId="0A5E42F7">
                  <w:pPr>
                    <w:keepNext w:val="0"/>
                    <w:keepLines w:val="0"/>
                    <w:widowControl w:val="0"/>
                    <w:suppressLineNumbers w:val="0"/>
                    <w:kinsoku w:val="0"/>
                    <w:autoSpaceDE w:val="0"/>
                    <w:autoSpaceDN w:val="0"/>
                    <w:adjustRightInd w:val="0"/>
                    <w:snapToGrid w:val="0"/>
                    <w:spacing w:before="49" w:beforeAutospacing="0" w:after="120" w:afterAutospacing="0"/>
                    <w:ind w:left="501"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1"/>
                      <w:kern w:val="0"/>
                      <w:position w:val="4"/>
                      <w:sz w:val="13"/>
                      <w:szCs w:val="13"/>
                      <w:highlight w:val="none"/>
                      <w:vertAlign w:val="baseline"/>
                      <w:lang w:val="en-US" w:eastAsia="zh-CN" w:bidi="ar"/>
                    </w:rPr>
                    <w:t>11</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C、</w:t>
                  </w:r>
                  <w:r>
                    <w:rPr>
                      <w:rFonts w:hint="default" w:ascii="Times New Roman" w:hAnsi="Times New Roman" w:eastAsia="宋体" w:cs="Times New Roman"/>
                      <w:color w:val="auto"/>
                      <w:spacing w:val="-1"/>
                      <w:kern w:val="0"/>
                      <w:position w:val="4"/>
                      <w:sz w:val="13"/>
                      <w:szCs w:val="13"/>
                      <w:highlight w:val="none"/>
                      <w:vertAlign w:val="baseline"/>
                      <w:lang w:val="en-US" w:eastAsia="zh-CN" w:bidi="ar"/>
                    </w:rPr>
                    <w:t>13</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N、</w:t>
                  </w:r>
                  <w:r>
                    <w:rPr>
                      <w:rFonts w:hint="default" w:ascii="Times New Roman" w:hAnsi="Times New Roman" w:eastAsia="宋体" w:cs="Times New Roman"/>
                      <w:color w:val="auto"/>
                      <w:spacing w:val="-1"/>
                      <w:kern w:val="0"/>
                      <w:position w:val="4"/>
                      <w:sz w:val="13"/>
                      <w:szCs w:val="13"/>
                      <w:highlight w:val="none"/>
                      <w:vertAlign w:val="baseline"/>
                      <w:lang w:val="en-US" w:eastAsia="zh-CN" w:bidi="ar"/>
                    </w:rPr>
                    <w:t>13</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O、</w:t>
                  </w:r>
                  <w:r>
                    <w:rPr>
                      <w:rFonts w:hint="eastAsia" w:cs="Times New Roman"/>
                      <w:color w:val="auto"/>
                      <w:spacing w:val="-1"/>
                      <w:kern w:val="0"/>
                      <w:position w:val="4"/>
                      <w:sz w:val="13"/>
                      <w:szCs w:val="13"/>
                      <w:highlight w:val="none"/>
                      <w:vertAlign w:val="baseline"/>
                      <w:lang w:val="en-US" w:eastAsia="zh-CN" w:bidi="ar"/>
                    </w:rPr>
                    <w:t>F-18</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w:t>
                  </w:r>
                  <w:r>
                    <w:rPr>
                      <w:rFonts w:hint="default" w:ascii="Times New Roman" w:hAnsi="Times New Roman" w:eastAsia="宋体" w:cs="Times New Roman"/>
                      <w:color w:val="auto"/>
                      <w:spacing w:val="-1"/>
                      <w:kern w:val="0"/>
                      <w:position w:val="4"/>
                      <w:sz w:val="13"/>
                      <w:szCs w:val="13"/>
                      <w:highlight w:val="none"/>
                      <w:vertAlign w:val="baseline"/>
                      <w:lang w:val="en-US" w:eastAsia="zh-CN" w:bidi="ar"/>
                    </w:rPr>
                    <w:t>51</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Cr、</w:t>
                  </w:r>
                  <w:r>
                    <w:rPr>
                      <w:rFonts w:hint="default" w:ascii="Times New Roman" w:hAnsi="Times New Roman" w:eastAsia="宋体" w:cs="Times New Roman"/>
                      <w:color w:val="auto"/>
                      <w:spacing w:val="-1"/>
                      <w:kern w:val="0"/>
                      <w:position w:val="4"/>
                      <w:sz w:val="13"/>
                      <w:szCs w:val="13"/>
                      <w:highlight w:val="none"/>
                      <w:vertAlign w:val="baseline"/>
                      <w:lang w:val="en-US" w:eastAsia="zh-CN" w:bidi="ar"/>
                    </w:rPr>
                    <w:t>67</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Ge、</w:t>
                  </w:r>
                  <w:r>
                    <w:rPr>
                      <w:rFonts w:hint="default" w:ascii="Times New Roman" w:hAnsi="Times New Roman" w:eastAsia="宋体" w:cs="Times New Roman"/>
                      <w:color w:val="auto"/>
                      <w:spacing w:val="-1"/>
                      <w:kern w:val="0"/>
                      <w:position w:val="4"/>
                      <w:sz w:val="13"/>
                      <w:szCs w:val="13"/>
                      <w:highlight w:val="none"/>
                      <w:vertAlign w:val="superscript"/>
                      <w:lang w:val="en-US" w:eastAsia="zh-CN" w:bidi="ar"/>
                    </w:rPr>
                    <w:t>99m</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Tc、</w:t>
                  </w:r>
                  <w:r>
                    <w:rPr>
                      <w:rFonts w:hint="eastAsia" w:cs="Times New Roman"/>
                      <w:color w:val="auto"/>
                      <w:spacing w:val="-1"/>
                      <w:kern w:val="0"/>
                      <w:position w:val="4"/>
                      <w:sz w:val="13"/>
                      <w:szCs w:val="13"/>
                      <w:highlight w:val="none"/>
                      <w:vertAlign w:val="baseline"/>
                      <w:lang w:val="en-US" w:eastAsia="zh-CN" w:bidi="ar"/>
                    </w:rPr>
                    <w:t>I-131</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n、</w:t>
                  </w:r>
                  <w:r>
                    <w:rPr>
                      <w:rFonts w:hint="default" w:ascii="Times New Roman" w:hAnsi="Times New Roman" w:eastAsia="宋体" w:cs="Times New Roman"/>
                      <w:color w:val="auto"/>
                      <w:spacing w:val="-1"/>
                      <w:kern w:val="0"/>
                      <w:position w:val="4"/>
                      <w:sz w:val="13"/>
                      <w:szCs w:val="13"/>
                      <w:highlight w:val="none"/>
                      <w:vertAlign w:val="baseline"/>
                      <w:lang w:val="en-US" w:eastAsia="zh-CN" w:bidi="ar"/>
                    </w:rPr>
                    <w:t>123</w:t>
                  </w:r>
                  <w:r>
                    <w:rPr>
                      <w:rFonts w:hint="default" w:ascii="Times New Roman" w:hAnsi="Times New Roman" w:eastAsia="宋体" w:cs="Times New Roman"/>
                      <w:color w:val="auto"/>
                      <w:spacing w:val="-1"/>
                      <w:kern w:val="0"/>
                      <w:position w:val="-2"/>
                      <w:sz w:val="21"/>
                      <w:szCs w:val="21"/>
                      <w:highlight w:val="none"/>
                      <w:vertAlign w:val="baseline"/>
                      <w:lang w:val="en-US" w:eastAsia="zh-CN" w:bidi="ar"/>
                    </w:rPr>
                    <w:t>I、</w:t>
                  </w:r>
                  <w:r>
                    <w:rPr>
                      <w:rFonts w:hint="default" w:ascii="Times New Roman" w:hAnsi="Times New Roman" w:eastAsia="宋体" w:cs="Times New Roman"/>
                      <w:color w:val="auto"/>
                      <w:spacing w:val="-1"/>
                      <w:kern w:val="0"/>
                      <w:position w:val="4"/>
                      <w:sz w:val="13"/>
                      <w:szCs w:val="13"/>
                      <w:highlight w:val="none"/>
                      <w:vertAlign w:val="baseline"/>
                      <w:lang w:val="en-US" w:eastAsia="zh-CN" w:bidi="ar"/>
                    </w:rPr>
                    <w:t>20</w:t>
                  </w:r>
                  <w:r>
                    <w:rPr>
                      <w:rFonts w:hint="default" w:ascii="Times New Roman" w:hAnsi="Times New Roman" w:eastAsia="宋体" w:cs="Times New Roman"/>
                      <w:color w:val="auto"/>
                      <w:spacing w:val="-2"/>
                      <w:kern w:val="0"/>
                      <w:position w:val="4"/>
                      <w:sz w:val="13"/>
                      <w:szCs w:val="13"/>
                      <w:highlight w:val="none"/>
                      <w:vertAlign w:val="baseline"/>
                      <w:lang w:val="en-US" w:eastAsia="zh-CN" w:bidi="ar"/>
                    </w:rPr>
                    <w:t>1</w:t>
                  </w:r>
                  <w:r>
                    <w:rPr>
                      <w:rFonts w:hint="default" w:ascii="Times New Roman" w:hAnsi="Times New Roman" w:eastAsia="宋体" w:cs="Times New Roman"/>
                      <w:color w:val="auto"/>
                      <w:spacing w:val="-2"/>
                      <w:kern w:val="0"/>
                      <w:position w:val="-2"/>
                      <w:sz w:val="21"/>
                      <w:szCs w:val="21"/>
                      <w:highlight w:val="none"/>
                      <w:vertAlign w:val="baseline"/>
                      <w:lang w:val="en-US" w:eastAsia="zh-CN" w:bidi="ar"/>
                    </w:rPr>
                    <w:t>Tl</w:t>
                  </w:r>
                </w:p>
              </w:tc>
              <w:tc>
                <w:tcPr>
                  <w:tcW w:w="1405" w:type="dxa"/>
                  <w:tcBorders>
                    <w:tl2br w:val="nil"/>
                    <w:tr2bl w:val="nil"/>
                  </w:tcBorders>
                  <w:shd w:val="clear" w:color="auto" w:fill="auto"/>
                  <w:vAlign w:val="top"/>
                </w:tcPr>
                <w:p w14:paraId="77D7DB41">
                  <w:pPr>
                    <w:keepNext w:val="0"/>
                    <w:keepLines w:val="0"/>
                    <w:widowControl/>
                    <w:suppressLineNumbers w:val="0"/>
                    <w:kinsoku w:val="0"/>
                    <w:autoSpaceDE w:val="0"/>
                    <w:autoSpaceDN w:val="0"/>
                    <w:adjustRightInd w:val="0"/>
                    <w:snapToGrid w:val="0"/>
                    <w:spacing w:before="53" w:beforeAutospacing="0" w:after="0" w:afterAutospacing="0"/>
                    <w:ind w:left="672"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kern w:val="0"/>
                      <w:sz w:val="21"/>
                      <w:szCs w:val="21"/>
                      <w:highlight w:val="none"/>
                      <w:vertAlign w:val="baseline"/>
                      <w:lang w:val="en-US" w:eastAsia="zh-CN" w:bidi="ar"/>
                    </w:rPr>
                    <w:t>1</w:t>
                  </w:r>
                </w:p>
              </w:tc>
            </w:tr>
            <w:tr w14:paraId="3D7653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75" w:hRule="atLeast"/>
              </w:trPr>
              <w:tc>
                <w:tcPr>
                  <w:tcW w:w="1410" w:type="dxa"/>
                  <w:tcBorders>
                    <w:tl2br w:val="nil"/>
                    <w:tr2bl w:val="nil"/>
                  </w:tcBorders>
                  <w:shd w:val="clear" w:color="auto" w:fill="auto"/>
                  <w:vAlign w:val="top"/>
                </w:tcPr>
                <w:p w14:paraId="0D11BC48">
                  <w:pPr>
                    <w:keepNext w:val="0"/>
                    <w:keepLines w:val="0"/>
                    <w:widowControl/>
                    <w:suppressLineNumbers w:val="0"/>
                    <w:kinsoku w:val="0"/>
                    <w:autoSpaceDE w:val="0"/>
                    <w:autoSpaceDN w:val="0"/>
                    <w:adjustRightInd w:val="0"/>
                    <w:snapToGrid w:val="0"/>
                    <w:spacing w:before="72" w:beforeAutospacing="0" w:after="0" w:afterAutospacing="0"/>
                    <w:ind w:left="621"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kern w:val="0"/>
                      <w:sz w:val="21"/>
                      <w:szCs w:val="21"/>
                      <w:highlight w:val="none"/>
                      <w:vertAlign w:val="baseline"/>
                      <w:lang w:val="en-US" w:eastAsia="zh-CN" w:bidi="ar"/>
                    </w:rPr>
                    <w:t>C</w:t>
                  </w:r>
                </w:p>
              </w:tc>
              <w:tc>
                <w:tcPr>
                  <w:tcW w:w="6303" w:type="dxa"/>
                  <w:tcBorders>
                    <w:tl2br w:val="nil"/>
                    <w:tr2bl w:val="nil"/>
                  </w:tcBorders>
                  <w:shd w:val="clear" w:color="auto" w:fill="auto"/>
                  <w:vAlign w:val="top"/>
                </w:tcPr>
                <w:p w14:paraId="0A89EB91">
                  <w:pPr>
                    <w:keepNext w:val="0"/>
                    <w:keepLines w:val="0"/>
                    <w:widowControl w:val="0"/>
                    <w:suppressLineNumbers w:val="0"/>
                    <w:kinsoku w:val="0"/>
                    <w:autoSpaceDE w:val="0"/>
                    <w:autoSpaceDN w:val="0"/>
                    <w:adjustRightInd w:val="0"/>
                    <w:snapToGrid w:val="0"/>
                    <w:spacing w:before="49" w:beforeAutospacing="0" w:after="120" w:afterAutospacing="0"/>
                    <w:ind w:left="1758"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kern w:val="0"/>
                      <w:position w:val="4"/>
                      <w:sz w:val="13"/>
                      <w:szCs w:val="13"/>
                      <w:highlight w:val="none"/>
                      <w:vertAlign w:val="baseline"/>
                      <w:lang w:val="en-US" w:eastAsia="zh-CN" w:bidi="ar"/>
                    </w:rPr>
                    <w:t>3</w:t>
                  </w:r>
                  <w:r>
                    <w:rPr>
                      <w:rFonts w:hint="default" w:ascii="Times New Roman" w:hAnsi="Times New Roman" w:eastAsia="宋体" w:cs="Times New Roman"/>
                      <w:color w:val="auto"/>
                      <w:kern w:val="0"/>
                      <w:position w:val="-2"/>
                      <w:sz w:val="21"/>
                      <w:szCs w:val="21"/>
                      <w:highlight w:val="none"/>
                      <w:vertAlign w:val="baseline"/>
                      <w:lang w:val="en-US" w:eastAsia="zh-CN" w:bidi="ar"/>
                    </w:rPr>
                    <w:t>H、</w:t>
                  </w:r>
                  <w:r>
                    <w:rPr>
                      <w:rFonts w:hint="default" w:ascii="Times New Roman" w:hAnsi="Times New Roman" w:eastAsia="宋体" w:cs="Times New Roman"/>
                      <w:color w:val="auto"/>
                      <w:kern w:val="0"/>
                      <w:position w:val="4"/>
                      <w:sz w:val="13"/>
                      <w:szCs w:val="13"/>
                      <w:highlight w:val="none"/>
                      <w:vertAlign w:val="baseline"/>
                      <w:lang w:val="en-US" w:eastAsia="zh-CN" w:bidi="ar"/>
                    </w:rPr>
                    <w:t>81m</w:t>
                  </w:r>
                  <w:r>
                    <w:rPr>
                      <w:rFonts w:hint="default" w:ascii="Times New Roman" w:hAnsi="Times New Roman" w:eastAsia="宋体" w:cs="Times New Roman"/>
                      <w:color w:val="auto"/>
                      <w:kern w:val="0"/>
                      <w:position w:val="-2"/>
                      <w:sz w:val="21"/>
                      <w:szCs w:val="21"/>
                      <w:highlight w:val="none"/>
                      <w:vertAlign w:val="baseline"/>
                      <w:lang w:val="en-US" w:eastAsia="zh-CN" w:bidi="ar"/>
                    </w:rPr>
                    <w:t>Kr、</w:t>
                  </w:r>
                  <w:r>
                    <w:rPr>
                      <w:rFonts w:hint="default" w:ascii="Times New Roman" w:hAnsi="Times New Roman" w:eastAsia="宋体" w:cs="Times New Roman"/>
                      <w:color w:val="auto"/>
                      <w:kern w:val="0"/>
                      <w:position w:val="4"/>
                      <w:sz w:val="13"/>
                      <w:szCs w:val="13"/>
                      <w:highlight w:val="none"/>
                      <w:vertAlign w:val="baseline"/>
                      <w:lang w:val="en-US" w:eastAsia="zh-CN" w:bidi="ar"/>
                    </w:rPr>
                    <w:t>127</w:t>
                  </w:r>
                  <w:r>
                    <w:rPr>
                      <w:rFonts w:hint="default" w:ascii="Times New Roman" w:hAnsi="Times New Roman" w:eastAsia="宋体" w:cs="Times New Roman"/>
                      <w:color w:val="auto"/>
                      <w:kern w:val="0"/>
                      <w:position w:val="-2"/>
                      <w:sz w:val="21"/>
                      <w:szCs w:val="21"/>
                      <w:highlight w:val="none"/>
                      <w:vertAlign w:val="baseline"/>
                      <w:lang w:val="en-US" w:eastAsia="zh-CN" w:bidi="ar"/>
                    </w:rPr>
                    <w:t>Xe、</w:t>
                  </w:r>
                  <w:r>
                    <w:rPr>
                      <w:rFonts w:hint="default" w:ascii="Times New Roman" w:hAnsi="Times New Roman" w:eastAsia="宋体" w:cs="Times New Roman"/>
                      <w:color w:val="auto"/>
                      <w:kern w:val="0"/>
                      <w:position w:val="4"/>
                      <w:sz w:val="13"/>
                      <w:szCs w:val="13"/>
                      <w:highlight w:val="none"/>
                      <w:vertAlign w:val="baseline"/>
                      <w:lang w:val="en-US" w:eastAsia="zh-CN" w:bidi="ar"/>
                    </w:rPr>
                    <w:t>133</w:t>
                  </w:r>
                  <w:r>
                    <w:rPr>
                      <w:rFonts w:hint="default" w:ascii="Times New Roman" w:hAnsi="Times New Roman" w:eastAsia="宋体" w:cs="Times New Roman"/>
                      <w:color w:val="auto"/>
                      <w:kern w:val="0"/>
                      <w:position w:val="-2"/>
                      <w:sz w:val="21"/>
                      <w:szCs w:val="21"/>
                      <w:highlight w:val="none"/>
                      <w:vertAlign w:val="baseline"/>
                      <w:lang w:val="en-US" w:eastAsia="zh-CN" w:bidi="ar"/>
                    </w:rPr>
                    <w:t>Xe、</w:t>
                  </w:r>
                  <w:r>
                    <w:rPr>
                      <w:rFonts w:hint="default" w:ascii="Times New Roman" w:hAnsi="Times New Roman" w:eastAsia="宋体" w:cs="Times New Roman"/>
                      <w:color w:val="auto"/>
                      <w:kern w:val="0"/>
                      <w:position w:val="4"/>
                      <w:sz w:val="13"/>
                      <w:szCs w:val="13"/>
                      <w:highlight w:val="none"/>
                      <w:vertAlign w:val="baseline"/>
                      <w:lang w:val="en-US" w:eastAsia="zh-CN" w:bidi="ar"/>
                    </w:rPr>
                    <w:t>14</w:t>
                  </w:r>
                  <w:r>
                    <w:rPr>
                      <w:rFonts w:hint="default" w:ascii="Times New Roman" w:hAnsi="Times New Roman" w:eastAsia="宋体" w:cs="Times New Roman"/>
                      <w:color w:val="auto"/>
                      <w:kern w:val="0"/>
                      <w:position w:val="-2"/>
                      <w:sz w:val="21"/>
                      <w:szCs w:val="21"/>
                      <w:highlight w:val="none"/>
                      <w:vertAlign w:val="baseline"/>
                      <w:lang w:val="en-US" w:eastAsia="zh-CN" w:bidi="ar"/>
                    </w:rPr>
                    <w:t>C</w:t>
                  </w:r>
                </w:p>
              </w:tc>
              <w:tc>
                <w:tcPr>
                  <w:tcW w:w="1405" w:type="dxa"/>
                  <w:tcBorders>
                    <w:tl2br w:val="nil"/>
                    <w:tr2bl w:val="nil"/>
                  </w:tcBorders>
                  <w:shd w:val="clear" w:color="auto" w:fill="auto"/>
                  <w:vAlign w:val="top"/>
                </w:tcPr>
                <w:p w14:paraId="3E26D6DE">
                  <w:pPr>
                    <w:keepNext w:val="0"/>
                    <w:keepLines w:val="0"/>
                    <w:widowControl/>
                    <w:suppressLineNumbers w:val="0"/>
                    <w:kinsoku w:val="0"/>
                    <w:autoSpaceDE w:val="0"/>
                    <w:autoSpaceDN w:val="0"/>
                    <w:adjustRightInd w:val="0"/>
                    <w:snapToGrid w:val="0"/>
                    <w:spacing w:before="55" w:beforeAutospacing="0" w:after="0" w:afterAutospacing="0"/>
                    <w:ind w:left="525" w:right="0"/>
                    <w:jc w:val="left"/>
                    <w:textAlignment w:val="baseline"/>
                    <w:rPr>
                      <w:rFonts w:hint="default" w:ascii="Times New Roman" w:hAnsi="Times New Roman" w:eastAsia="宋体" w:cs="Times New Roman"/>
                      <w:color w:val="auto"/>
                      <w:kern w:val="0"/>
                      <w:sz w:val="21"/>
                      <w:szCs w:val="21"/>
                      <w:highlight w:val="none"/>
                      <w:vertAlign w:val="baseline"/>
                    </w:rPr>
                  </w:pPr>
                  <w:r>
                    <w:rPr>
                      <w:rFonts w:hint="default" w:ascii="Times New Roman" w:hAnsi="Times New Roman" w:eastAsia="宋体" w:cs="Times New Roman"/>
                      <w:color w:val="auto"/>
                      <w:spacing w:val="-1"/>
                      <w:kern w:val="0"/>
                      <w:sz w:val="21"/>
                      <w:szCs w:val="21"/>
                      <w:highlight w:val="none"/>
                      <w:vertAlign w:val="baseline"/>
                      <w:lang w:val="en-US" w:eastAsia="zh-CN" w:bidi="ar"/>
                    </w:rPr>
                    <w:t>0.01</w:t>
                  </w:r>
                </w:p>
              </w:tc>
            </w:tr>
          </w:tbl>
          <w:p w14:paraId="4684E1FB">
            <w:pPr>
              <w:keepNext w:val="0"/>
              <w:keepLines w:val="0"/>
              <w:widowControl w:val="0"/>
              <w:suppressLineNumbers w:val="0"/>
              <w:spacing w:before="120" w:beforeAutospacing="0" w:after="120" w:afterAutospacing="0"/>
              <w:ind w:left="0" w:right="0"/>
              <w:jc w:val="center"/>
              <w:rPr>
                <w:rFonts w:hint="default" w:ascii="Times New Roman" w:hAnsi="Times New Roman" w:eastAsia="宋体" w:cs="Times New Roman"/>
                <w:b/>
                <w:bCs/>
                <w:color w:val="auto"/>
                <w:spacing w:val="-3"/>
                <w:kern w:val="0"/>
                <w:sz w:val="24"/>
                <w:szCs w:val="24"/>
                <w:highlight w:val="none"/>
                <w:lang w:val="en-US" w:eastAsia="zh-CN" w:bidi="ar"/>
              </w:rPr>
            </w:pPr>
          </w:p>
          <w:p w14:paraId="37C449A5">
            <w:pPr>
              <w:keepNext w:val="0"/>
              <w:keepLines w:val="0"/>
              <w:widowControl w:val="0"/>
              <w:suppressLineNumbers w:val="0"/>
              <w:spacing w:before="120" w:beforeAutospacing="0" w:after="120" w:afterAutospacing="0"/>
              <w:ind w:left="0" w:right="0"/>
              <w:jc w:val="center"/>
              <w:rPr>
                <w:rFonts w:hint="default" w:ascii="Times New Roman" w:hAnsi="Times New Roman" w:eastAsia="宋体" w:cs="Times New Roman"/>
                <w:b/>
                <w:bCs/>
                <w:color w:val="auto"/>
                <w:spacing w:val="-3"/>
                <w:kern w:val="0"/>
                <w:sz w:val="24"/>
                <w:szCs w:val="24"/>
                <w:highlight w:val="none"/>
                <w:lang w:val="en-US" w:eastAsia="zh-CN" w:bidi="ar"/>
              </w:rPr>
            </w:pPr>
            <w:r>
              <w:rPr>
                <w:rFonts w:hint="default" w:ascii="Times New Roman" w:hAnsi="Times New Roman" w:eastAsia="宋体" w:cs="Times New Roman"/>
                <w:b/>
                <w:bCs/>
                <w:color w:val="auto"/>
                <w:spacing w:val="-3"/>
                <w:kern w:val="0"/>
                <w:sz w:val="24"/>
                <w:szCs w:val="24"/>
                <w:highlight w:val="none"/>
                <w:lang w:val="en-US" w:eastAsia="zh-CN" w:bidi="ar"/>
              </w:rPr>
              <w:t>表10-</w:t>
            </w:r>
            <w:r>
              <w:rPr>
                <w:rFonts w:hint="eastAsia" w:cs="Times New Roman"/>
                <w:b/>
                <w:bCs/>
                <w:color w:val="auto"/>
                <w:spacing w:val="-3"/>
                <w:kern w:val="0"/>
                <w:sz w:val="24"/>
                <w:szCs w:val="24"/>
                <w:highlight w:val="none"/>
                <w:lang w:val="en-US" w:eastAsia="zh-CN" w:bidi="ar"/>
              </w:rPr>
              <w:t>13</w:t>
            </w:r>
            <w:r>
              <w:rPr>
                <w:rFonts w:hint="default" w:ascii="Times New Roman" w:hAnsi="Times New Roman" w:cs="Times New Roman"/>
                <w:b/>
                <w:bCs/>
                <w:color w:val="auto"/>
                <w:spacing w:val="-3"/>
                <w:kern w:val="0"/>
                <w:sz w:val="24"/>
                <w:szCs w:val="24"/>
                <w:highlight w:val="none"/>
                <w:lang w:val="en-US" w:eastAsia="zh-CN" w:bidi="ar"/>
              </w:rPr>
              <w:t xml:space="preserve"> </w:t>
            </w:r>
            <w:r>
              <w:rPr>
                <w:rFonts w:hint="default" w:ascii="Times New Roman" w:hAnsi="Times New Roman" w:eastAsia="宋体" w:cs="Times New Roman"/>
                <w:b/>
                <w:bCs/>
                <w:color w:val="auto"/>
                <w:spacing w:val="-3"/>
                <w:kern w:val="0"/>
                <w:sz w:val="24"/>
                <w:szCs w:val="24"/>
                <w:highlight w:val="none"/>
                <w:lang w:val="en-US" w:eastAsia="zh-CN" w:bidi="ar"/>
              </w:rPr>
              <w:t xml:space="preserve"> 不同操作性质的修正因子</w:t>
            </w:r>
          </w:p>
          <w:tbl>
            <w:tblPr>
              <w:tblStyle w:val="30"/>
              <w:tblW w:w="9021" w:type="dxa"/>
              <w:tblInd w:w="95"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5660"/>
              <w:gridCol w:w="3361"/>
            </w:tblGrid>
            <w:tr w14:paraId="65B195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2" w:hRule="atLeast"/>
              </w:trPr>
              <w:tc>
                <w:tcPr>
                  <w:tcW w:w="5660" w:type="dxa"/>
                  <w:tcBorders>
                    <w:tl2br w:val="nil"/>
                    <w:tr2bl w:val="nil"/>
                  </w:tcBorders>
                  <w:shd w:val="clear" w:color="auto" w:fill="auto"/>
                  <w:vAlign w:val="center"/>
                </w:tcPr>
                <w:p w14:paraId="5527209F">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操作方式和地区</w:t>
                  </w:r>
                </w:p>
              </w:tc>
              <w:tc>
                <w:tcPr>
                  <w:tcW w:w="3361" w:type="dxa"/>
                  <w:tcBorders>
                    <w:tl2br w:val="nil"/>
                    <w:tr2bl w:val="nil"/>
                  </w:tcBorders>
                  <w:shd w:val="clear" w:color="auto" w:fill="auto"/>
                  <w:vAlign w:val="center"/>
                </w:tcPr>
                <w:p w14:paraId="5864C6E0">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修正系数</w:t>
                  </w:r>
                </w:p>
              </w:tc>
            </w:tr>
            <w:tr w14:paraId="572374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2" w:hRule="atLeast"/>
              </w:trPr>
              <w:tc>
                <w:tcPr>
                  <w:tcW w:w="5660" w:type="dxa"/>
                  <w:tcBorders>
                    <w:tl2br w:val="nil"/>
                    <w:tr2bl w:val="nil"/>
                  </w:tcBorders>
                  <w:shd w:val="clear" w:color="auto" w:fill="auto"/>
                  <w:vAlign w:val="center"/>
                </w:tcPr>
                <w:p w14:paraId="73192C7A">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贮存</w:t>
                  </w:r>
                </w:p>
              </w:tc>
              <w:tc>
                <w:tcPr>
                  <w:tcW w:w="3361" w:type="dxa"/>
                  <w:tcBorders>
                    <w:tl2br w:val="nil"/>
                    <w:tr2bl w:val="nil"/>
                  </w:tcBorders>
                  <w:shd w:val="clear" w:color="auto" w:fill="auto"/>
                  <w:vAlign w:val="center"/>
                </w:tcPr>
                <w:p w14:paraId="5A7B1511">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100</w:t>
                  </w:r>
                </w:p>
              </w:tc>
            </w:tr>
            <w:tr w14:paraId="15B959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2" w:hRule="atLeast"/>
              </w:trPr>
              <w:tc>
                <w:tcPr>
                  <w:tcW w:w="5660" w:type="dxa"/>
                  <w:tcBorders>
                    <w:tl2br w:val="nil"/>
                    <w:tr2bl w:val="nil"/>
                  </w:tcBorders>
                  <w:shd w:val="clear" w:color="auto" w:fill="auto"/>
                  <w:vAlign w:val="center"/>
                </w:tcPr>
                <w:p w14:paraId="3EE88444">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废物处理；闪烁法计数和显像；候诊区及诊断病床区</w:t>
                  </w:r>
                </w:p>
              </w:tc>
              <w:tc>
                <w:tcPr>
                  <w:tcW w:w="3361" w:type="dxa"/>
                  <w:tcBorders>
                    <w:tl2br w:val="nil"/>
                    <w:tr2bl w:val="nil"/>
                  </w:tcBorders>
                  <w:shd w:val="clear" w:color="auto" w:fill="auto"/>
                  <w:vAlign w:val="center"/>
                </w:tcPr>
                <w:p w14:paraId="59F57113">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10</w:t>
                  </w:r>
                </w:p>
              </w:tc>
            </w:tr>
            <w:tr w14:paraId="31573B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2" w:hRule="atLeast"/>
              </w:trPr>
              <w:tc>
                <w:tcPr>
                  <w:tcW w:w="5660" w:type="dxa"/>
                  <w:tcBorders>
                    <w:tl2br w:val="nil"/>
                    <w:tr2bl w:val="nil"/>
                  </w:tcBorders>
                  <w:shd w:val="clear" w:color="auto" w:fill="auto"/>
                  <w:vAlign w:val="center"/>
                </w:tcPr>
                <w:p w14:paraId="7481521E">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配药、分装以及施给药；简单放射性药物制备；治疗病床区</w:t>
                  </w:r>
                </w:p>
              </w:tc>
              <w:tc>
                <w:tcPr>
                  <w:tcW w:w="3361" w:type="dxa"/>
                  <w:tcBorders>
                    <w:tl2br w:val="nil"/>
                    <w:tr2bl w:val="nil"/>
                  </w:tcBorders>
                  <w:shd w:val="clear" w:color="auto" w:fill="auto"/>
                  <w:vAlign w:val="center"/>
                </w:tcPr>
                <w:p w14:paraId="41B6C9AE">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1</w:t>
                  </w:r>
                </w:p>
              </w:tc>
            </w:tr>
            <w:tr w14:paraId="1ED805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72" w:hRule="atLeast"/>
              </w:trPr>
              <w:tc>
                <w:tcPr>
                  <w:tcW w:w="5660" w:type="dxa"/>
                  <w:tcBorders>
                    <w:tl2br w:val="nil"/>
                    <w:tr2bl w:val="nil"/>
                  </w:tcBorders>
                  <w:shd w:val="clear" w:color="auto" w:fill="auto"/>
                  <w:vAlign w:val="center"/>
                </w:tcPr>
                <w:p w14:paraId="1D84ED56">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复杂放射性药物配置</w:t>
                  </w:r>
                </w:p>
              </w:tc>
              <w:tc>
                <w:tcPr>
                  <w:tcW w:w="3361" w:type="dxa"/>
                  <w:tcBorders>
                    <w:tl2br w:val="nil"/>
                    <w:tr2bl w:val="nil"/>
                  </w:tcBorders>
                  <w:shd w:val="clear" w:color="auto" w:fill="auto"/>
                  <w:vAlign w:val="center"/>
                </w:tcPr>
                <w:p w14:paraId="0A11F066">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0.1</w:t>
                  </w:r>
                </w:p>
              </w:tc>
            </w:tr>
          </w:tbl>
          <w:p w14:paraId="5DBC4E98">
            <w:pPr>
              <w:keepNext w:val="0"/>
              <w:keepLines w:val="0"/>
              <w:widowControl w:val="0"/>
              <w:suppressLineNumbers w:val="0"/>
              <w:spacing w:before="120" w:beforeAutospacing="0" w:after="120" w:afterAutospacing="0"/>
              <w:ind w:left="0" w:right="0" w:firstLine="472" w:firstLineChars="200"/>
              <w:jc w:val="both"/>
              <w:rPr>
                <w:rFonts w:hint="default" w:ascii="Times New Roman" w:hAnsi="Times New Roman" w:eastAsia="宋体" w:cs="Times New Roman"/>
                <w:color w:val="auto"/>
                <w:spacing w:val="-2"/>
                <w:kern w:val="0"/>
                <w:sz w:val="24"/>
                <w:szCs w:val="24"/>
                <w:highlight w:val="none"/>
                <w:vertAlign w:val="baseline"/>
                <w:lang w:val="en-US" w:eastAsia="zh-CN" w:bidi="ar"/>
              </w:rPr>
            </w:pPr>
            <w:r>
              <w:rPr>
                <w:rFonts w:hint="default" w:ascii="Times New Roman" w:hAnsi="Times New Roman" w:eastAsia="宋体" w:cs="Times New Roman"/>
                <w:color w:val="auto"/>
                <w:spacing w:val="-2"/>
                <w:kern w:val="0"/>
                <w:sz w:val="24"/>
                <w:szCs w:val="24"/>
                <w:highlight w:val="none"/>
                <w:vertAlign w:val="baseline"/>
                <w:lang w:val="en-US" w:eastAsia="zh-CN" w:bidi="ar"/>
              </w:rPr>
              <w:t>按照上表</w:t>
            </w:r>
            <w:r>
              <w:rPr>
                <w:rFonts w:hint="default" w:ascii="Times New Roman" w:hAnsi="Times New Roman" w:cs="Times New Roman"/>
                <w:color w:val="auto"/>
                <w:spacing w:val="-2"/>
                <w:kern w:val="0"/>
                <w:sz w:val="24"/>
                <w:szCs w:val="24"/>
                <w:highlight w:val="none"/>
                <w:vertAlign w:val="baseline"/>
                <w:lang w:val="en-US" w:eastAsia="zh-CN" w:bidi="ar"/>
              </w:rPr>
              <w:t>计算</w:t>
            </w:r>
            <w:r>
              <w:rPr>
                <w:rFonts w:hint="default" w:ascii="Times New Roman" w:hAnsi="Times New Roman" w:eastAsia="宋体" w:cs="Times New Roman"/>
                <w:color w:val="auto"/>
                <w:spacing w:val="-2"/>
                <w:kern w:val="0"/>
                <w:sz w:val="24"/>
                <w:szCs w:val="24"/>
                <w:highlight w:val="none"/>
                <w:vertAlign w:val="baseline"/>
                <w:lang w:val="en-US" w:eastAsia="zh-CN" w:bidi="ar"/>
              </w:rPr>
              <w:t>，本项目</w:t>
            </w:r>
            <w:r>
              <w:rPr>
                <w:rFonts w:hint="default" w:ascii="Times New Roman" w:hAnsi="Times New Roman" w:cs="Times New Roman"/>
                <w:color w:val="auto"/>
                <w:spacing w:val="-2"/>
                <w:kern w:val="0"/>
                <w:sz w:val="24"/>
                <w:szCs w:val="24"/>
                <w:highlight w:val="none"/>
                <w:vertAlign w:val="baseline"/>
                <w:lang w:val="en-US" w:eastAsia="zh-CN" w:bidi="ar"/>
              </w:rPr>
              <w:t>工作场所</w:t>
            </w:r>
            <w:r>
              <w:rPr>
                <w:rFonts w:hint="default" w:ascii="Times New Roman" w:hAnsi="Times New Roman" w:eastAsia="宋体" w:cs="Times New Roman"/>
                <w:color w:val="auto"/>
                <w:spacing w:val="-2"/>
                <w:kern w:val="0"/>
                <w:sz w:val="24"/>
                <w:szCs w:val="24"/>
                <w:highlight w:val="none"/>
                <w:vertAlign w:val="baseline"/>
                <w:lang w:val="en-US" w:eastAsia="zh-CN" w:bidi="ar"/>
              </w:rPr>
              <w:t>核素权重活度计算结果见</w:t>
            </w:r>
            <w:r>
              <w:rPr>
                <w:rFonts w:hint="eastAsia" w:cs="Times New Roman"/>
                <w:color w:val="auto"/>
                <w:spacing w:val="-2"/>
                <w:kern w:val="0"/>
                <w:sz w:val="24"/>
                <w:szCs w:val="24"/>
                <w:highlight w:val="none"/>
                <w:vertAlign w:val="baseline"/>
                <w:lang w:val="en-US" w:eastAsia="zh-CN" w:bidi="ar"/>
              </w:rPr>
              <w:t>下表</w:t>
            </w:r>
            <w:r>
              <w:rPr>
                <w:rFonts w:hint="default" w:ascii="Times New Roman" w:hAnsi="Times New Roman" w:eastAsia="宋体" w:cs="Times New Roman"/>
                <w:color w:val="auto"/>
                <w:spacing w:val="-2"/>
                <w:kern w:val="0"/>
                <w:sz w:val="24"/>
                <w:szCs w:val="24"/>
                <w:highlight w:val="none"/>
                <w:vertAlign w:val="baseline"/>
                <w:lang w:val="en-US" w:eastAsia="zh-CN" w:bidi="ar"/>
              </w:rPr>
              <w:t>。</w:t>
            </w:r>
          </w:p>
          <w:p w14:paraId="07411CAD">
            <w:pPr>
              <w:keepNext w:val="0"/>
              <w:keepLines w:val="0"/>
              <w:widowControl w:val="0"/>
              <w:suppressLineNumbers w:val="0"/>
              <w:spacing w:before="120" w:beforeAutospacing="0" w:after="120" w:afterAutospacing="0"/>
              <w:ind w:left="0" w:right="0" w:firstLine="474" w:firstLineChars="200"/>
              <w:jc w:val="center"/>
              <w:rPr>
                <w:rFonts w:hint="default" w:ascii="Times New Roman" w:hAnsi="Times New Roman" w:eastAsia="宋体" w:cs="Times New Roman"/>
                <w:b/>
                <w:bCs/>
                <w:color w:val="auto"/>
                <w:spacing w:val="-2"/>
                <w:kern w:val="0"/>
                <w:sz w:val="24"/>
                <w:szCs w:val="24"/>
                <w:highlight w:val="none"/>
                <w:vertAlign w:val="baseline"/>
                <w:lang w:val="en-US" w:eastAsia="zh-CN" w:bidi="ar"/>
              </w:rPr>
            </w:pPr>
            <w:r>
              <w:rPr>
                <w:rFonts w:hint="default" w:ascii="Times New Roman" w:hAnsi="Times New Roman" w:eastAsia="宋体" w:cs="Times New Roman"/>
                <w:b/>
                <w:bCs/>
                <w:color w:val="auto"/>
                <w:spacing w:val="-2"/>
                <w:kern w:val="0"/>
                <w:sz w:val="24"/>
                <w:szCs w:val="24"/>
                <w:highlight w:val="none"/>
                <w:vertAlign w:val="baseline"/>
                <w:lang w:val="en-US" w:eastAsia="zh-CN" w:bidi="ar"/>
              </w:rPr>
              <w:t>表10-</w:t>
            </w:r>
            <w:r>
              <w:rPr>
                <w:rFonts w:hint="eastAsia" w:cs="Times New Roman"/>
                <w:b/>
                <w:bCs/>
                <w:color w:val="auto"/>
                <w:spacing w:val="-2"/>
                <w:kern w:val="0"/>
                <w:sz w:val="24"/>
                <w:szCs w:val="24"/>
                <w:highlight w:val="none"/>
                <w:vertAlign w:val="baseline"/>
                <w:lang w:val="en-US" w:eastAsia="zh-CN" w:bidi="ar"/>
              </w:rPr>
              <w:t>14</w:t>
            </w:r>
            <w:r>
              <w:rPr>
                <w:rFonts w:hint="default" w:ascii="Times New Roman" w:hAnsi="Times New Roman" w:eastAsia="宋体" w:cs="Times New Roman"/>
                <w:b/>
                <w:bCs/>
                <w:color w:val="auto"/>
                <w:spacing w:val="-2"/>
                <w:kern w:val="0"/>
                <w:sz w:val="24"/>
                <w:szCs w:val="24"/>
                <w:highlight w:val="none"/>
                <w:vertAlign w:val="baseline"/>
                <w:lang w:val="en-US" w:eastAsia="zh-CN" w:bidi="ar"/>
              </w:rPr>
              <w:t xml:space="preserve">  使用放射性核素加权活度计算结果</w:t>
            </w:r>
          </w:p>
          <w:tbl>
            <w:tblPr>
              <w:tblStyle w:val="30"/>
              <w:tblW w:w="9137" w:type="dxa"/>
              <w:tblInd w:w="2"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988"/>
              <w:gridCol w:w="1573"/>
              <w:gridCol w:w="1216"/>
              <w:gridCol w:w="985"/>
              <w:gridCol w:w="1125"/>
              <w:gridCol w:w="1125"/>
              <w:gridCol w:w="1125"/>
            </w:tblGrid>
            <w:tr w14:paraId="029E1D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988" w:type="dxa"/>
                  <w:tcBorders>
                    <w:tl2br w:val="nil"/>
                    <w:tr2bl w:val="nil"/>
                  </w:tcBorders>
                  <w:vAlign w:val="center"/>
                </w:tcPr>
                <w:p w14:paraId="58A0A50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场所</w:t>
                  </w:r>
                </w:p>
              </w:tc>
              <w:tc>
                <w:tcPr>
                  <w:tcW w:w="1573" w:type="dxa"/>
                  <w:tcBorders>
                    <w:tl2br w:val="nil"/>
                    <w:tr2bl w:val="nil"/>
                  </w:tcBorders>
                  <w:vAlign w:val="center"/>
                </w:tcPr>
                <w:p w14:paraId="020119E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使用核素</w:t>
                  </w:r>
                </w:p>
              </w:tc>
              <w:tc>
                <w:tcPr>
                  <w:tcW w:w="1216" w:type="dxa"/>
                  <w:tcBorders>
                    <w:tl2br w:val="nil"/>
                    <w:tr2bl w:val="nil"/>
                  </w:tcBorders>
                  <w:vAlign w:val="center"/>
                </w:tcPr>
                <w:p w14:paraId="4A19732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日最大操作活度</w:t>
                  </w:r>
                </w:p>
              </w:tc>
              <w:tc>
                <w:tcPr>
                  <w:tcW w:w="985" w:type="dxa"/>
                  <w:tcBorders>
                    <w:tl2br w:val="nil"/>
                    <w:tr2bl w:val="nil"/>
                  </w:tcBorders>
                  <w:vAlign w:val="center"/>
                </w:tcPr>
                <w:p w14:paraId="19580D7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核素毒性权重因子</w:t>
                  </w:r>
                </w:p>
              </w:tc>
              <w:tc>
                <w:tcPr>
                  <w:tcW w:w="1125" w:type="dxa"/>
                  <w:tcBorders>
                    <w:tl2br w:val="nil"/>
                    <w:tr2bl w:val="nil"/>
                  </w:tcBorders>
                  <w:vAlign w:val="center"/>
                </w:tcPr>
                <w:p w14:paraId="06392FF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操作方式</w:t>
                  </w:r>
                  <w:r>
                    <w:rPr>
                      <w:rFonts w:hint="default" w:ascii="Times New Roman" w:hAnsi="Times New Roman" w:eastAsia="宋体" w:cs="Times New Roman"/>
                      <w:color w:val="auto"/>
                      <w:kern w:val="0"/>
                      <w:sz w:val="21"/>
                      <w:szCs w:val="20"/>
                      <w:highlight w:val="none"/>
                      <w:lang w:val="en-US" w:eastAsia="en-US"/>
                    </w:rPr>
                    <w:t>修正因子</w:t>
                  </w:r>
                </w:p>
              </w:tc>
              <w:tc>
                <w:tcPr>
                  <w:tcW w:w="1125" w:type="dxa"/>
                  <w:tcBorders>
                    <w:tl2br w:val="nil"/>
                    <w:tr2bl w:val="nil"/>
                  </w:tcBorders>
                  <w:vAlign w:val="center"/>
                </w:tcPr>
                <w:p w14:paraId="1EDF82B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加权活度Bq</w:t>
                  </w:r>
                </w:p>
              </w:tc>
              <w:tc>
                <w:tcPr>
                  <w:tcW w:w="1125" w:type="dxa"/>
                  <w:tcBorders>
                    <w:tl2br w:val="nil"/>
                    <w:tr2bl w:val="nil"/>
                  </w:tcBorders>
                  <w:vAlign w:val="center"/>
                </w:tcPr>
                <w:p w14:paraId="45FADA7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分类</w:t>
                  </w:r>
                </w:p>
              </w:tc>
            </w:tr>
            <w:tr w14:paraId="105715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shd w:val="clear" w:color="auto" w:fill="auto"/>
                  <w:vAlign w:val="center"/>
                </w:tcPr>
                <w:p w14:paraId="71A18B1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核医学楼负一层正电子药物生产车间</w:t>
                  </w:r>
                </w:p>
              </w:tc>
              <w:tc>
                <w:tcPr>
                  <w:tcW w:w="1573" w:type="dxa"/>
                  <w:tcBorders>
                    <w:tl2br w:val="nil"/>
                    <w:tr2bl w:val="nil"/>
                  </w:tcBorders>
                  <w:shd w:val="clear" w:color="auto" w:fill="auto"/>
                  <w:vAlign w:val="center"/>
                </w:tcPr>
                <w:p w14:paraId="2DBB93F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vertAlign w:val="baseline"/>
                      <w:lang w:val="en-US" w:eastAsia="zh-CN"/>
                    </w:rPr>
                    <w:t>F-18</w:t>
                  </w:r>
                </w:p>
              </w:tc>
              <w:tc>
                <w:tcPr>
                  <w:tcW w:w="1216" w:type="dxa"/>
                  <w:tcBorders>
                    <w:tl2br w:val="nil"/>
                    <w:tr2bl w:val="nil"/>
                  </w:tcBorders>
                  <w:vAlign w:val="center"/>
                </w:tcPr>
                <w:p w14:paraId="2FBB1F9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7.40E+10</w:t>
                  </w:r>
                </w:p>
              </w:tc>
              <w:tc>
                <w:tcPr>
                  <w:tcW w:w="985" w:type="dxa"/>
                  <w:tcBorders>
                    <w:tl2br w:val="nil"/>
                    <w:tr2bl w:val="nil"/>
                  </w:tcBorders>
                  <w:shd w:val="clear" w:color="auto" w:fill="auto"/>
                  <w:vAlign w:val="center"/>
                </w:tcPr>
                <w:p w14:paraId="6628A1D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1</w:t>
                  </w:r>
                </w:p>
              </w:tc>
              <w:tc>
                <w:tcPr>
                  <w:tcW w:w="1125" w:type="dxa"/>
                  <w:tcBorders>
                    <w:tl2br w:val="nil"/>
                    <w:tr2bl w:val="nil"/>
                  </w:tcBorders>
                  <w:shd w:val="clear" w:color="auto" w:fill="auto"/>
                  <w:vAlign w:val="center"/>
                </w:tcPr>
                <w:p w14:paraId="50ABE82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restart"/>
                  <w:tcBorders>
                    <w:tl2br w:val="nil"/>
                    <w:tr2bl w:val="nil"/>
                  </w:tcBorders>
                  <w:shd w:val="clear" w:color="auto" w:fill="auto"/>
                  <w:vAlign w:val="center"/>
                </w:tcPr>
                <w:p w14:paraId="55207BA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14100</w:t>
                  </w:r>
                </w:p>
              </w:tc>
              <w:tc>
                <w:tcPr>
                  <w:tcW w:w="1125" w:type="dxa"/>
                  <w:vMerge w:val="restart"/>
                  <w:tcBorders>
                    <w:tl2br w:val="nil"/>
                    <w:tr2bl w:val="nil"/>
                  </w:tcBorders>
                  <w:shd w:val="clear" w:color="auto" w:fill="auto"/>
                  <w:vAlign w:val="center"/>
                </w:tcPr>
                <w:p w14:paraId="391BC27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5B9B65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shd w:val="clear" w:color="auto" w:fill="auto"/>
                  <w:vAlign w:val="center"/>
                </w:tcPr>
                <w:p w14:paraId="0DC9F3B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573" w:type="dxa"/>
                  <w:tcBorders>
                    <w:tl2br w:val="nil"/>
                    <w:tr2bl w:val="nil"/>
                  </w:tcBorders>
                  <w:shd w:val="clear" w:color="auto" w:fill="auto"/>
                  <w:vAlign w:val="center"/>
                </w:tcPr>
                <w:p w14:paraId="605D94A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Ga-68</w:t>
                  </w:r>
                </w:p>
              </w:tc>
              <w:tc>
                <w:tcPr>
                  <w:tcW w:w="1216" w:type="dxa"/>
                  <w:tcBorders>
                    <w:tl2br w:val="nil"/>
                    <w:tr2bl w:val="nil"/>
                  </w:tcBorders>
                  <w:shd w:val="clear" w:color="auto" w:fill="auto"/>
                  <w:vAlign w:val="center"/>
                </w:tcPr>
                <w:p w14:paraId="7BEB353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3.70E+10</w:t>
                  </w:r>
                </w:p>
              </w:tc>
              <w:tc>
                <w:tcPr>
                  <w:tcW w:w="985" w:type="dxa"/>
                  <w:tcBorders>
                    <w:tl2br w:val="nil"/>
                    <w:tr2bl w:val="nil"/>
                  </w:tcBorders>
                  <w:shd w:val="clear" w:color="auto" w:fill="auto"/>
                  <w:vAlign w:val="center"/>
                </w:tcPr>
                <w:p w14:paraId="63DBB65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tcBorders>
                    <w:tl2br w:val="nil"/>
                    <w:tr2bl w:val="nil"/>
                  </w:tcBorders>
                  <w:shd w:val="clear" w:color="auto" w:fill="auto"/>
                  <w:vAlign w:val="center"/>
                </w:tcPr>
                <w:p w14:paraId="74280FE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continue"/>
                  <w:tcBorders>
                    <w:tl2br w:val="nil"/>
                    <w:tr2bl w:val="nil"/>
                  </w:tcBorders>
                  <w:shd w:val="clear" w:color="auto" w:fill="auto"/>
                  <w:vAlign w:val="center"/>
                </w:tcPr>
                <w:p w14:paraId="6DB7CEF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2C94A39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0E8986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393A90E2">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79C75A8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C-11</w:t>
                  </w:r>
                </w:p>
              </w:tc>
              <w:tc>
                <w:tcPr>
                  <w:tcW w:w="1216" w:type="dxa"/>
                  <w:tcBorders>
                    <w:tl2br w:val="nil"/>
                    <w:tr2bl w:val="nil"/>
                  </w:tcBorders>
                  <w:shd w:val="clear" w:color="auto" w:fill="auto"/>
                  <w:vAlign w:val="center"/>
                </w:tcPr>
                <w:p w14:paraId="43A744E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1.48E+10</w:t>
                  </w:r>
                </w:p>
              </w:tc>
              <w:tc>
                <w:tcPr>
                  <w:tcW w:w="985" w:type="dxa"/>
                  <w:tcBorders>
                    <w:tl2br w:val="nil"/>
                    <w:tr2bl w:val="nil"/>
                  </w:tcBorders>
                  <w:shd w:val="clear" w:color="auto" w:fill="auto"/>
                  <w:vAlign w:val="center"/>
                </w:tcPr>
                <w:p w14:paraId="0CA58EE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1</w:t>
                  </w:r>
                </w:p>
              </w:tc>
              <w:tc>
                <w:tcPr>
                  <w:tcW w:w="1125" w:type="dxa"/>
                  <w:tcBorders>
                    <w:tl2br w:val="nil"/>
                    <w:tr2bl w:val="nil"/>
                  </w:tcBorders>
                  <w:shd w:val="clear" w:color="auto" w:fill="auto"/>
                  <w:vAlign w:val="center"/>
                </w:tcPr>
                <w:p w14:paraId="1ED7759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continue"/>
                  <w:tcBorders>
                    <w:tl2br w:val="nil"/>
                    <w:tr2bl w:val="nil"/>
                  </w:tcBorders>
                  <w:shd w:val="clear" w:color="auto" w:fill="auto"/>
                  <w:vAlign w:val="center"/>
                </w:tcPr>
                <w:p w14:paraId="491EB2B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2AA86FB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22B9A4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749BDB0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3698C77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N-13</w:t>
                  </w:r>
                </w:p>
              </w:tc>
              <w:tc>
                <w:tcPr>
                  <w:tcW w:w="1216" w:type="dxa"/>
                  <w:tcBorders>
                    <w:tl2br w:val="nil"/>
                    <w:tr2bl w:val="nil"/>
                  </w:tcBorders>
                  <w:shd w:val="clear" w:color="auto" w:fill="auto"/>
                  <w:vAlign w:val="center"/>
                </w:tcPr>
                <w:p w14:paraId="0517071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1.48E+10</w:t>
                  </w:r>
                </w:p>
              </w:tc>
              <w:tc>
                <w:tcPr>
                  <w:tcW w:w="985" w:type="dxa"/>
                  <w:tcBorders>
                    <w:tl2br w:val="nil"/>
                    <w:tr2bl w:val="nil"/>
                  </w:tcBorders>
                  <w:shd w:val="clear" w:color="auto" w:fill="auto"/>
                  <w:vAlign w:val="center"/>
                </w:tcPr>
                <w:p w14:paraId="23B7123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5C31130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continue"/>
                  <w:tcBorders>
                    <w:tl2br w:val="nil"/>
                    <w:tr2bl w:val="nil"/>
                  </w:tcBorders>
                  <w:shd w:val="clear" w:color="auto" w:fill="auto"/>
                  <w:vAlign w:val="center"/>
                </w:tcPr>
                <w:p w14:paraId="67B7A68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52F3DED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6EDBCA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shd w:val="clear" w:color="auto" w:fill="auto"/>
                  <w:vAlign w:val="center"/>
                </w:tcPr>
                <w:p w14:paraId="0E50BEC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核医学楼二层PET诊断区-储源室</w:t>
                  </w:r>
                </w:p>
              </w:tc>
              <w:tc>
                <w:tcPr>
                  <w:tcW w:w="1573" w:type="dxa"/>
                  <w:tcBorders>
                    <w:tl2br w:val="nil"/>
                    <w:tr2bl w:val="nil"/>
                  </w:tcBorders>
                  <w:shd w:val="clear" w:color="auto" w:fill="auto"/>
                  <w:vAlign w:val="center"/>
                </w:tcPr>
                <w:p w14:paraId="7780F70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F-18</w:t>
                  </w:r>
                </w:p>
              </w:tc>
              <w:tc>
                <w:tcPr>
                  <w:tcW w:w="1216" w:type="dxa"/>
                  <w:tcBorders>
                    <w:tl2br w:val="nil"/>
                    <w:tr2bl w:val="nil"/>
                  </w:tcBorders>
                  <w:shd w:val="clear" w:color="auto" w:fill="auto"/>
                  <w:vAlign w:val="center"/>
                </w:tcPr>
                <w:p w14:paraId="7904B42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3.70E+10</w:t>
                  </w:r>
                </w:p>
              </w:tc>
              <w:tc>
                <w:tcPr>
                  <w:tcW w:w="985" w:type="dxa"/>
                  <w:tcBorders>
                    <w:tl2br w:val="nil"/>
                    <w:tr2bl w:val="nil"/>
                  </w:tcBorders>
                  <w:shd w:val="clear" w:color="auto" w:fill="auto"/>
                  <w:vAlign w:val="center"/>
                </w:tcPr>
                <w:p w14:paraId="1FBBC4F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6AA1FD1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restart"/>
                  <w:tcBorders>
                    <w:tl2br w:val="nil"/>
                    <w:tr2bl w:val="nil"/>
                  </w:tcBorders>
                  <w:shd w:val="clear" w:color="auto" w:fill="auto"/>
                  <w:vAlign w:val="center"/>
                </w:tcPr>
                <w:p w14:paraId="3B4985C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70.3</w:t>
                  </w:r>
                </w:p>
              </w:tc>
              <w:tc>
                <w:tcPr>
                  <w:tcW w:w="1125" w:type="dxa"/>
                  <w:vMerge w:val="restart"/>
                  <w:tcBorders>
                    <w:tl2br w:val="nil"/>
                    <w:tr2bl w:val="nil"/>
                  </w:tcBorders>
                  <w:shd w:val="clear" w:color="auto" w:fill="auto"/>
                  <w:vAlign w:val="center"/>
                </w:tcPr>
                <w:p w14:paraId="2A39CB2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Ⅱ</w:t>
                  </w:r>
                </w:p>
              </w:tc>
            </w:tr>
            <w:tr w14:paraId="049A9C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663DA47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6BEC13C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Ga-68</w:t>
                  </w:r>
                </w:p>
              </w:tc>
              <w:tc>
                <w:tcPr>
                  <w:tcW w:w="1216" w:type="dxa"/>
                  <w:tcBorders>
                    <w:tl2br w:val="nil"/>
                    <w:tr2bl w:val="nil"/>
                  </w:tcBorders>
                  <w:shd w:val="clear" w:color="auto" w:fill="auto"/>
                  <w:vAlign w:val="center"/>
                </w:tcPr>
                <w:p w14:paraId="1D95458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1.85E+10</w:t>
                  </w:r>
                </w:p>
              </w:tc>
              <w:tc>
                <w:tcPr>
                  <w:tcW w:w="985" w:type="dxa"/>
                  <w:tcBorders>
                    <w:tl2br w:val="nil"/>
                    <w:tr2bl w:val="nil"/>
                  </w:tcBorders>
                  <w:shd w:val="clear" w:color="auto" w:fill="auto"/>
                  <w:vAlign w:val="center"/>
                </w:tcPr>
                <w:p w14:paraId="708BAE5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7645AD9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7339B69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3CD09A1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71AEAA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09F58DB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38ACD58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C-11</w:t>
                  </w:r>
                </w:p>
              </w:tc>
              <w:tc>
                <w:tcPr>
                  <w:tcW w:w="1216" w:type="dxa"/>
                  <w:tcBorders>
                    <w:tl2br w:val="nil"/>
                    <w:tr2bl w:val="nil"/>
                  </w:tcBorders>
                  <w:shd w:val="clear" w:color="auto" w:fill="auto"/>
                  <w:vAlign w:val="center"/>
                </w:tcPr>
                <w:p w14:paraId="34EA6F2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7.40E+09</w:t>
                  </w:r>
                </w:p>
              </w:tc>
              <w:tc>
                <w:tcPr>
                  <w:tcW w:w="985" w:type="dxa"/>
                  <w:tcBorders>
                    <w:tl2br w:val="nil"/>
                    <w:tr2bl w:val="nil"/>
                  </w:tcBorders>
                  <w:shd w:val="clear" w:color="auto" w:fill="auto"/>
                  <w:vAlign w:val="center"/>
                </w:tcPr>
                <w:p w14:paraId="1162BEE2">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46AB6E4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2749578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642BC6A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3AFBC6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75F9D5F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02F788D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N-13</w:t>
                  </w:r>
                </w:p>
              </w:tc>
              <w:tc>
                <w:tcPr>
                  <w:tcW w:w="1216" w:type="dxa"/>
                  <w:tcBorders>
                    <w:tl2br w:val="nil"/>
                    <w:tr2bl w:val="nil"/>
                  </w:tcBorders>
                  <w:shd w:val="clear" w:color="auto" w:fill="auto"/>
                  <w:vAlign w:val="center"/>
                </w:tcPr>
                <w:p w14:paraId="29608E22">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7.40E+09</w:t>
                  </w:r>
                </w:p>
              </w:tc>
              <w:tc>
                <w:tcPr>
                  <w:tcW w:w="985" w:type="dxa"/>
                  <w:tcBorders>
                    <w:tl2br w:val="nil"/>
                    <w:tr2bl w:val="nil"/>
                  </w:tcBorders>
                  <w:shd w:val="clear" w:color="auto" w:fill="auto"/>
                  <w:vAlign w:val="center"/>
                </w:tcPr>
                <w:p w14:paraId="6427E4D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64DDE5A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5148ED5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588D700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43EEB2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shd w:val="clear" w:color="auto" w:fill="auto"/>
                  <w:vAlign w:val="center"/>
                </w:tcPr>
                <w:p w14:paraId="59FE95F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核医学楼二层PET诊断区-注射室</w:t>
                  </w:r>
                </w:p>
              </w:tc>
              <w:tc>
                <w:tcPr>
                  <w:tcW w:w="1573" w:type="dxa"/>
                  <w:tcBorders>
                    <w:tl2br w:val="nil"/>
                    <w:tr2bl w:val="nil"/>
                  </w:tcBorders>
                  <w:shd w:val="clear" w:color="auto" w:fill="auto"/>
                  <w:vAlign w:val="center"/>
                </w:tcPr>
                <w:p w14:paraId="060ECDA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F-18</w:t>
                  </w:r>
                </w:p>
              </w:tc>
              <w:tc>
                <w:tcPr>
                  <w:tcW w:w="1216" w:type="dxa"/>
                  <w:tcBorders>
                    <w:tl2br w:val="nil"/>
                    <w:tr2bl w:val="nil"/>
                  </w:tcBorders>
                  <w:shd w:val="clear" w:color="auto" w:fill="auto"/>
                  <w:vAlign w:val="center"/>
                </w:tcPr>
                <w:p w14:paraId="7C356FF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3.70E+10</w:t>
                  </w:r>
                </w:p>
              </w:tc>
              <w:tc>
                <w:tcPr>
                  <w:tcW w:w="985" w:type="dxa"/>
                  <w:tcBorders>
                    <w:tl2br w:val="nil"/>
                    <w:tr2bl w:val="nil"/>
                  </w:tcBorders>
                  <w:shd w:val="clear" w:color="auto" w:fill="auto"/>
                  <w:vAlign w:val="center"/>
                </w:tcPr>
                <w:p w14:paraId="1989CD4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071642A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restart"/>
                  <w:tcBorders>
                    <w:tl2br w:val="nil"/>
                    <w:tr2bl w:val="nil"/>
                  </w:tcBorders>
                  <w:shd w:val="clear" w:color="auto" w:fill="auto"/>
                  <w:vAlign w:val="center"/>
                </w:tcPr>
                <w:p w14:paraId="410ED1D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7030</w:t>
                  </w:r>
                </w:p>
              </w:tc>
              <w:tc>
                <w:tcPr>
                  <w:tcW w:w="1125" w:type="dxa"/>
                  <w:vMerge w:val="restart"/>
                  <w:tcBorders>
                    <w:tl2br w:val="nil"/>
                    <w:tr2bl w:val="nil"/>
                  </w:tcBorders>
                  <w:shd w:val="clear" w:color="auto" w:fill="auto"/>
                  <w:vAlign w:val="center"/>
                </w:tcPr>
                <w:p w14:paraId="6658D52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4FF2AC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768A2CE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2E2BA3B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Ga-68</w:t>
                  </w:r>
                </w:p>
              </w:tc>
              <w:tc>
                <w:tcPr>
                  <w:tcW w:w="1216" w:type="dxa"/>
                  <w:tcBorders>
                    <w:tl2br w:val="nil"/>
                    <w:tr2bl w:val="nil"/>
                  </w:tcBorders>
                  <w:shd w:val="clear" w:color="auto" w:fill="auto"/>
                  <w:vAlign w:val="center"/>
                </w:tcPr>
                <w:p w14:paraId="44810A5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1.85E+10</w:t>
                  </w:r>
                </w:p>
              </w:tc>
              <w:tc>
                <w:tcPr>
                  <w:tcW w:w="985" w:type="dxa"/>
                  <w:tcBorders>
                    <w:tl2br w:val="nil"/>
                    <w:tr2bl w:val="nil"/>
                  </w:tcBorders>
                  <w:shd w:val="clear" w:color="auto" w:fill="auto"/>
                  <w:vAlign w:val="center"/>
                </w:tcPr>
                <w:p w14:paraId="1762012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7F7DF16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continue"/>
                  <w:tcBorders>
                    <w:tl2br w:val="nil"/>
                    <w:tr2bl w:val="nil"/>
                  </w:tcBorders>
                  <w:shd w:val="clear" w:color="auto" w:fill="auto"/>
                  <w:vAlign w:val="center"/>
                </w:tcPr>
                <w:p w14:paraId="372B828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144C6D5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7B32B5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24C15AA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2DDE6CE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C-11</w:t>
                  </w:r>
                </w:p>
              </w:tc>
              <w:tc>
                <w:tcPr>
                  <w:tcW w:w="1216" w:type="dxa"/>
                  <w:tcBorders>
                    <w:tl2br w:val="nil"/>
                    <w:tr2bl w:val="nil"/>
                  </w:tcBorders>
                  <w:shd w:val="clear" w:color="auto" w:fill="auto"/>
                  <w:vAlign w:val="center"/>
                </w:tcPr>
                <w:p w14:paraId="70A9A26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7.40E+09</w:t>
                  </w:r>
                </w:p>
              </w:tc>
              <w:tc>
                <w:tcPr>
                  <w:tcW w:w="985" w:type="dxa"/>
                  <w:tcBorders>
                    <w:tl2br w:val="nil"/>
                    <w:tr2bl w:val="nil"/>
                  </w:tcBorders>
                  <w:shd w:val="clear" w:color="auto" w:fill="auto"/>
                  <w:vAlign w:val="center"/>
                </w:tcPr>
                <w:p w14:paraId="1C76A91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29A3A0C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continue"/>
                  <w:tcBorders>
                    <w:tl2br w:val="nil"/>
                    <w:tr2bl w:val="nil"/>
                  </w:tcBorders>
                  <w:shd w:val="clear" w:color="auto" w:fill="auto"/>
                  <w:vAlign w:val="center"/>
                </w:tcPr>
                <w:p w14:paraId="106AF4F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70DE367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0765C0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612AFE9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79E1C002">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N-13</w:t>
                  </w:r>
                </w:p>
              </w:tc>
              <w:tc>
                <w:tcPr>
                  <w:tcW w:w="1216" w:type="dxa"/>
                  <w:tcBorders>
                    <w:tl2br w:val="nil"/>
                    <w:tr2bl w:val="nil"/>
                  </w:tcBorders>
                  <w:shd w:val="clear" w:color="auto" w:fill="auto"/>
                  <w:vAlign w:val="center"/>
                </w:tcPr>
                <w:p w14:paraId="204CD33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7.40E+09</w:t>
                  </w:r>
                </w:p>
              </w:tc>
              <w:tc>
                <w:tcPr>
                  <w:tcW w:w="985" w:type="dxa"/>
                  <w:tcBorders>
                    <w:tl2br w:val="nil"/>
                    <w:tr2bl w:val="nil"/>
                  </w:tcBorders>
                  <w:shd w:val="clear" w:color="auto" w:fill="auto"/>
                  <w:vAlign w:val="center"/>
                </w:tcPr>
                <w:p w14:paraId="4BC8D632">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1C7220F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continue"/>
                  <w:tcBorders>
                    <w:tl2br w:val="nil"/>
                    <w:tr2bl w:val="nil"/>
                  </w:tcBorders>
                  <w:shd w:val="clear" w:color="auto" w:fill="auto"/>
                  <w:vAlign w:val="center"/>
                </w:tcPr>
                <w:p w14:paraId="18C210A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5317E4C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104A6E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shd w:val="clear" w:color="auto" w:fill="auto"/>
                  <w:vAlign w:val="center"/>
                </w:tcPr>
                <w:p w14:paraId="5793D8B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zh-CN"/>
                    </w:rPr>
                    <w:t>核医学楼二层PET诊断区-PET诊断机房</w:t>
                  </w:r>
                </w:p>
              </w:tc>
              <w:tc>
                <w:tcPr>
                  <w:tcW w:w="1573" w:type="dxa"/>
                  <w:tcBorders>
                    <w:tl2br w:val="nil"/>
                    <w:tr2bl w:val="nil"/>
                  </w:tcBorders>
                  <w:shd w:val="clear" w:color="auto" w:fill="auto"/>
                  <w:vAlign w:val="center"/>
                </w:tcPr>
                <w:p w14:paraId="349DA67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F-18</w:t>
                  </w:r>
                </w:p>
              </w:tc>
              <w:tc>
                <w:tcPr>
                  <w:tcW w:w="1216" w:type="dxa"/>
                  <w:tcBorders>
                    <w:tl2br w:val="nil"/>
                    <w:tr2bl w:val="nil"/>
                  </w:tcBorders>
                  <w:shd w:val="clear" w:color="auto" w:fill="auto"/>
                  <w:vAlign w:val="center"/>
                </w:tcPr>
                <w:p w14:paraId="408FF1C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3.70E+10</w:t>
                  </w:r>
                </w:p>
              </w:tc>
              <w:tc>
                <w:tcPr>
                  <w:tcW w:w="985" w:type="dxa"/>
                  <w:tcBorders>
                    <w:tl2br w:val="nil"/>
                    <w:tr2bl w:val="nil"/>
                  </w:tcBorders>
                  <w:shd w:val="clear" w:color="auto" w:fill="auto"/>
                  <w:vAlign w:val="center"/>
                </w:tcPr>
                <w:p w14:paraId="44A607C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4DF44CF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restart"/>
                  <w:tcBorders>
                    <w:tl2br w:val="nil"/>
                    <w:tr2bl w:val="nil"/>
                  </w:tcBorders>
                  <w:shd w:val="clear" w:color="auto" w:fill="auto"/>
                  <w:vAlign w:val="center"/>
                </w:tcPr>
                <w:p w14:paraId="05FACC9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703</w:t>
                  </w:r>
                </w:p>
              </w:tc>
              <w:tc>
                <w:tcPr>
                  <w:tcW w:w="1125" w:type="dxa"/>
                  <w:vMerge w:val="restart"/>
                  <w:tcBorders>
                    <w:tl2br w:val="nil"/>
                    <w:tr2bl w:val="nil"/>
                  </w:tcBorders>
                  <w:shd w:val="clear" w:color="auto" w:fill="auto"/>
                  <w:vAlign w:val="center"/>
                </w:tcPr>
                <w:p w14:paraId="355DAF3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Ⅱ</w:t>
                  </w:r>
                </w:p>
              </w:tc>
            </w:tr>
            <w:tr w14:paraId="528B3A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0FF3B03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7CF60E3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Ga-68</w:t>
                  </w:r>
                </w:p>
              </w:tc>
              <w:tc>
                <w:tcPr>
                  <w:tcW w:w="1216" w:type="dxa"/>
                  <w:tcBorders>
                    <w:tl2br w:val="nil"/>
                    <w:tr2bl w:val="nil"/>
                  </w:tcBorders>
                  <w:shd w:val="clear" w:color="auto" w:fill="auto"/>
                  <w:vAlign w:val="center"/>
                </w:tcPr>
                <w:p w14:paraId="209DA23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1.85E+10</w:t>
                  </w:r>
                </w:p>
              </w:tc>
              <w:tc>
                <w:tcPr>
                  <w:tcW w:w="985" w:type="dxa"/>
                  <w:tcBorders>
                    <w:tl2br w:val="nil"/>
                    <w:tr2bl w:val="nil"/>
                  </w:tcBorders>
                  <w:shd w:val="clear" w:color="auto" w:fill="auto"/>
                  <w:vAlign w:val="center"/>
                </w:tcPr>
                <w:p w14:paraId="23F8B0C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474CF4B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continue"/>
                  <w:tcBorders>
                    <w:tl2br w:val="nil"/>
                    <w:tr2bl w:val="nil"/>
                  </w:tcBorders>
                  <w:shd w:val="clear" w:color="auto" w:fill="auto"/>
                  <w:vAlign w:val="center"/>
                </w:tcPr>
                <w:p w14:paraId="29693E3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68672F4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2F3178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53C9125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0093218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C-11</w:t>
                  </w:r>
                </w:p>
              </w:tc>
              <w:tc>
                <w:tcPr>
                  <w:tcW w:w="1216" w:type="dxa"/>
                  <w:tcBorders>
                    <w:tl2br w:val="nil"/>
                    <w:tr2bl w:val="nil"/>
                  </w:tcBorders>
                  <w:shd w:val="clear" w:color="auto" w:fill="auto"/>
                  <w:vAlign w:val="center"/>
                </w:tcPr>
                <w:p w14:paraId="302491D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7.40E+09</w:t>
                  </w:r>
                </w:p>
              </w:tc>
              <w:tc>
                <w:tcPr>
                  <w:tcW w:w="985" w:type="dxa"/>
                  <w:tcBorders>
                    <w:tl2br w:val="nil"/>
                    <w:tr2bl w:val="nil"/>
                  </w:tcBorders>
                  <w:shd w:val="clear" w:color="auto" w:fill="auto"/>
                  <w:vAlign w:val="center"/>
                </w:tcPr>
                <w:p w14:paraId="29ED482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1ABD8BC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continue"/>
                  <w:tcBorders>
                    <w:tl2br w:val="nil"/>
                    <w:tr2bl w:val="nil"/>
                  </w:tcBorders>
                  <w:shd w:val="clear" w:color="auto" w:fill="auto"/>
                  <w:vAlign w:val="center"/>
                </w:tcPr>
                <w:p w14:paraId="4C828F0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49FA3E6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1615C1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6786D7C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4FC7174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N-13</w:t>
                  </w:r>
                </w:p>
              </w:tc>
              <w:tc>
                <w:tcPr>
                  <w:tcW w:w="1216" w:type="dxa"/>
                  <w:tcBorders>
                    <w:tl2br w:val="nil"/>
                    <w:tr2bl w:val="nil"/>
                  </w:tcBorders>
                  <w:shd w:val="clear" w:color="auto" w:fill="auto"/>
                  <w:vAlign w:val="center"/>
                </w:tcPr>
                <w:p w14:paraId="70F9535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7.40E+09</w:t>
                  </w:r>
                </w:p>
              </w:tc>
              <w:tc>
                <w:tcPr>
                  <w:tcW w:w="985" w:type="dxa"/>
                  <w:tcBorders>
                    <w:tl2br w:val="nil"/>
                    <w:tr2bl w:val="nil"/>
                  </w:tcBorders>
                  <w:shd w:val="clear" w:color="auto" w:fill="auto"/>
                  <w:vAlign w:val="center"/>
                </w:tcPr>
                <w:p w14:paraId="032EFFF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75E580A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continue"/>
                  <w:tcBorders>
                    <w:tl2br w:val="nil"/>
                    <w:tr2bl w:val="nil"/>
                  </w:tcBorders>
                  <w:shd w:val="clear" w:color="auto" w:fill="auto"/>
                  <w:vAlign w:val="center"/>
                </w:tcPr>
                <w:p w14:paraId="72140FC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42C1E9D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7EBCDF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vAlign w:val="center"/>
                </w:tcPr>
                <w:p w14:paraId="0437B5B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en-US"/>
                    </w:rPr>
                    <w:t>核医学楼二层PET诊断区-</w:t>
                  </w:r>
                  <w:r>
                    <w:rPr>
                      <w:rFonts w:hint="default" w:ascii="Times New Roman" w:hAnsi="Times New Roman" w:eastAsia="宋体" w:cs="Times New Roman"/>
                      <w:color w:val="auto"/>
                      <w:kern w:val="0"/>
                      <w:sz w:val="21"/>
                      <w:szCs w:val="20"/>
                      <w:highlight w:val="none"/>
                      <w:lang w:val="en-US" w:eastAsia="zh-CN"/>
                    </w:rPr>
                    <w:t>候诊区</w:t>
                  </w:r>
                </w:p>
              </w:tc>
              <w:tc>
                <w:tcPr>
                  <w:tcW w:w="1573" w:type="dxa"/>
                  <w:tcBorders>
                    <w:tl2br w:val="nil"/>
                    <w:tr2bl w:val="nil"/>
                  </w:tcBorders>
                  <w:shd w:val="clear" w:color="auto" w:fill="auto"/>
                  <w:vAlign w:val="center"/>
                </w:tcPr>
                <w:p w14:paraId="602EC0D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F-18</w:t>
                  </w:r>
                </w:p>
              </w:tc>
              <w:tc>
                <w:tcPr>
                  <w:tcW w:w="1216" w:type="dxa"/>
                  <w:tcBorders>
                    <w:tl2br w:val="nil"/>
                    <w:tr2bl w:val="nil"/>
                  </w:tcBorders>
                  <w:shd w:val="clear" w:color="auto" w:fill="auto"/>
                  <w:vAlign w:val="center"/>
                </w:tcPr>
                <w:p w14:paraId="4DC3AAE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3.70E+10</w:t>
                  </w:r>
                </w:p>
              </w:tc>
              <w:tc>
                <w:tcPr>
                  <w:tcW w:w="985" w:type="dxa"/>
                  <w:tcBorders>
                    <w:tl2br w:val="nil"/>
                    <w:tr2bl w:val="nil"/>
                  </w:tcBorders>
                  <w:shd w:val="clear" w:color="auto" w:fill="auto"/>
                  <w:vAlign w:val="center"/>
                </w:tcPr>
                <w:p w14:paraId="68A0EA8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tcBorders>
                    <w:tl2br w:val="nil"/>
                    <w:tr2bl w:val="nil"/>
                  </w:tcBorders>
                  <w:shd w:val="clear" w:color="auto" w:fill="auto"/>
                  <w:vAlign w:val="center"/>
                </w:tcPr>
                <w:p w14:paraId="4020CF7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restart"/>
                  <w:tcBorders>
                    <w:tl2br w:val="nil"/>
                    <w:tr2bl w:val="nil"/>
                  </w:tcBorders>
                  <w:shd w:val="clear" w:color="auto" w:fill="auto"/>
                  <w:vAlign w:val="center"/>
                </w:tcPr>
                <w:p w14:paraId="6809CF1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703</w:t>
                  </w:r>
                </w:p>
              </w:tc>
              <w:tc>
                <w:tcPr>
                  <w:tcW w:w="1125" w:type="dxa"/>
                  <w:vMerge w:val="restart"/>
                  <w:tcBorders>
                    <w:tl2br w:val="nil"/>
                    <w:tr2bl w:val="nil"/>
                  </w:tcBorders>
                  <w:shd w:val="clear" w:color="auto" w:fill="auto"/>
                  <w:vAlign w:val="center"/>
                </w:tcPr>
                <w:p w14:paraId="317CAE3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Ⅱ</w:t>
                  </w:r>
                </w:p>
              </w:tc>
            </w:tr>
            <w:tr w14:paraId="22EDE6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746493C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4FBD855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Ga-68</w:t>
                  </w:r>
                </w:p>
              </w:tc>
              <w:tc>
                <w:tcPr>
                  <w:tcW w:w="1216" w:type="dxa"/>
                  <w:tcBorders>
                    <w:tl2br w:val="nil"/>
                    <w:tr2bl w:val="nil"/>
                  </w:tcBorders>
                  <w:shd w:val="clear" w:color="auto" w:fill="auto"/>
                  <w:vAlign w:val="center"/>
                </w:tcPr>
                <w:p w14:paraId="2E79819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1.85E+10</w:t>
                  </w:r>
                </w:p>
              </w:tc>
              <w:tc>
                <w:tcPr>
                  <w:tcW w:w="985" w:type="dxa"/>
                  <w:tcBorders>
                    <w:tl2br w:val="nil"/>
                    <w:tr2bl w:val="nil"/>
                  </w:tcBorders>
                  <w:shd w:val="clear" w:color="auto" w:fill="auto"/>
                  <w:vAlign w:val="center"/>
                </w:tcPr>
                <w:p w14:paraId="05FF7E9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tcBorders>
                    <w:tl2br w:val="nil"/>
                    <w:tr2bl w:val="nil"/>
                  </w:tcBorders>
                  <w:shd w:val="clear" w:color="auto" w:fill="auto"/>
                  <w:vAlign w:val="center"/>
                </w:tcPr>
                <w:p w14:paraId="6488211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continue"/>
                  <w:tcBorders>
                    <w:tl2br w:val="nil"/>
                    <w:tr2bl w:val="nil"/>
                  </w:tcBorders>
                  <w:shd w:val="clear" w:color="auto" w:fill="auto"/>
                  <w:vAlign w:val="center"/>
                </w:tcPr>
                <w:p w14:paraId="1C1DD87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3EA3945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30C34B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22D6E07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1E9FF1C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C-11</w:t>
                  </w:r>
                </w:p>
              </w:tc>
              <w:tc>
                <w:tcPr>
                  <w:tcW w:w="1216" w:type="dxa"/>
                  <w:tcBorders>
                    <w:tl2br w:val="nil"/>
                    <w:tr2bl w:val="nil"/>
                  </w:tcBorders>
                  <w:shd w:val="clear" w:color="auto" w:fill="auto"/>
                  <w:vAlign w:val="center"/>
                </w:tcPr>
                <w:p w14:paraId="4C474A4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7.40E+09</w:t>
                  </w:r>
                </w:p>
              </w:tc>
              <w:tc>
                <w:tcPr>
                  <w:tcW w:w="985" w:type="dxa"/>
                  <w:tcBorders>
                    <w:tl2br w:val="nil"/>
                    <w:tr2bl w:val="nil"/>
                  </w:tcBorders>
                  <w:shd w:val="clear" w:color="auto" w:fill="auto"/>
                  <w:vAlign w:val="center"/>
                </w:tcPr>
                <w:p w14:paraId="560884D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tcBorders>
                    <w:tl2br w:val="nil"/>
                    <w:tr2bl w:val="nil"/>
                  </w:tcBorders>
                  <w:shd w:val="clear" w:color="auto" w:fill="auto"/>
                  <w:vAlign w:val="center"/>
                </w:tcPr>
                <w:p w14:paraId="4489CEF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continue"/>
                  <w:tcBorders>
                    <w:tl2br w:val="nil"/>
                    <w:tr2bl w:val="nil"/>
                  </w:tcBorders>
                  <w:shd w:val="clear" w:color="auto" w:fill="auto"/>
                  <w:vAlign w:val="center"/>
                </w:tcPr>
                <w:p w14:paraId="26E0C7F2">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6020282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4E4CF0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5F0E82F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397149B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N-13</w:t>
                  </w:r>
                </w:p>
              </w:tc>
              <w:tc>
                <w:tcPr>
                  <w:tcW w:w="1216" w:type="dxa"/>
                  <w:tcBorders>
                    <w:tl2br w:val="nil"/>
                    <w:tr2bl w:val="nil"/>
                  </w:tcBorders>
                  <w:shd w:val="clear" w:color="auto" w:fill="auto"/>
                  <w:vAlign w:val="center"/>
                </w:tcPr>
                <w:p w14:paraId="092CF6F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7.40E+09</w:t>
                  </w:r>
                </w:p>
              </w:tc>
              <w:tc>
                <w:tcPr>
                  <w:tcW w:w="985" w:type="dxa"/>
                  <w:tcBorders>
                    <w:tl2br w:val="nil"/>
                    <w:tr2bl w:val="nil"/>
                  </w:tcBorders>
                  <w:shd w:val="clear" w:color="auto" w:fill="auto"/>
                  <w:vAlign w:val="center"/>
                </w:tcPr>
                <w:p w14:paraId="0D41326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tcBorders>
                    <w:tl2br w:val="nil"/>
                    <w:tr2bl w:val="nil"/>
                  </w:tcBorders>
                  <w:shd w:val="clear" w:color="auto" w:fill="auto"/>
                  <w:vAlign w:val="center"/>
                </w:tcPr>
                <w:p w14:paraId="02D43D3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continue"/>
                  <w:tcBorders>
                    <w:tl2br w:val="nil"/>
                    <w:tr2bl w:val="nil"/>
                  </w:tcBorders>
                  <w:shd w:val="clear" w:color="auto" w:fill="auto"/>
                  <w:vAlign w:val="center"/>
                </w:tcPr>
                <w:p w14:paraId="523678F2">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5DC66DC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61900E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vAlign w:val="center"/>
                </w:tcPr>
                <w:p w14:paraId="4C2713A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en-US"/>
                    </w:rPr>
                    <w:t>核医学楼二层PET诊断区-</w:t>
                  </w:r>
                  <w:r>
                    <w:rPr>
                      <w:rFonts w:hint="default" w:ascii="Times New Roman" w:hAnsi="Times New Roman" w:eastAsia="宋体" w:cs="Times New Roman"/>
                      <w:color w:val="auto"/>
                      <w:kern w:val="0"/>
                      <w:sz w:val="21"/>
                      <w:szCs w:val="20"/>
                      <w:highlight w:val="none"/>
                      <w:lang w:val="en-US" w:eastAsia="zh-CN"/>
                    </w:rPr>
                    <w:t>放射性废物库</w:t>
                  </w:r>
                </w:p>
              </w:tc>
              <w:tc>
                <w:tcPr>
                  <w:tcW w:w="1573" w:type="dxa"/>
                  <w:tcBorders>
                    <w:tl2br w:val="nil"/>
                    <w:tr2bl w:val="nil"/>
                  </w:tcBorders>
                  <w:shd w:val="clear" w:color="auto" w:fill="auto"/>
                  <w:vAlign w:val="center"/>
                </w:tcPr>
                <w:p w14:paraId="1CB73A4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F-18</w:t>
                  </w:r>
                </w:p>
              </w:tc>
              <w:tc>
                <w:tcPr>
                  <w:tcW w:w="1216" w:type="dxa"/>
                  <w:tcBorders>
                    <w:tl2br w:val="nil"/>
                    <w:tr2bl w:val="nil"/>
                  </w:tcBorders>
                  <w:shd w:val="clear" w:color="auto" w:fill="auto"/>
                  <w:vAlign w:val="center"/>
                </w:tcPr>
                <w:p w14:paraId="695DFBB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3.70E+10</w:t>
                  </w:r>
                </w:p>
              </w:tc>
              <w:tc>
                <w:tcPr>
                  <w:tcW w:w="985" w:type="dxa"/>
                  <w:tcBorders>
                    <w:tl2br w:val="nil"/>
                    <w:tr2bl w:val="nil"/>
                  </w:tcBorders>
                  <w:shd w:val="clear" w:color="auto" w:fill="auto"/>
                  <w:vAlign w:val="center"/>
                </w:tcPr>
                <w:p w14:paraId="779D8D2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45D82D7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restart"/>
                  <w:tcBorders>
                    <w:tl2br w:val="nil"/>
                    <w:tr2bl w:val="nil"/>
                  </w:tcBorders>
                  <w:shd w:val="clear" w:color="auto" w:fill="auto"/>
                  <w:vAlign w:val="center"/>
                </w:tcPr>
                <w:p w14:paraId="7091D45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70.3</w:t>
                  </w:r>
                </w:p>
              </w:tc>
              <w:tc>
                <w:tcPr>
                  <w:tcW w:w="1125" w:type="dxa"/>
                  <w:vMerge w:val="restart"/>
                  <w:tcBorders>
                    <w:tl2br w:val="nil"/>
                    <w:tr2bl w:val="nil"/>
                  </w:tcBorders>
                  <w:shd w:val="clear" w:color="auto" w:fill="auto"/>
                  <w:vAlign w:val="center"/>
                </w:tcPr>
                <w:p w14:paraId="1DC9F94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Ⅱ</w:t>
                  </w:r>
                </w:p>
              </w:tc>
            </w:tr>
            <w:tr w14:paraId="289ED5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776A3F1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2E6B714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Ga-68</w:t>
                  </w:r>
                </w:p>
              </w:tc>
              <w:tc>
                <w:tcPr>
                  <w:tcW w:w="1216" w:type="dxa"/>
                  <w:tcBorders>
                    <w:tl2br w:val="nil"/>
                    <w:tr2bl w:val="nil"/>
                  </w:tcBorders>
                  <w:shd w:val="clear" w:color="auto" w:fill="auto"/>
                  <w:vAlign w:val="center"/>
                </w:tcPr>
                <w:p w14:paraId="7258257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1.85E+10</w:t>
                  </w:r>
                </w:p>
              </w:tc>
              <w:tc>
                <w:tcPr>
                  <w:tcW w:w="985" w:type="dxa"/>
                  <w:tcBorders>
                    <w:tl2br w:val="nil"/>
                    <w:tr2bl w:val="nil"/>
                  </w:tcBorders>
                  <w:shd w:val="clear" w:color="auto" w:fill="auto"/>
                  <w:vAlign w:val="center"/>
                </w:tcPr>
                <w:p w14:paraId="12C14CF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548BB39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3B26164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5C02CDE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4FAFF7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693DBFE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609B505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C-11</w:t>
                  </w:r>
                </w:p>
              </w:tc>
              <w:tc>
                <w:tcPr>
                  <w:tcW w:w="1216" w:type="dxa"/>
                  <w:tcBorders>
                    <w:tl2br w:val="nil"/>
                    <w:tr2bl w:val="nil"/>
                  </w:tcBorders>
                  <w:shd w:val="clear" w:color="auto" w:fill="auto"/>
                  <w:vAlign w:val="center"/>
                </w:tcPr>
                <w:p w14:paraId="3279709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7.40E+09</w:t>
                  </w:r>
                </w:p>
              </w:tc>
              <w:tc>
                <w:tcPr>
                  <w:tcW w:w="985" w:type="dxa"/>
                  <w:tcBorders>
                    <w:tl2br w:val="nil"/>
                    <w:tr2bl w:val="nil"/>
                  </w:tcBorders>
                  <w:shd w:val="clear" w:color="auto" w:fill="auto"/>
                  <w:vAlign w:val="center"/>
                </w:tcPr>
                <w:p w14:paraId="49E6943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2B84788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70A8CFB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642CD04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7EA626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0F00FF9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32046B4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N-13</w:t>
                  </w:r>
                </w:p>
              </w:tc>
              <w:tc>
                <w:tcPr>
                  <w:tcW w:w="1216" w:type="dxa"/>
                  <w:tcBorders>
                    <w:tl2br w:val="nil"/>
                    <w:tr2bl w:val="nil"/>
                  </w:tcBorders>
                  <w:shd w:val="clear" w:color="auto" w:fill="auto"/>
                  <w:vAlign w:val="center"/>
                </w:tcPr>
                <w:p w14:paraId="2202E21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7.40E+09</w:t>
                  </w:r>
                </w:p>
              </w:tc>
              <w:tc>
                <w:tcPr>
                  <w:tcW w:w="985" w:type="dxa"/>
                  <w:tcBorders>
                    <w:tl2br w:val="nil"/>
                    <w:tr2bl w:val="nil"/>
                  </w:tcBorders>
                  <w:shd w:val="clear" w:color="auto" w:fill="auto"/>
                  <w:vAlign w:val="center"/>
                </w:tcPr>
                <w:p w14:paraId="2F13A12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12856BD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6100B4B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20A40E1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5B50DA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vAlign w:val="center"/>
                </w:tcPr>
                <w:p w14:paraId="59CEFA1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en-US"/>
                    </w:rPr>
                    <w:t>核医学楼负一层单光子药物生产</w:t>
                  </w:r>
                  <w:r>
                    <w:rPr>
                      <w:rFonts w:hint="default" w:ascii="Times New Roman" w:hAnsi="Times New Roman" w:eastAsia="宋体" w:cs="Times New Roman"/>
                      <w:color w:val="auto"/>
                      <w:kern w:val="0"/>
                      <w:sz w:val="21"/>
                      <w:szCs w:val="20"/>
                      <w:highlight w:val="none"/>
                      <w:lang w:val="en-US" w:eastAsia="zh-CN"/>
                    </w:rPr>
                    <w:t>车间</w:t>
                  </w:r>
                </w:p>
              </w:tc>
              <w:tc>
                <w:tcPr>
                  <w:tcW w:w="1573" w:type="dxa"/>
                  <w:tcBorders>
                    <w:tl2br w:val="nil"/>
                    <w:tr2bl w:val="nil"/>
                  </w:tcBorders>
                  <w:shd w:val="clear" w:color="auto" w:fill="auto"/>
                  <w:vAlign w:val="center"/>
                </w:tcPr>
                <w:p w14:paraId="0982463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Tc-99m</w:t>
                  </w:r>
                </w:p>
              </w:tc>
              <w:tc>
                <w:tcPr>
                  <w:tcW w:w="1216" w:type="dxa"/>
                  <w:tcBorders>
                    <w:tl2br w:val="nil"/>
                    <w:tr2bl w:val="nil"/>
                  </w:tcBorders>
                  <w:shd w:val="clear" w:color="auto" w:fill="auto"/>
                  <w:vAlign w:val="center"/>
                </w:tcPr>
                <w:p w14:paraId="725521C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7.40E+10</w:t>
                  </w:r>
                </w:p>
              </w:tc>
              <w:tc>
                <w:tcPr>
                  <w:tcW w:w="985" w:type="dxa"/>
                  <w:tcBorders>
                    <w:tl2br w:val="nil"/>
                    <w:tr2bl w:val="nil"/>
                  </w:tcBorders>
                  <w:shd w:val="clear" w:color="auto" w:fill="auto"/>
                  <w:vAlign w:val="center"/>
                </w:tcPr>
                <w:p w14:paraId="521F042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2A241B8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restart"/>
                  <w:tcBorders>
                    <w:tl2br w:val="nil"/>
                    <w:tr2bl w:val="nil"/>
                  </w:tcBorders>
                  <w:shd w:val="clear" w:color="auto" w:fill="auto"/>
                  <w:vAlign w:val="center"/>
                </w:tcPr>
                <w:p w14:paraId="5786690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829000</w:t>
                  </w:r>
                </w:p>
              </w:tc>
              <w:tc>
                <w:tcPr>
                  <w:tcW w:w="1125" w:type="dxa"/>
                  <w:vMerge w:val="restart"/>
                  <w:tcBorders>
                    <w:tl2br w:val="nil"/>
                    <w:tr2bl w:val="nil"/>
                  </w:tcBorders>
                  <w:shd w:val="clear" w:color="auto" w:fill="auto"/>
                  <w:vAlign w:val="center"/>
                </w:tcPr>
                <w:p w14:paraId="31E7F88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72AB32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988" w:type="dxa"/>
                  <w:vMerge w:val="continue"/>
                  <w:tcBorders>
                    <w:tl2br w:val="nil"/>
                    <w:tr2bl w:val="nil"/>
                  </w:tcBorders>
                  <w:vAlign w:val="center"/>
                </w:tcPr>
                <w:p w14:paraId="0294C3A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7A2AF52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Mo-99(Tc-99m)</w:t>
                  </w:r>
                </w:p>
              </w:tc>
              <w:tc>
                <w:tcPr>
                  <w:tcW w:w="1216" w:type="dxa"/>
                  <w:tcBorders>
                    <w:tl2br w:val="nil"/>
                    <w:tr2bl w:val="nil"/>
                  </w:tcBorders>
                  <w:shd w:val="clear" w:color="auto" w:fill="auto"/>
                  <w:vAlign w:val="center"/>
                </w:tcPr>
                <w:p w14:paraId="4BA8F1A2">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8.22E+10</w:t>
                  </w:r>
                </w:p>
              </w:tc>
              <w:tc>
                <w:tcPr>
                  <w:tcW w:w="985" w:type="dxa"/>
                  <w:tcBorders>
                    <w:tl2br w:val="nil"/>
                    <w:tr2bl w:val="nil"/>
                  </w:tcBorders>
                  <w:shd w:val="clear" w:color="auto" w:fill="auto"/>
                  <w:vAlign w:val="center"/>
                </w:tcPr>
                <w:p w14:paraId="1420A0A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51CF197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continue"/>
                  <w:tcBorders>
                    <w:tl2br w:val="nil"/>
                    <w:tr2bl w:val="nil"/>
                  </w:tcBorders>
                  <w:shd w:val="clear" w:color="auto" w:fill="auto"/>
                  <w:vAlign w:val="center"/>
                </w:tcPr>
                <w:p w14:paraId="725F673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6CEC5B1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150F8F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988" w:type="dxa"/>
                  <w:vMerge w:val="continue"/>
                  <w:tcBorders>
                    <w:tl2br w:val="nil"/>
                    <w:tr2bl w:val="nil"/>
                  </w:tcBorders>
                  <w:vAlign w:val="center"/>
                </w:tcPr>
                <w:p w14:paraId="2F080F2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61CF154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cs="Times New Roman"/>
                      <w:color w:val="auto"/>
                      <w:kern w:val="0"/>
                      <w:sz w:val="21"/>
                      <w:szCs w:val="20"/>
                      <w:highlight w:val="none"/>
                      <w:lang w:val="en-US" w:eastAsia="zh-CN"/>
                    </w:rPr>
                    <w:t>Y-90</w:t>
                  </w:r>
                </w:p>
              </w:tc>
              <w:tc>
                <w:tcPr>
                  <w:tcW w:w="1216" w:type="dxa"/>
                  <w:tcBorders>
                    <w:tl2br w:val="nil"/>
                    <w:tr2bl w:val="nil"/>
                  </w:tcBorders>
                  <w:shd w:val="clear" w:color="auto" w:fill="auto"/>
                  <w:vAlign w:val="center"/>
                </w:tcPr>
                <w:p w14:paraId="697EEF9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cs="Times New Roman"/>
                      <w:color w:val="auto"/>
                      <w:kern w:val="0"/>
                      <w:sz w:val="21"/>
                      <w:szCs w:val="20"/>
                      <w:highlight w:val="none"/>
                      <w:lang w:val="en-US" w:eastAsia="zh-CN"/>
                    </w:rPr>
                    <w:t>3.00</w:t>
                  </w:r>
                  <w:r>
                    <w:rPr>
                      <w:rFonts w:hint="default" w:ascii="Times New Roman" w:hAnsi="Times New Roman" w:eastAsia="宋体" w:cs="Times New Roman"/>
                      <w:color w:val="auto"/>
                      <w:kern w:val="0"/>
                      <w:sz w:val="21"/>
                      <w:szCs w:val="20"/>
                      <w:highlight w:val="none"/>
                      <w:lang w:val="en-US" w:eastAsia="zh-CN"/>
                    </w:rPr>
                    <w:t>E+09</w:t>
                  </w:r>
                </w:p>
              </w:tc>
              <w:tc>
                <w:tcPr>
                  <w:tcW w:w="985" w:type="dxa"/>
                  <w:tcBorders>
                    <w:tl2br w:val="nil"/>
                    <w:tr2bl w:val="nil"/>
                  </w:tcBorders>
                  <w:shd w:val="clear" w:color="auto" w:fill="auto"/>
                  <w:vAlign w:val="center"/>
                </w:tcPr>
                <w:p w14:paraId="7B15821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15EF8AF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bidi="ar-SA"/>
                    </w:rPr>
                  </w:pPr>
                  <w:r>
                    <w:rPr>
                      <w:rFonts w:hint="eastAsia"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02606F2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506C75E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154FA5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1988" w:type="dxa"/>
                  <w:tcBorders>
                    <w:tl2br w:val="nil"/>
                    <w:tr2bl w:val="nil"/>
                  </w:tcBorders>
                  <w:vAlign w:val="center"/>
                </w:tcPr>
                <w:p w14:paraId="49BCDC7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核医学楼一层SPPCT诊断区-注射室</w:t>
                  </w:r>
                </w:p>
              </w:tc>
              <w:tc>
                <w:tcPr>
                  <w:tcW w:w="1573" w:type="dxa"/>
                  <w:tcBorders>
                    <w:tl2br w:val="nil"/>
                    <w:tr2bl w:val="nil"/>
                  </w:tcBorders>
                  <w:shd w:val="clear" w:color="auto" w:fill="auto"/>
                  <w:vAlign w:val="center"/>
                </w:tcPr>
                <w:p w14:paraId="42399D2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Tc-99m</w:t>
                  </w:r>
                </w:p>
              </w:tc>
              <w:tc>
                <w:tcPr>
                  <w:tcW w:w="1216" w:type="dxa"/>
                  <w:tcBorders>
                    <w:tl2br w:val="nil"/>
                    <w:tr2bl w:val="nil"/>
                  </w:tcBorders>
                  <w:shd w:val="clear" w:color="auto" w:fill="auto"/>
                  <w:vAlign w:val="center"/>
                </w:tcPr>
                <w:p w14:paraId="1B155B5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7.40E+10</w:t>
                  </w:r>
                </w:p>
              </w:tc>
              <w:tc>
                <w:tcPr>
                  <w:tcW w:w="985" w:type="dxa"/>
                  <w:tcBorders>
                    <w:tl2br w:val="nil"/>
                    <w:tr2bl w:val="nil"/>
                  </w:tcBorders>
                  <w:shd w:val="clear" w:color="auto" w:fill="auto"/>
                  <w:vAlign w:val="center"/>
                </w:tcPr>
                <w:p w14:paraId="165A492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1D53265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tcBorders>
                    <w:tl2br w:val="nil"/>
                    <w:tr2bl w:val="nil"/>
                  </w:tcBorders>
                  <w:shd w:val="clear" w:color="auto" w:fill="auto"/>
                  <w:vAlign w:val="center"/>
                </w:tcPr>
                <w:p w14:paraId="5934B41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7400</w:t>
                  </w:r>
                </w:p>
              </w:tc>
              <w:tc>
                <w:tcPr>
                  <w:tcW w:w="0" w:type="auto"/>
                  <w:tcBorders>
                    <w:tl2br w:val="nil"/>
                    <w:tr2bl w:val="nil"/>
                  </w:tcBorders>
                  <w:shd w:val="clear" w:color="auto" w:fill="auto"/>
                  <w:vAlign w:val="center"/>
                </w:tcPr>
                <w:p w14:paraId="7E03C15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7B3947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vAlign w:val="center"/>
                </w:tcPr>
                <w:p w14:paraId="148206B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核医学楼一层SPPCT诊断区-诊断机房</w:t>
                  </w:r>
                </w:p>
              </w:tc>
              <w:tc>
                <w:tcPr>
                  <w:tcW w:w="1573" w:type="dxa"/>
                  <w:tcBorders>
                    <w:tl2br w:val="nil"/>
                    <w:tr2bl w:val="nil"/>
                  </w:tcBorders>
                  <w:shd w:val="clear" w:color="auto" w:fill="auto"/>
                  <w:vAlign w:val="center"/>
                </w:tcPr>
                <w:p w14:paraId="265305C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Tc-99m</w:t>
                  </w:r>
                </w:p>
              </w:tc>
              <w:tc>
                <w:tcPr>
                  <w:tcW w:w="1216" w:type="dxa"/>
                  <w:tcBorders>
                    <w:tl2br w:val="nil"/>
                    <w:tr2bl w:val="nil"/>
                  </w:tcBorders>
                  <w:shd w:val="clear" w:color="auto" w:fill="auto"/>
                  <w:vAlign w:val="center"/>
                </w:tcPr>
                <w:p w14:paraId="64C4187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7.40E+10</w:t>
                  </w:r>
                </w:p>
              </w:tc>
              <w:tc>
                <w:tcPr>
                  <w:tcW w:w="985" w:type="dxa"/>
                  <w:tcBorders>
                    <w:tl2br w:val="nil"/>
                    <w:tr2bl w:val="nil"/>
                  </w:tcBorders>
                  <w:shd w:val="clear" w:color="auto" w:fill="auto"/>
                  <w:vAlign w:val="center"/>
                </w:tcPr>
                <w:p w14:paraId="76EFB1A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6CF047E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restart"/>
                  <w:tcBorders>
                    <w:tl2br w:val="nil"/>
                    <w:tr2bl w:val="nil"/>
                  </w:tcBorders>
                  <w:shd w:val="clear" w:color="auto" w:fill="auto"/>
                  <w:vAlign w:val="center"/>
                </w:tcPr>
                <w:p w14:paraId="64A3970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11800</w:t>
                  </w:r>
                </w:p>
              </w:tc>
              <w:tc>
                <w:tcPr>
                  <w:tcW w:w="1125" w:type="dxa"/>
                  <w:vMerge w:val="restart"/>
                  <w:tcBorders>
                    <w:tl2br w:val="nil"/>
                    <w:tr2bl w:val="nil"/>
                  </w:tcBorders>
                  <w:shd w:val="clear" w:color="auto" w:fill="auto"/>
                  <w:vAlign w:val="center"/>
                </w:tcPr>
                <w:p w14:paraId="49D5EE8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0B591E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1988" w:type="dxa"/>
                  <w:vMerge w:val="continue"/>
                  <w:tcBorders>
                    <w:tl2br w:val="nil"/>
                    <w:tr2bl w:val="nil"/>
                  </w:tcBorders>
                  <w:vAlign w:val="center"/>
                </w:tcPr>
                <w:p w14:paraId="31AC788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573" w:type="dxa"/>
                  <w:tcBorders>
                    <w:tl2br w:val="nil"/>
                    <w:tr2bl w:val="nil"/>
                  </w:tcBorders>
                  <w:shd w:val="clear" w:color="auto" w:fill="auto"/>
                  <w:vAlign w:val="center"/>
                </w:tcPr>
                <w:p w14:paraId="5308F8A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I-131</w:t>
                  </w:r>
                </w:p>
              </w:tc>
              <w:tc>
                <w:tcPr>
                  <w:tcW w:w="1216" w:type="dxa"/>
                  <w:tcBorders>
                    <w:tl2br w:val="nil"/>
                    <w:tr2bl w:val="nil"/>
                  </w:tcBorders>
                  <w:shd w:val="clear" w:color="auto" w:fill="auto"/>
                  <w:vAlign w:val="center"/>
                </w:tcPr>
                <w:p w14:paraId="3D5F370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1.11E+10</w:t>
                  </w:r>
                </w:p>
              </w:tc>
              <w:tc>
                <w:tcPr>
                  <w:tcW w:w="985" w:type="dxa"/>
                  <w:tcBorders>
                    <w:tl2br w:val="nil"/>
                    <w:tr2bl w:val="nil"/>
                  </w:tcBorders>
                  <w:shd w:val="clear" w:color="auto" w:fill="auto"/>
                  <w:vAlign w:val="center"/>
                </w:tcPr>
                <w:p w14:paraId="74C4958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50E7A83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continue"/>
                  <w:tcBorders>
                    <w:tl2br w:val="nil"/>
                    <w:tr2bl w:val="nil"/>
                  </w:tcBorders>
                  <w:shd w:val="clear" w:color="auto" w:fill="auto"/>
                  <w:vAlign w:val="center"/>
                </w:tcPr>
                <w:p w14:paraId="2EBE7CB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1B7A8D8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730725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vAlign w:val="center"/>
                </w:tcPr>
                <w:p w14:paraId="10ED6D5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核医学楼一层SPPCT诊断区-候诊区</w:t>
                  </w:r>
                </w:p>
              </w:tc>
              <w:tc>
                <w:tcPr>
                  <w:tcW w:w="1573" w:type="dxa"/>
                  <w:tcBorders>
                    <w:tl2br w:val="nil"/>
                    <w:tr2bl w:val="nil"/>
                  </w:tcBorders>
                  <w:shd w:val="clear" w:color="auto" w:fill="auto"/>
                  <w:vAlign w:val="center"/>
                </w:tcPr>
                <w:p w14:paraId="3B04AEA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Tc-99m</w:t>
                  </w:r>
                </w:p>
              </w:tc>
              <w:tc>
                <w:tcPr>
                  <w:tcW w:w="1216" w:type="dxa"/>
                  <w:tcBorders>
                    <w:tl2br w:val="nil"/>
                    <w:tr2bl w:val="nil"/>
                  </w:tcBorders>
                  <w:shd w:val="clear" w:color="auto" w:fill="auto"/>
                  <w:vAlign w:val="center"/>
                </w:tcPr>
                <w:p w14:paraId="7ABD4C0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7.40E+10</w:t>
                  </w:r>
                </w:p>
              </w:tc>
              <w:tc>
                <w:tcPr>
                  <w:tcW w:w="985" w:type="dxa"/>
                  <w:tcBorders>
                    <w:tl2br w:val="nil"/>
                    <w:tr2bl w:val="nil"/>
                  </w:tcBorders>
                  <w:shd w:val="clear" w:color="auto" w:fill="auto"/>
                  <w:vAlign w:val="center"/>
                </w:tcPr>
                <w:p w14:paraId="0777043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6C386F2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restart"/>
                  <w:tcBorders>
                    <w:tl2br w:val="nil"/>
                    <w:tr2bl w:val="nil"/>
                  </w:tcBorders>
                  <w:shd w:val="clear" w:color="auto" w:fill="auto"/>
                  <w:vAlign w:val="center"/>
                </w:tcPr>
                <w:p w14:paraId="3367FEC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11800</w:t>
                  </w:r>
                </w:p>
              </w:tc>
              <w:tc>
                <w:tcPr>
                  <w:tcW w:w="1125" w:type="dxa"/>
                  <w:vMerge w:val="restart"/>
                  <w:tcBorders>
                    <w:tl2br w:val="nil"/>
                    <w:tr2bl w:val="nil"/>
                  </w:tcBorders>
                  <w:shd w:val="clear" w:color="auto" w:fill="auto"/>
                  <w:vAlign w:val="center"/>
                </w:tcPr>
                <w:p w14:paraId="14788CF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35CC64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1988" w:type="dxa"/>
                  <w:vMerge w:val="continue"/>
                  <w:tcBorders>
                    <w:tl2br w:val="nil"/>
                    <w:tr2bl w:val="nil"/>
                  </w:tcBorders>
                  <w:vAlign w:val="center"/>
                </w:tcPr>
                <w:p w14:paraId="44964F1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573" w:type="dxa"/>
                  <w:tcBorders>
                    <w:tl2br w:val="nil"/>
                    <w:tr2bl w:val="nil"/>
                  </w:tcBorders>
                  <w:shd w:val="clear" w:color="auto" w:fill="auto"/>
                  <w:vAlign w:val="center"/>
                </w:tcPr>
                <w:p w14:paraId="525517E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I-131</w:t>
                  </w:r>
                </w:p>
              </w:tc>
              <w:tc>
                <w:tcPr>
                  <w:tcW w:w="1216" w:type="dxa"/>
                  <w:tcBorders>
                    <w:tl2br w:val="nil"/>
                    <w:tr2bl w:val="nil"/>
                  </w:tcBorders>
                  <w:shd w:val="clear" w:color="auto" w:fill="auto"/>
                  <w:vAlign w:val="center"/>
                </w:tcPr>
                <w:p w14:paraId="29D90B6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1.11E+10</w:t>
                  </w:r>
                </w:p>
              </w:tc>
              <w:tc>
                <w:tcPr>
                  <w:tcW w:w="985" w:type="dxa"/>
                  <w:tcBorders>
                    <w:tl2br w:val="nil"/>
                    <w:tr2bl w:val="nil"/>
                  </w:tcBorders>
                  <w:shd w:val="clear" w:color="auto" w:fill="auto"/>
                  <w:vAlign w:val="center"/>
                </w:tcPr>
                <w:p w14:paraId="4953EB4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7E26EBD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w:t>
                  </w:r>
                </w:p>
              </w:tc>
              <w:tc>
                <w:tcPr>
                  <w:tcW w:w="1125" w:type="dxa"/>
                  <w:vMerge w:val="continue"/>
                  <w:tcBorders>
                    <w:tl2br w:val="nil"/>
                    <w:tr2bl w:val="nil"/>
                  </w:tcBorders>
                  <w:shd w:val="clear" w:color="auto" w:fill="auto"/>
                  <w:vAlign w:val="center"/>
                </w:tcPr>
                <w:p w14:paraId="33565F6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07CF717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527CF5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vAlign w:val="center"/>
                </w:tcPr>
                <w:p w14:paraId="6362503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核医学楼一层SPPCT诊断区-放射性废物库</w:t>
                  </w:r>
                </w:p>
              </w:tc>
              <w:tc>
                <w:tcPr>
                  <w:tcW w:w="1573" w:type="dxa"/>
                  <w:tcBorders>
                    <w:tl2br w:val="nil"/>
                    <w:tr2bl w:val="nil"/>
                  </w:tcBorders>
                  <w:shd w:val="clear" w:color="auto" w:fill="auto"/>
                  <w:vAlign w:val="center"/>
                </w:tcPr>
                <w:p w14:paraId="308C6E6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Tc-99m</w:t>
                  </w:r>
                </w:p>
              </w:tc>
              <w:tc>
                <w:tcPr>
                  <w:tcW w:w="1216" w:type="dxa"/>
                  <w:tcBorders>
                    <w:tl2br w:val="nil"/>
                    <w:tr2bl w:val="nil"/>
                  </w:tcBorders>
                  <w:shd w:val="clear" w:color="auto" w:fill="auto"/>
                  <w:vAlign w:val="center"/>
                </w:tcPr>
                <w:p w14:paraId="33544F7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7.40E+10</w:t>
                  </w:r>
                </w:p>
              </w:tc>
              <w:tc>
                <w:tcPr>
                  <w:tcW w:w="985" w:type="dxa"/>
                  <w:tcBorders>
                    <w:tl2br w:val="nil"/>
                    <w:tr2bl w:val="nil"/>
                  </w:tcBorders>
                  <w:shd w:val="clear" w:color="auto" w:fill="auto"/>
                  <w:vAlign w:val="center"/>
                </w:tcPr>
                <w:p w14:paraId="714C2DE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7B97815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restart"/>
                  <w:tcBorders>
                    <w:tl2br w:val="nil"/>
                    <w:tr2bl w:val="nil"/>
                  </w:tcBorders>
                  <w:shd w:val="clear" w:color="auto" w:fill="auto"/>
                  <w:vAlign w:val="center"/>
                </w:tcPr>
                <w:p w14:paraId="73A8783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1180</w:t>
                  </w:r>
                </w:p>
              </w:tc>
              <w:tc>
                <w:tcPr>
                  <w:tcW w:w="1125" w:type="dxa"/>
                  <w:vMerge w:val="restart"/>
                  <w:tcBorders>
                    <w:tl2br w:val="nil"/>
                    <w:tr2bl w:val="nil"/>
                  </w:tcBorders>
                  <w:shd w:val="clear" w:color="auto" w:fill="auto"/>
                  <w:vAlign w:val="center"/>
                </w:tcPr>
                <w:p w14:paraId="1E7BD2E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Ⅱ</w:t>
                  </w:r>
                </w:p>
              </w:tc>
            </w:tr>
            <w:tr w14:paraId="56339B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988" w:type="dxa"/>
                  <w:vMerge w:val="continue"/>
                  <w:tcBorders>
                    <w:tl2br w:val="nil"/>
                    <w:tr2bl w:val="nil"/>
                  </w:tcBorders>
                  <w:vAlign w:val="center"/>
                </w:tcPr>
                <w:p w14:paraId="0A93F59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573" w:type="dxa"/>
                  <w:tcBorders>
                    <w:tl2br w:val="nil"/>
                    <w:tr2bl w:val="nil"/>
                  </w:tcBorders>
                  <w:shd w:val="clear" w:color="auto" w:fill="auto"/>
                  <w:vAlign w:val="center"/>
                </w:tcPr>
                <w:p w14:paraId="5B4DCEC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I-131</w:t>
                  </w:r>
                </w:p>
              </w:tc>
              <w:tc>
                <w:tcPr>
                  <w:tcW w:w="1216" w:type="dxa"/>
                  <w:tcBorders>
                    <w:tl2br w:val="nil"/>
                    <w:tr2bl w:val="nil"/>
                  </w:tcBorders>
                  <w:shd w:val="clear" w:color="auto" w:fill="auto"/>
                  <w:vAlign w:val="center"/>
                </w:tcPr>
                <w:p w14:paraId="3B25AEA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1.11E+10</w:t>
                  </w:r>
                </w:p>
              </w:tc>
              <w:tc>
                <w:tcPr>
                  <w:tcW w:w="985" w:type="dxa"/>
                  <w:tcBorders>
                    <w:tl2br w:val="nil"/>
                    <w:tr2bl w:val="nil"/>
                  </w:tcBorders>
                  <w:shd w:val="clear" w:color="auto" w:fill="auto"/>
                  <w:vAlign w:val="center"/>
                </w:tcPr>
                <w:p w14:paraId="4739BBD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1ABD9A4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743810F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4E10260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1A4DBA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vAlign w:val="center"/>
                </w:tcPr>
                <w:p w14:paraId="1B6C19B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核医学楼三层核素治疗区-储源室</w:t>
                  </w:r>
                </w:p>
              </w:tc>
              <w:tc>
                <w:tcPr>
                  <w:tcW w:w="1573" w:type="dxa"/>
                  <w:tcBorders>
                    <w:tl2br w:val="nil"/>
                    <w:tr2bl w:val="nil"/>
                  </w:tcBorders>
                  <w:shd w:val="clear" w:color="auto" w:fill="auto"/>
                  <w:vAlign w:val="center"/>
                </w:tcPr>
                <w:p w14:paraId="0785E4D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I-131</w:t>
                  </w:r>
                </w:p>
              </w:tc>
              <w:tc>
                <w:tcPr>
                  <w:tcW w:w="1216" w:type="dxa"/>
                  <w:tcBorders>
                    <w:tl2br w:val="nil"/>
                    <w:tr2bl w:val="nil"/>
                  </w:tcBorders>
                  <w:shd w:val="clear" w:color="auto" w:fill="auto"/>
                  <w:vAlign w:val="center"/>
                </w:tcPr>
                <w:p w14:paraId="7E72803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9.44E+10</w:t>
                  </w:r>
                </w:p>
              </w:tc>
              <w:tc>
                <w:tcPr>
                  <w:tcW w:w="985" w:type="dxa"/>
                  <w:tcBorders>
                    <w:tl2br w:val="nil"/>
                    <w:tr2bl w:val="nil"/>
                  </w:tcBorders>
                  <w:shd w:val="clear" w:color="auto" w:fill="auto"/>
                  <w:vAlign w:val="center"/>
                </w:tcPr>
                <w:p w14:paraId="3406539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140F70D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restart"/>
                  <w:tcBorders>
                    <w:tl2br w:val="nil"/>
                    <w:tr2bl w:val="nil"/>
                  </w:tcBorders>
                  <w:shd w:val="clear" w:color="auto" w:fill="auto"/>
                  <w:vAlign w:val="center"/>
                </w:tcPr>
                <w:p w14:paraId="494E728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11700</w:t>
                  </w:r>
                </w:p>
              </w:tc>
              <w:tc>
                <w:tcPr>
                  <w:tcW w:w="1125" w:type="dxa"/>
                  <w:vMerge w:val="restart"/>
                  <w:tcBorders>
                    <w:tl2br w:val="nil"/>
                    <w:tr2bl w:val="nil"/>
                  </w:tcBorders>
                  <w:shd w:val="clear" w:color="auto" w:fill="auto"/>
                  <w:vAlign w:val="center"/>
                </w:tcPr>
                <w:p w14:paraId="3BEB0C6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3025CA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7D8822F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573" w:type="dxa"/>
                  <w:tcBorders>
                    <w:tl2br w:val="nil"/>
                    <w:tr2bl w:val="nil"/>
                  </w:tcBorders>
                  <w:shd w:val="clear" w:color="auto" w:fill="auto"/>
                  <w:vAlign w:val="center"/>
                </w:tcPr>
                <w:p w14:paraId="01109DE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I-131</w:t>
                  </w:r>
                </w:p>
              </w:tc>
              <w:tc>
                <w:tcPr>
                  <w:tcW w:w="1216" w:type="dxa"/>
                  <w:tcBorders>
                    <w:tl2br w:val="nil"/>
                    <w:tr2bl w:val="nil"/>
                  </w:tcBorders>
                  <w:shd w:val="clear" w:color="auto" w:fill="auto"/>
                  <w:vAlign w:val="center"/>
                </w:tcPr>
                <w:p w14:paraId="2F43D3C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1.11E+10</w:t>
                  </w:r>
                </w:p>
              </w:tc>
              <w:tc>
                <w:tcPr>
                  <w:tcW w:w="985" w:type="dxa"/>
                  <w:tcBorders>
                    <w:tl2br w:val="nil"/>
                    <w:tr2bl w:val="nil"/>
                  </w:tcBorders>
                  <w:shd w:val="clear" w:color="auto" w:fill="auto"/>
                  <w:vAlign w:val="center"/>
                </w:tcPr>
                <w:p w14:paraId="13A5FCC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79C786F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7FA66EC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19A2D03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5D1356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55BC26B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573" w:type="dxa"/>
                  <w:tcBorders>
                    <w:tl2br w:val="nil"/>
                    <w:tr2bl w:val="nil"/>
                  </w:tcBorders>
                  <w:shd w:val="clear" w:color="auto" w:fill="auto"/>
                  <w:vAlign w:val="center"/>
                </w:tcPr>
                <w:p w14:paraId="05A0FB1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Lu-177</w:t>
                  </w:r>
                </w:p>
              </w:tc>
              <w:tc>
                <w:tcPr>
                  <w:tcW w:w="1216" w:type="dxa"/>
                  <w:tcBorders>
                    <w:tl2br w:val="nil"/>
                    <w:tr2bl w:val="nil"/>
                  </w:tcBorders>
                  <w:shd w:val="clear" w:color="auto" w:fill="auto"/>
                  <w:vAlign w:val="center"/>
                </w:tcPr>
                <w:p w14:paraId="539F50F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1.11E+10</w:t>
                  </w:r>
                </w:p>
              </w:tc>
              <w:tc>
                <w:tcPr>
                  <w:tcW w:w="985" w:type="dxa"/>
                  <w:tcBorders>
                    <w:tl2br w:val="nil"/>
                    <w:tr2bl w:val="nil"/>
                  </w:tcBorders>
                  <w:shd w:val="clear" w:color="auto" w:fill="auto"/>
                  <w:vAlign w:val="center"/>
                </w:tcPr>
                <w:p w14:paraId="3D44736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02C3217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4275E16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47E1AEA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5373AE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66F9E80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573" w:type="dxa"/>
                  <w:tcBorders>
                    <w:tl2br w:val="nil"/>
                    <w:tr2bl w:val="nil"/>
                  </w:tcBorders>
                  <w:shd w:val="clear" w:color="auto" w:fill="auto"/>
                  <w:vAlign w:val="center"/>
                </w:tcPr>
                <w:p w14:paraId="773606A2">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Ra-223</w:t>
                  </w:r>
                </w:p>
              </w:tc>
              <w:tc>
                <w:tcPr>
                  <w:tcW w:w="1216" w:type="dxa"/>
                  <w:tcBorders>
                    <w:tl2br w:val="nil"/>
                    <w:tr2bl w:val="nil"/>
                  </w:tcBorders>
                  <w:shd w:val="clear" w:color="auto" w:fill="auto"/>
                  <w:vAlign w:val="center"/>
                </w:tcPr>
                <w:p w14:paraId="6012E0D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5.50E+06</w:t>
                  </w:r>
                </w:p>
              </w:tc>
              <w:tc>
                <w:tcPr>
                  <w:tcW w:w="985" w:type="dxa"/>
                  <w:tcBorders>
                    <w:tl2br w:val="nil"/>
                    <w:tr2bl w:val="nil"/>
                  </w:tcBorders>
                  <w:shd w:val="clear" w:color="auto" w:fill="auto"/>
                  <w:vAlign w:val="center"/>
                </w:tcPr>
                <w:p w14:paraId="07C5867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6D9CDF0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455087E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100B995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40677C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988" w:type="dxa"/>
                  <w:vMerge w:val="continue"/>
                  <w:tcBorders>
                    <w:tl2br w:val="nil"/>
                    <w:tr2bl w:val="nil"/>
                  </w:tcBorders>
                  <w:vAlign w:val="center"/>
                </w:tcPr>
                <w:p w14:paraId="7626E91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0EDEA9C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Ac-225</w:t>
                  </w:r>
                </w:p>
              </w:tc>
              <w:tc>
                <w:tcPr>
                  <w:tcW w:w="1216" w:type="dxa"/>
                  <w:tcBorders>
                    <w:tl2br w:val="nil"/>
                    <w:tr2bl w:val="nil"/>
                  </w:tcBorders>
                  <w:shd w:val="clear" w:color="auto" w:fill="auto"/>
                  <w:vAlign w:val="center"/>
                </w:tcPr>
                <w:p w14:paraId="7CF1CAF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1.00E+07</w:t>
                  </w:r>
                </w:p>
              </w:tc>
              <w:tc>
                <w:tcPr>
                  <w:tcW w:w="985" w:type="dxa"/>
                  <w:tcBorders>
                    <w:tl2br w:val="nil"/>
                    <w:tr2bl w:val="nil"/>
                  </w:tcBorders>
                  <w:shd w:val="clear" w:color="auto" w:fill="auto"/>
                  <w:vAlign w:val="center"/>
                </w:tcPr>
                <w:p w14:paraId="5B6440C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66B0104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6C44052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61109B9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1F9E22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vAlign w:val="center"/>
                </w:tcPr>
                <w:p w14:paraId="7042F1E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核医学楼三层核素治疗区-服碘室</w:t>
                  </w:r>
                </w:p>
              </w:tc>
              <w:tc>
                <w:tcPr>
                  <w:tcW w:w="1573" w:type="dxa"/>
                  <w:tcBorders>
                    <w:tl2br w:val="nil"/>
                    <w:tr2bl w:val="nil"/>
                  </w:tcBorders>
                  <w:shd w:val="clear" w:color="auto" w:fill="auto"/>
                  <w:vAlign w:val="center"/>
                </w:tcPr>
                <w:p w14:paraId="280EB5C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I-131</w:t>
                  </w:r>
                </w:p>
              </w:tc>
              <w:tc>
                <w:tcPr>
                  <w:tcW w:w="1216" w:type="dxa"/>
                  <w:tcBorders>
                    <w:tl2br w:val="nil"/>
                    <w:tr2bl w:val="nil"/>
                  </w:tcBorders>
                  <w:shd w:val="clear" w:color="auto" w:fill="auto"/>
                  <w:vAlign w:val="center"/>
                </w:tcPr>
                <w:p w14:paraId="3149F03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9.44E+10</w:t>
                  </w:r>
                </w:p>
              </w:tc>
              <w:tc>
                <w:tcPr>
                  <w:tcW w:w="985" w:type="dxa"/>
                  <w:tcBorders>
                    <w:tl2br w:val="nil"/>
                    <w:tr2bl w:val="nil"/>
                  </w:tcBorders>
                  <w:shd w:val="clear" w:color="auto" w:fill="auto"/>
                  <w:vAlign w:val="center"/>
                </w:tcPr>
                <w:p w14:paraId="2DA9034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079A7A7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restart"/>
                  <w:tcBorders>
                    <w:tl2br w:val="nil"/>
                    <w:tr2bl w:val="nil"/>
                  </w:tcBorders>
                  <w:shd w:val="clear" w:color="auto" w:fill="auto"/>
                  <w:vAlign w:val="center"/>
                </w:tcPr>
                <w:p w14:paraId="5908247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1060000</w:t>
                  </w:r>
                </w:p>
              </w:tc>
              <w:tc>
                <w:tcPr>
                  <w:tcW w:w="1125" w:type="dxa"/>
                  <w:vMerge w:val="restart"/>
                  <w:tcBorders>
                    <w:tl2br w:val="nil"/>
                    <w:tr2bl w:val="nil"/>
                  </w:tcBorders>
                  <w:shd w:val="clear" w:color="auto" w:fill="auto"/>
                  <w:vAlign w:val="center"/>
                </w:tcPr>
                <w:p w14:paraId="1D40E7F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1928C4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988" w:type="dxa"/>
                  <w:vMerge w:val="continue"/>
                  <w:tcBorders>
                    <w:tl2br w:val="nil"/>
                    <w:tr2bl w:val="nil"/>
                  </w:tcBorders>
                  <w:vAlign w:val="center"/>
                </w:tcPr>
                <w:p w14:paraId="73D4AF8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6AB8057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I-131</w:t>
                  </w:r>
                </w:p>
              </w:tc>
              <w:tc>
                <w:tcPr>
                  <w:tcW w:w="1216" w:type="dxa"/>
                  <w:tcBorders>
                    <w:tl2br w:val="nil"/>
                    <w:tr2bl w:val="nil"/>
                  </w:tcBorders>
                  <w:shd w:val="clear" w:color="auto" w:fill="auto"/>
                  <w:vAlign w:val="center"/>
                </w:tcPr>
                <w:p w14:paraId="3655029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1.11E+10</w:t>
                  </w:r>
                </w:p>
              </w:tc>
              <w:tc>
                <w:tcPr>
                  <w:tcW w:w="985" w:type="dxa"/>
                  <w:tcBorders>
                    <w:tl2br w:val="nil"/>
                    <w:tr2bl w:val="nil"/>
                  </w:tcBorders>
                  <w:shd w:val="clear" w:color="auto" w:fill="auto"/>
                  <w:vAlign w:val="center"/>
                </w:tcPr>
                <w:p w14:paraId="43DD9B4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7826996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continue"/>
                  <w:tcBorders>
                    <w:tl2br w:val="nil"/>
                    <w:tr2bl w:val="nil"/>
                  </w:tcBorders>
                  <w:shd w:val="clear" w:color="auto" w:fill="auto"/>
                  <w:vAlign w:val="center"/>
                </w:tcPr>
                <w:p w14:paraId="318932B2">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3B8A26A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369ADF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vAlign w:val="center"/>
                </w:tcPr>
                <w:p w14:paraId="27DB9D3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核医学楼三层核素治疗区-注射室</w:t>
                  </w:r>
                </w:p>
              </w:tc>
              <w:tc>
                <w:tcPr>
                  <w:tcW w:w="1573" w:type="dxa"/>
                  <w:tcBorders>
                    <w:tl2br w:val="nil"/>
                    <w:tr2bl w:val="nil"/>
                  </w:tcBorders>
                  <w:shd w:val="clear" w:color="auto" w:fill="auto"/>
                  <w:vAlign w:val="center"/>
                </w:tcPr>
                <w:p w14:paraId="2E6E0C0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Lu-177</w:t>
                  </w:r>
                </w:p>
              </w:tc>
              <w:tc>
                <w:tcPr>
                  <w:tcW w:w="1216" w:type="dxa"/>
                  <w:tcBorders>
                    <w:tl2br w:val="nil"/>
                    <w:tr2bl w:val="nil"/>
                  </w:tcBorders>
                  <w:shd w:val="clear" w:color="auto" w:fill="auto"/>
                  <w:vAlign w:val="center"/>
                </w:tcPr>
                <w:p w14:paraId="40D2DD4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1.11E+10</w:t>
                  </w:r>
                </w:p>
              </w:tc>
              <w:tc>
                <w:tcPr>
                  <w:tcW w:w="985" w:type="dxa"/>
                  <w:tcBorders>
                    <w:tl2br w:val="nil"/>
                    <w:tr2bl w:val="nil"/>
                  </w:tcBorders>
                  <w:shd w:val="clear" w:color="auto" w:fill="auto"/>
                  <w:vAlign w:val="center"/>
                </w:tcPr>
                <w:p w14:paraId="49B9307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3D44060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restart"/>
                  <w:tcBorders>
                    <w:tl2br w:val="nil"/>
                    <w:tr2bl w:val="nil"/>
                  </w:tcBorders>
                  <w:shd w:val="clear" w:color="auto" w:fill="auto"/>
                  <w:vAlign w:val="center"/>
                </w:tcPr>
                <w:p w14:paraId="4254178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111000</w:t>
                  </w:r>
                </w:p>
              </w:tc>
              <w:tc>
                <w:tcPr>
                  <w:tcW w:w="1125" w:type="dxa"/>
                  <w:vMerge w:val="restart"/>
                  <w:tcBorders>
                    <w:tl2br w:val="nil"/>
                    <w:tr2bl w:val="nil"/>
                  </w:tcBorders>
                  <w:shd w:val="clear" w:color="auto" w:fill="auto"/>
                  <w:vAlign w:val="center"/>
                </w:tcPr>
                <w:p w14:paraId="1017588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6669DC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75B42A2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74AFD43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Ra223</w:t>
                  </w:r>
                </w:p>
              </w:tc>
              <w:tc>
                <w:tcPr>
                  <w:tcW w:w="1216" w:type="dxa"/>
                  <w:tcBorders>
                    <w:tl2br w:val="nil"/>
                    <w:tr2bl w:val="nil"/>
                  </w:tcBorders>
                  <w:shd w:val="clear" w:color="auto" w:fill="auto"/>
                  <w:vAlign w:val="center"/>
                </w:tcPr>
                <w:p w14:paraId="433FDE4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5.50E+06</w:t>
                  </w:r>
                </w:p>
              </w:tc>
              <w:tc>
                <w:tcPr>
                  <w:tcW w:w="985" w:type="dxa"/>
                  <w:tcBorders>
                    <w:tl2br w:val="nil"/>
                    <w:tr2bl w:val="nil"/>
                  </w:tcBorders>
                  <w:shd w:val="clear" w:color="auto" w:fill="auto"/>
                  <w:vAlign w:val="center"/>
                </w:tcPr>
                <w:p w14:paraId="198A56A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50E8516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continue"/>
                  <w:tcBorders>
                    <w:tl2br w:val="nil"/>
                    <w:tr2bl w:val="nil"/>
                  </w:tcBorders>
                  <w:shd w:val="clear" w:color="auto" w:fill="auto"/>
                  <w:vAlign w:val="center"/>
                </w:tcPr>
                <w:p w14:paraId="5BA0109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151D726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6EBE52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vAlign w:val="center"/>
                </w:tcPr>
                <w:p w14:paraId="1033D47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6B2ED3B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Ac-225</w:t>
                  </w:r>
                </w:p>
              </w:tc>
              <w:tc>
                <w:tcPr>
                  <w:tcW w:w="1216" w:type="dxa"/>
                  <w:tcBorders>
                    <w:tl2br w:val="nil"/>
                    <w:tr2bl w:val="nil"/>
                  </w:tcBorders>
                  <w:shd w:val="clear" w:color="auto" w:fill="auto"/>
                  <w:vAlign w:val="center"/>
                </w:tcPr>
                <w:p w14:paraId="1CF5E5D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1.00E+07</w:t>
                  </w:r>
                </w:p>
              </w:tc>
              <w:tc>
                <w:tcPr>
                  <w:tcW w:w="985" w:type="dxa"/>
                  <w:tcBorders>
                    <w:tl2br w:val="nil"/>
                    <w:tr2bl w:val="nil"/>
                  </w:tcBorders>
                  <w:shd w:val="clear" w:color="auto" w:fill="auto"/>
                  <w:vAlign w:val="center"/>
                </w:tcPr>
                <w:p w14:paraId="335E978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555A819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continue"/>
                  <w:tcBorders>
                    <w:tl2br w:val="nil"/>
                    <w:tr2bl w:val="nil"/>
                  </w:tcBorders>
                  <w:shd w:val="clear" w:color="auto" w:fill="auto"/>
                  <w:vAlign w:val="center"/>
                </w:tcPr>
                <w:p w14:paraId="0B2A206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3E7B434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079466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88" w:type="dxa"/>
                  <w:tcBorders>
                    <w:tl2br w:val="nil"/>
                    <w:tr2bl w:val="nil"/>
                  </w:tcBorders>
                  <w:shd w:val="clear" w:color="auto" w:fill="auto"/>
                  <w:vAlign w:val="center"/>
                </w:tcPr>
                <w:p w14:paraId="6A7759D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核医学楼三层核素治疗区-</w:t>
                  </w:r>
                  <w:r>
                    <w:rPr>
                      <w:rFonts w:hint="default" w:ascii="Times New Roman" w:hAnsi="Times New Roman" w:eastAsia="宋体" w:cs="Times New Roman"/>
                      <w:color w:val="auto"/>
                      <w:kern w:val="0"/>
                      <w:sz w:val="21"/>
                      <w:szCs w:val="20"/>
                      <w:highlight w:val="none"/>
                      <w:vertAlign w:val="baseline"/>
                      <w:lang w:val="en-US" w:eastAsia="zh-CN"/>
                    </w:rPr>
                    <w:t>I-131</w:t>
                  </w:r>
                  <w:r>
                    <w:rPr>
                      <w:rFonts w:hint="default" w:ascii="Times New Roman" w:hAnsi="Times New Roman" w:eastAsia="宋体" w:cs="Times New Roman"/>
                      <w:color w:val="auto"/>
                      <w:kern w:val="0"/>
                      <w:sz w:val="21"/>
                      <w:szCs w:val="20"/>
                      <w:highlight w:val="none"/>
                      <w:lang w:val="en-US" w:eastAsia="zh-CN"/>
                    </w:rPr>
                    <w:t>病房</w:t>
                  </w:r>
                </w:p>
              </w:tc>
              <w:tc>
                <w:tcPr>
                  <w:tcW w:w="1573" w:type="dxa"/>
                  <w:tcBorders>
                    <w:tl2br w:val="nil"/>
                    <w:tr2bl w:val="nil"/>
                  </w:tcBorders>
                  <w:shd w:val="clear" w:color="auto" w:fill="auto"/>
                  <w:vAlign w:val="center"/>
                </w:tcPr>
                <w:p w14:paraId="712FDE3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I-131</w:t>
                  </w:r>
                </w:p>
              </w:tc>
              <w:tc>
                <w:tcPr>
                  <w:tcW w:w="1216" w:type="dxa"/>
                  <w:tcBorders>
                    <w:tl2br w:val="nil"/>
                    <w:tr2bl w:val="nil"/>
                  </w:tcBorders>
                  <w:shd w:val="clear" w:color="auto" w:fill="auto"/>
                  <w:vAlign w:val="center"/>
                </w:tcPr>
                <w:p w14:paraId="158999E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9.44E+10</w:t>
                  </w:r>
                </w:p>
              </w:tc>
              <w:tc>
                <w:tcPr>
                  <w:tcW w:w="985" w:type="dxa"/>
                  <w:tcBorders>
                    <w:tl2br w:val="nil"/>
                    <w:tr2bl w:val="nil"/>
                  </w:tcBorders>
                  <w:shd w:val="clear" w:color="auto" w:fill="auto"/>
                  <w:vAlign w:val="center"/>
                </w:tcPr>
                <w:p w14:paraId="1216397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315F76B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tcBorders>
                    <w:tl2br w:val="nil"/>
                    <w:tr2bl w:val="nil"/>
                  </w:tcBorders>
                  <w:shd w:val="clear" w:color="auto" w:fill="auto"/>
                  <w:vAlign w:val="center"/>
                </w:tcPr>
                <w:p w14:paraId="3756A08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944000</w:t>
                  </w:r>
                </w:p>
              </w:tc>
              <w:tc>
                <w:tcPr>
                  <w:tcW w:w="0" w:type="auto"/>
                  <w:tcBorders>
                    <w:tl2br w:val="nil"/>
                    <w:tr2bl w:val="nil"/>
                  </w:tcBorders>
                  <w:shd w:val="clear" w:color="auto" w:fill="auto"/>
                  <w:vAlign w:val="center"/>
                </w:tcPr>
                <w:p w14:paraId="672F83D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6CB04B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1988" w:type="dxa"/>
                  <w:tcBorders>
                    <w:tl2br w:val="nil"/>
                    <w:tr2bl w:val="nil"/>
                  </w:tcBorders>
                  <w:shd w:val="clear" w:color="auto" w:fill="auto"/>
                  <w:vAlign w:val="center"/>
                </w:tcPr>
                <w:p w14:paraId="3B4F7EA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核医学楼三层核素治疗区-</w:t>
                  </w:r>
                  <w:r>
                    <w:rPr>
                      <w:rFonts w:hint="default" w:ascii="Times New Roman" w:hAnsi="Times New Roman" w:eastAsia="宋体" w:cs="Times New Roman"/>
                      <w:color w:val="auto"/>
                      <w:kern w:val="0"/>
                      <w:sz w:val="21"/>
                      <w:szCs w:val="20"/>
                      <w:highlight w:val="none"/>
                      <w:vertAlign w:val="baseline"/>
                      <w:lang w:val="en-US" w:eastAsia="zh-CN"/>
                    </w:rPr>
                    <w:t>Lu-177</w:t>
                  </w:r>
                  <w:r>
                    <w:rPr>
                      <w:rFonts w:hint="default" w:ascii="Times New Roman" w:hAnsi="Times New Roman" w:eastAsia="宋体" w:cs="Times New Roman"/>
                      <w:color w:val="auto"/>
                      <w:kern w:val="0"/>
                      <w:sz w:val="21"/>
                      <w:szCs w:val="20"/>
                      <w:highlight w:val="none"/>
                      <w:lang w:val="en-US" w:eastAsia="zh-CN"/>
                    </w:rPr>
                    <w:t>病房</w:t>
                  </w:r>
                </w:p>
              </w:tc>
              <w:tc>
                <w:tcPr>
                  <w:tcW w:w="1573" w:type="dxa"/>
                  <w:tcBorders>
                    <w:tl2br w:val="nil"/>
                    <w:tr2bl w:val="nil"/>
                  </w:tcBorders>
                  <w:vAlign w:val="center"/>
                </w:tcPr>
                <w:p w14:paraId="5248452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Lu-177</w:t>
                  </w:r>
                </w:p>
              </w:tc>
              <w:tc>
                <w:tcPr>
                  <w:tcW w:w="1216" w:type="dxa"/>
                  <w:tcBorders>
                    <w:tl2br w:val="nil"/>
                    <w:tr2bl w:val="nil"/>
                  </w:tcBorders>
                  <w:shd w:val="clear" w:color="auto" w:fill="auto"/>
                  <w:vAlign w:val="center"/>
                </w:tcPr>
                <w:p w14:paraId="2796CD9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1.11E+10</w:t>
                  </w:r>
                </w:p>
              </w:tc>
              <w:tc>
                <w:tcPr>
                  <w:tcW w:w="985" w:type="dxa"/>
                  <w:tcBorders>
                    <w:tl2br w:val="nil"/>
                    <w:tr2bl w:val="nil"/>
                  </w:tcBorders>
                  <w:shd w:val="clear" w:color="auto" w:fill="auto"/>
                  <w:vAlign w:val="center"/>
                </w:tcPr>
                <w:p w14:paraId="22E8489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0255F21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tcBorders>
                    <w:tl2br w:val="nil"/>
                    <w:tr2bl w:val="nil"/>
                  </w:tcBorders>
                  <w:shd w:val="clear" w:color="auto" w:fill="auto"/>
                  <w:vAlign w:val="center"/>
                </w:tcPr>
                <w:p w14:paraId="6E09493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111000</w:t>
                  </w:r>
                </w:p>
              </w:tc>
              <w:tc>
                <w:tcPr>
                  <w:tcW w:w="0" w:type="auto"/>
                  <w:tcBorders>
                    <w:tl2br w:val="nil"/>
                    <w:tr2bl w:val="nil"/>
                  </w:tcBorders>
                  <w:shd w:val="clear" w:color="auto" w:fill="auto"/>
                  <w:vAlign w:val="center"/>
                </w:tcPr>
                <w:p w14:paraId="722C44B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7626EB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restart"/>
                  <w:tcBorders>
                    <w:tl2br w:val="nil"/>
                    <w:tr2bl w:val="nil"/>
                  </w:tcBorders>
                  <w:shd w:val="clear" w:color="auto" w:fill="auto"/>
                  <w:vAlign w:val="center"/>
                </w:tcPr>
                <w:p w14:paraId="47BBCCF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核医学楼三层核素治疗区</w:t>
                  </w:r>
                  <w:r>
                    <w:rPr>
                      <w:rFonts w:hint="default" w:ascii="Times New Roman" w:hAnsi="Times New Roman" w:eastAsia="宋体" w:cs="Times New Roman"/>
                      <w:color w:val="auto"/>
                      <w:kern w:val="0"/>
                      <w:sz w:val="21"/>
                      <w:szCs w:val="20"/>
                      <w:highlight w:val="none"/>
                      <w:lang w:val="en-US" w:eastAsia="zh-CN"/>
                    </w:rPr>
                    <w:t>-</w:t>
                  </w:r>
                  <w:r>
                    <w:rPr>
                      <w:rFonts w:hint="default" w:ascii="Times New Roman" w:hAnsi="Times New Roman" w:eastAsia="宋体" w:cs="Times New Roman"/>
                      <w:color w:val="auto"/>
                      <w:kern w:val="0"/>
                      <w:sz w:val="21"/>
                      <w:szCs w:val="20"/>
                      <w:highlight w:val="none"/>
                      <w:lang w:val="en-US" w:eastAsia="en-US"/>
                    </w:rPr>
                    <w:t>放射性废物库</w:t>
                  </w:r>
                </w:p>
              </w:tc>
              <w:tc>
                <w:tcPr>
                  <w:tcW w:w="1573" w:type="dxa"/>
                  <w:tcBorders>
                    <w:tl2br w:val="nil"/>
                    <w:tr2bl w:val="nil"/>
                  </w:tcBorders>
                  <w:shd w:val="clear" w:color="auto" w:fill="auto"/>
                  <w:vAlign w:val="center"/>
                </w:tcPr>
                <w:p w14:paraId="53B1A71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I-131</w:t>
                  </w:r>
                </w:p>
              </w:tc>
              <w:tc>
                <w:tcPr>
                  <w:tcW w:w="1216" w:type="dxa"/>
                  <w:tcBorders>
                    <w:tl2br w:val="nil"/>
                    <w:tr2bl w:val="nil"/>
                  </w:tcBorders>
                  <w:shd w:val="clear" w:color="auto" w:fill="auto"/>
                  <w:vAlign w:val="center"/>
                </w:tcPr>
                <w:p w14:paraId="5F1074B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9.44E+10</w:t>
                  </w:r>
                </w:p>
              </w:tc>
              <w:tc>
                <w:tcPr>
                  <w:tcW w:w="985" w:type="dxa"/>
                  <w:tcBorders>
                    <w:tl2br w:val="nil"/>
                    <w:tr2bl w:val="nil"/>
                  </w:tcBorders>
                  <w:shd w:val="clear" w:color="auto" w:fill="auto"/>
                  <w:vAlign w:val="center"/>
                </w:tcPr>
                <w:p w14:paraId="4E52DEC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72A18B4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restart"/>
                  <w:tcBorders>
                    <w:tl2br w:val="nil"/>
                    <w:tr2bl w:val="nil"/>
                  </w:tcBorders>
                  <w:shd w:val="clear" w:color="auto" w:fill="auto"/>
                  <w:vAlign w:val="center"/>
                </w:tcPr>
                <w:p w14:paraId="5D46035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10600</w:t>
                  </w:r>
                </w:p>
              </w:tc>
              <w:tc>
                <w:tcPr>
                  <w:tcW w:w="1125" w:type="dxa"/>
                  <w:vMerge w:val="restart"/>
                  <w:tcBorders>
                    <w:tl2br w:val="nil"/>
                    <w:tr2bl w:val="nil"/>
                  </w:tcBorders>
                  <w:shd w:val="clear" w:color="auto" w:fill="auto"/>
                  <w:vAlign w:val="center"/>
                </w:tcPr>
                <w:p w14:paraId="6B737DD2">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w:t>
                  </w:r>
                </w:p>
              </w:tc>
            </w:tr>
            <w:tr w14:paraId="4803B2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shd w:val="clear" w:color="auto" w:fill="auto"/>
                  <w:vAlign w:val="center"/>
                </w:tcPr>
                <w:p w14:paraId="23BFF7ED">
                  <w:pPr>
                    <w:keepNext w:val="0"/>
                    <w:keepLines w:val="0"/>
                    <w:suppressLineNumbers w:val="0"/>
                    <w:autoSpaceDE w:val="0"/>
                    <w:autoSpaceDN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6482F0C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Lu-177</w:t>
                  </w:r>
                </w:p>
              </w:tc>
              <w:tc>
                <w:tcPr>
                  <w:tcW w:w="1216" w:type="dxa"/>
                  <w:tcBorders>
                    <w:tl2br w:val="nil"/>
                    <w:tr2bl w:val="nil"/>
                  </w:tcBorders>
                  <w:shd w:val="clear" w:color="auto" w:fill="auto"/>
                  <w:vAlign w:val="center"/>
                </w:tcPr>
                <w:p w14:paraId="7A0FA78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1.11E+10</w:t>
                  </w:r>
                </w:p>
              </w:tc>
              <w:tc>
                <w:tcPr>
                  <w:tcW w:w="985" w:type="dxa"/>
                  <w:tcBorders>
                    <w:tl2br w:val="nil"/>
                    <w:tr2bl w:val="nil"/>
                  </w:tcBorders>
                  <w:shd w:val="clear" w:color="auto" w:fill="auto"/>
                  <w:vAlign w:val="center"/>
                </w:tcPr>
                <w:p w14:paraId="2DA7FBD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20D1CAA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3ADEA1F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350353A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3FCB51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988" w:type="dxa"/>
                  <w:vMerge w:val="continue"/>
                  <w:tcBorders>
                    <w:tl2br w:val="nil"/>
                    <w:tr2bl w:val="nil"/>
                  </w:tcBorders>
                  <w:shd w:val="clear" w:color="auto" w:fill="auto"/>
                  <w:vAlign w:val="center"/>
                </w:tcPr>
                <w:p w14:paraId="29F7CC45">
                  <w:pPr>
                    <w:keepNext w:val="0"/>
                    <w:keepLines w:val="0"/>
                    <w:suppressLineNumbers w:val="0"/>
                    <w:autoSpaceDE w:val="0"/>
                    <w:autoSpaceDN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63808FA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Ra223</w:t>
                  </w:r>
                </w:p>
              </w:tc>
              <w:tc>
                <w:tcPr>
                  <w:tcW w:w="1216" w:type="dxa"/>
                  <w:tcBorders>
                    <w:tl2br w:val="nil"/>
                    <w:tr2bl w:val="nil"/>
                  </w:tcBorders>
                  <w:shd w:val="clear" w:color="auto" w:fill="auto"/>
                  <w:vAlign w:val="center"/>
                </w:tcPr>
                <w:p w14:paraId="3863369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5.50E+06</w:t>
                  </w:r>
                </w:p>
              </w:tc>
              <w:tc>
                <w:tcPr>
                  <w:tcW w:w="985" w:type="dxa"/>
                  <w:tcBorders>
                    <w:tl2br w:val="nil"/>
                    <w:tr2bl w:val="nil"/>
                  </w:tcBorders>
                  <w:shd w:val="clear" w:color="auto" w:fill="auto"/>
                  <w:vAlign w:val="center"/>
                </w:tcPr>
                <w:p w14:paraId="7117DEA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4187CEB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00157EE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7FB1B10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03B87B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988" w:type="dxa"/>
                  <w:vMerge w:val="continue"/>
                  <w:tcBorders>
                    <w:tl2br w:val="nil"/>
                    <w:tr2bl w:val="nil"/>
                  </w:tcBorders>
                  <w:shd w:val="clear" w:color="auto" w:fill="auto"/>
                  <w:vAlign w:val="center"/>
                </w:tcPr>
                <w:p w14:paraId="5887EA15">
                  <w:pPr>
                    <w:keepNext w:val="0"/>
                    <w:keepLines w:val="0"/>
                    <w:suppressLineNumbers w:val="0"/>
                    <w:autoSpaceDE w:val="0"/>
                    <w:autoSpaceDN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19FD996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vertAlign w:val="baseline"/>
                      <w:lang w:val="en-US" w:eastAsia="zh-CN"/>
                    </w:rPr>
                    <w:t>Ac-225</w:t>
                  </w:r>
                </w:p>
              </w:tc>
              <w:tc>
                <w:tcPr>
                  <w:tcW w:w="1216" w:type="dxa"/>
                  <w:tcBorders>
                    <w:tl2br w:val="nil"/>
                    <w:tr2bl w:val="nil"/>
                  </w:tcBorders>
                  <w:shd w:val="clear" w:color="auto" w:fill="auto"/>
                  <w:vAlign w:val="center"/>
                </w:tcPr>
                <w:p w14:paraId="1DEB5B9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1.00E+07</w:t>
                  </w:r>
                </w:p>
              </w:tc>
              <w:tc>
                <w:tcPr>
                  <w:tcW w:w="985" w:type="dxa"/>
                  <w:tcBorders>
                    <w:tl2br w:val="nil"/>
                    <w:tr2bl w:val="nil"/>
                  </w:tcBorders>
                  <w:shd w:val="clear" w:color="auto" w:fill="auto"/>
                  <w:vAlign w:val="center"/>
                </w:tcPr>
                <w:p w14:paraId="47755E9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0" w:type="auto"/>
                  <w:tcBorders>
                    <w:tl2br w:val="nil"/>
                    <w:tr2bl w:val="nil"/>
                  </w:tcBorders>
                  <w:shd w:val="clear" w:color="auto" w:fill="auto"/>
                  <w:vAlign w:val="center"/>
                </w:tcPr>
                <w:p w14:paraId="5E032AD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continue"/>
                  <w:tcBorders>
                    <w:tl2br w:val="nil"/>
                    <w:tr2bl w:val="nil"/>
                  </w:tcBorders>
                  <w:shd w:val="clear" w:color="auto" w:fill="auto"/>
                  <w:vAlign w:val="center"/>
                </w:tcPr>
                <w:p w14:paraId="3D9CDFB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4313A37D">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r w14:paraId="730246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988" w:type="dxa"/>
                  <w:vMerge w:val="restart"/>
                  <w:tcBorders>
                    <w:tl2br w:val="nil"/>
                    <w:tr2bl w:val="nil"/>
                  </w:tcBorders>
                  <w:shd w:val="clear" w:color="auto" w:fill="auto"/>
                  <w:vAlign w:val="center"/>
                </w:tcPr>
                <w:p w14:paraId="47B9AEF7">
                  <w:pPr>
                    <w:keepNext w:val="0"/>
                    <w:keepLines w:val="0"/>
                    <w:suppressLineNumbers w:val="0"/>
                    <w:autoSpaceDE w:val="0"/>
                    <w:autoSpaceDN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0"/>
                      <w:sz w:val="21"/>
                      <w:szCs w:val="20"/>
                      <w:highlight w:val="none"/>
                      <w:lang w:val="en-US" w:eastAsia="en-US"/>
                    </w:rPr>
                  </w:pPr>
                  <w:r>
                    <w:rPr>
                      <w:rFonts w:hint="default" w:ascii="Times New Roman" w:hAnsi="Times New Roman" w:eastAsia="宋体" w:cs="Times New Roman"/>
                      <w:color w:val="auto"/>
                      <w:kern w:val="0"/>
                      <w:sz w:val="21"/>
                      <w:szCs w:val="20"/>
                      <w:highlight w:val="none"/>
                      <w:lang w:val="en-US" w:eastAsia="en-US"/>
                    </w:rPr>
                    <w:t>综合楼一层介入手术2室</w:t>
                  </w:r>
                </w:p>
              </w:tc>
              <w:tc>
                <w:tcPr>
                  <w:tcW w:w="1573" w:type="dxa"/>
                  <w:tcBorders>
                    <w:tl2br w:val="nil"/>
                    <w:tr2bl w:val="nil"/>
                  </w:tcBorders>
                  <w:shd w:val="clear" w:color="auto" w:fill="auto"/>
                  <w:vAlign w:val="center"/>
                </w:tcPr>
                <w:p w14:paraId="7B43483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Y-90</w:t>
                  </w:r>
                </w:p>
              </w:tc>
              <w:tc>
                <w:tcPr>
                  <w:tcW w:w="1216" w:type="dxa"/>
                  <w:tcBorders>
                    <w:tl2br w:val="nil"/>
                    <w:tr2bl w:val="nil"/>
                  </w:tcBorders>
                  <w:shd w:val="clear" w:color="auto" w:fill="auto"/>
                  <w:vAlign w:val="center"/>
                </w:tcPr>
                <w:p w14:paraId="004CD64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2.50E+09</w:t>
                  </w:r>
                </w:p>
              </w:tc>
              <w:tc>
                <w:tcPr>
                  <w:tcW w:w="985" w:type="dxa"/>
                  <w:tcBorders>
                    <w:tl2br w:val="nil"/>
                    <w:tr2bl w:val="nil"/>
                  </w:tcBorders>
                  <w:shd w:val="clear" w:color="auto" w:fill="auto"/>
                  <w:vAlign w:val="center"/>
                </w:tcPr>
                <w:p w14:paraId="4656650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659D1BA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100</w:t>
                  </w:r>
                </w:p>
              </w:tc>
              <w:tc>
                <w:tcPr>
                  <w:tcW w:w="1125" w:type="dxa"/>
                  <w:vMerge w:val="restart"/>
                  <w:tcBorders>
                    <w:tl2br w:val="nil"/>
                    <w:tr2bl w:val="nil"/>
                  </w:tcBorders>
                  <w:shd w:val="clear" w:color="auto" w:fill="auto"/>
                  <w:vAlign w:val="center"/>
                </w:tcPr>
                <w:p w14:paraId="490EFB0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3.98</w:t>
                  </w:r>
                </w:p>
              </w:tc>
              <w:tc>
                <w:tcPr>
                  <w:tcW w:w="1125" w:type="dxa"/>
                  <w:vMerge w:val="restart"/>
                  <w:tcBorders>
                    <w:tl2br w:val="nil"/>
                    <w:tr2bl w:val="nil"/>
                  </w:tcBorders>
                  <w:shd w:val="clear" w:color="auto" w:fill="auto"/>
                  <w:vAlign w:val="center"/>
                </w:tcPr>
                <w:p w14:paraId="567888D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III</w:t>
                  </w:r>
                </w:p>
              </w:tc>
            </w:tr>
            <w:tr w14:paraId="018A1E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988" w:type="dxa"/>
                  <w:vMerge w:val="continue"/>
                  <w:tcBorders>
                    <w:tl2br w:val="nil"/>
                    <w:tr2bl w:val="nil"/>
                  </w:tcBorders>
                  <w:shd w:val="clear" w:color="auto" w:fill="auto"/>
                  <w:vAlign w:val="center"/>
                </w:tcPr>
                <w:p w14:paraId="4037B7EB">
                  <w:pPr>
                    <w:keepNext w:val="0"/>
                    <w:keepLines w:val="0"/>
                    <w:suppressLineNumbers w:val="0"/>
                    <w:autoSpaceDE w:val="0"/>
                    <w:autoSpaceDN w:val="0"/>
                    <w:bidi w:val="0"/>
                    <w:spacing w:before="0" w:beforeAutospacing="0" w:after="0" w:afterAutospacing="0"/>
                    <w:ind w:left="0" w:leftChars="0" w:right="0" w:rightChars="0" w:firstLine="0" w:firstLineChars="0"/>
                    <w:jc w:val="both"/>
                    <w:rPr>
                      <w:rFonts w:hint="default" w:ascii="Times New Roman" w:hAnsi="Times New Roman" w:eastAsia="宋体" w:cs="Times New Roman"/>
                      <w:color w:val="auto"/>
                      <w:kern w:val="0"/>
                      <w:sz w:val="21"/>
                      <w:szCs w:val="20"/>
                      <w:highlight w:val="none"/>
                      <w:lang w:val="en-US" w:eastAsia="en-US"/>
                    </w:rPr>
                  </w:pPr>
                </w:p>
              </w:tc>
              <w:tc>
                <w:tcPr>
                  <w:tcW w:w="1573" w:type="dxa"/>
                  <w:tcBorders>
                    <w:tl2br w:val="nil"/>
                    <w:tr2bl w:val="nil"/>
                  </w:tcBorders>
                  <w:shd w:val="clear" w:color="auto" w:fill="auto"/>
                  <w:vAlign w:val="center"/>
                </w:tcPr>
                <w:p w14:paraId="61499F7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Tc-99m</w:t>
                  </w:r>
                </w:p>
              </w:tc>
              <w:tc>
                <w:tcPr>
                  <w:tcW w:w="1216" w:type="dxa"/>
                  <w:tcBorders>
                    <w:tl2br w:val="nil"/>
                    <w:tr2bl w:val="nil"/>
                  </w:tcBorders>
                  <w:shd w:val="clear" w:color="auto" w:fill="auto"/>
                  <w:vAlign w:val="center"/>
                </w:tcPr>
                <w:p w14:paraId="6126C221">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eastAsia" w:ascii="Times New Roman" w:hAnsi="Times New Roman" w:eastAsia="宋体" w:cs="Times New Roman"/>
                      <w:color w:val="auto"/>
                      <w:kern w:val="0"/>
                      <w:sz w:val="21"/>
                      <w:szCs w:val="20"/>
                      <w:highlight w:val="none"/>
                      <w:lang w:val="en-US" w:eastAsia="zh-CN"/>
                    </w:rPr>
                    <w:t>1.48E+08</w:t>
                  </w:r>
                </w:p>
              </w:tc>
              <w:tc>
                <w:tcPr>
                  <w:tcW w:w="985" w:type="dxa"/>
                  <w:tcBorders>
                    <w:tl2br w:val="nil"/>
                    <w:tr2bl w:val="nil"/>
                  </w:tcBorders>
                  <w:shd w:val="clear" w:color="auto" w:fill="auto"/>
                  <w:vAlign w:val="center"/>
                </w:tcPr>
                <w:p w14:paraId="672A7D8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0" w:type="auto"/>
                  <w:tcBorders>
                    <w:tl2br w:val="nil"/>
                    <w:tr2bl w:val="nil"/>
                  </w:tcBorders>
                  <w:shd w:val="clear" w:color="auto" w:fill="auto"/>
                  <w:vAlign w:val="center"/>
                </w:tcPr>
                <w:p w14:paraId="5DD0844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r>
                    <w:rPr>
                      <w:rFonts w:hint="default" w:ascii="Times New Roman" w:hAnsi="Times New Roman" w:eastAsia="宋体" w:cs="Times New Roman"/>
                      <w:color w:val="auto"/>
                      <w:kern w:val="0"/>
                      <w:sz w:val="21"/>
                      <w:szCs w:val="20"/>
                      <w:highlight w:val="none"/>
                      <w:lang w:val="en-US" w:eastAsia="zh-CN"/>
                    </w:rPr>
                    <w:t>1</w:t>
                  </w:r>
                </w:p>
              </w:tc>
              <w:tc>
                <w:tcPr>
                  <w:tcW w:w="1125" w:type="dxa"/>
                  <w:vMerge w:val="continue"/>
                  <w:tcBorders>
                    <w:tl2br w:val="nil"/>
                    <w:tr2bl w:val="nil"/>
                  </w:tcBorders>
                  <w:shd w:val="clear" w:color="auto" w:fill="auto"/>
                  <w:vAlign w:val="center"/>
                </w:tcPr>
                <w:p w14:paraId="4E6822C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c>
                <w:tcPr>
                  <w:tcW w:w="1125" w:type="dxa"/>
                  <w:vMerge w:val="continue"/>
                  <w:tcBorders>
                    <w:tl2br w:val="nil"/>
                    <w:tr2bl w:val="nil"/>
                  </w:tcBorders>
                  <w:shd w:val="clear" w:color="auto" w:fill="auto"/>
                  <w:vAlign w:val="center"/>
                </w:tcPr>
                <w:p w14:paraId="15FD1C55">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20"/>
                      <w:highlight w:val="none"/>
                      <w:lang w:val="en-US" w:eastAsia="zh-CN"/>
                    </w:rPr>
                  </w:pPr>
                </w:p>
              </w:tc>
            </w:tr>
          </w:tbl>
          <w:p w14:paraId="3CDBC73D">
            <w:pPr>
              <w:keepNext w:val="0"/>
              <w:keepLines w:val="0"/>
              <w:widowControl w:val="0"/>
              <w:suppressLineNumbers w:val="0"/>
              <w:spacing w:before="120" w:beforeAutospacing="0" w:after="120" w:afterAutospacing="0" w:line="240" w:lineRule="auto"/>
              <w:ind w:left="0" w:right="0" w:firstLine="352" w:firstLineChars="200"/>
              <w:jc w:val="both"/>
              <w:rPr>
                <w:rFonts w:hint="default" w:ascii="Times New Roman" w:hAnsi="Times New Roman" w:eastAsia="宋体" w:cs="Times New Roman"/>
                <w:color w:val="auto"/>
                <w:spacing w:val="-2"/>
                <w:kern w:val="0"/>
                <w:sz w:val="18"/>
                <w:szCs w:val="18"/>
                <w:highlight w:val="none"/>
                <w:vertAlign w:val="baseline"/>
                <w:lang w:val="en-US" w:eastAsia="en-US" w:bidi="ar"/>
              </w:rPr>
            </w:pPr>
            <w:r>
              <w:rPr>
                <w:rFonts w:hint="default" w:ascii="Times New Roman" w:hAnsi="Times New Roman" w:eastAsia="宋体" w:cs="Times New Roman"/>
                <w:color w:val="auto"/>
                <w:spacing w:val="-2"/>
                <w:kern w:val="0"/>
                <w:sz w:val="18"/>
                <w:szCs w:val="18"/>
                <w:highlight w:val="none"/>
                <w:vertAlign w:val="baseline"/>
                <w:lang w:val="en-US" w:eastAsia="en-US" w:bidi="ar"/>
              </w:rPr>
              <w:t>注：（1）加权活度=（计划的日操作最大活度×核素的毒性权重因子）/操作性质修正因子。</w:t>
            </w:r>
          </w:p>
          <w:p w14:paraId="04DF27C4">
            <w:pPr>
              <w:keepNext w:val="0"/>
              <w:keepLines w:val="0"/>
              <w:widowControl w:val="0"/>
              <w:suppressLineNumbers w:val="0"/>
              <w:spacing w:before="120" w:beforeAutospacing="0" w:after="120" w:afterAutospacing="0" w:line="240" w:lineRule="auto"/>
              <w:ind w:left="0" w:right="0" w:firstLine="704" w:firstLineChars="400"/>
              <w:jc w:val="both"/>
              <w:rPr>
                <w:rFonts w:hint="default" w:ascii="Times New Roman" w:hAnsi="Times New Roman" w:eastAsia="宋体" w:cs="Times New Roman"/>
                <w:color w:val="auto"/>
                <w:spacing w:val="-2"/>
                <w:kern w:val="0"/>
                <w:sz w:val="18"/>
                <w:szCs w:val="18"/>
                <w:highlight w:val="none"/>
                <w:vertAlign w:val="baseline"/>
                <w:lang w:val="en-US" w:eastAsia="zh-CN" w:bidi="ar"/>
              </w:rPr>
            </w:pPr>
            <w:r>
              <w:rPr>
                <w:rFonts w:hint="default" w:ascii="Times New Roman" w:hAnsi="Times New Roman" w:eastAsia="宋体" w:cs="Times New Roman"/>
                <w:color w:val="auto"/>
                <w:spacing w:val="-2"/>
                <w:kern w:val="0"/>
                <w:sz w:val="18"/>
                <w:szCs w:val="18"/>
                <w:highlight w:val="none"/>
                <w:vertAlign w:val="baseline"/>
                <w:lang w:val="en-US" w:eastAsia="en-US" w:bidi="ar"/>
              </w:rPr>
              <w:t>（2）操作放射性核素的最大加权活度＞5×10</w:t>
            </w:r>
            <w:r>
              <w:rPr>
                <w:rFonts w:hint="default" w:ascii="Times New Roman" w:hAnsi="Times New Roman" w:eastAsia="宋体" w:cs="Times New Roman"/>
                <w:color w:val="auto"/>
                <w:spacing w:val="-2"/>
                <w:kern w:val="0"/>
                <w:sz w:val="18"/>
                <w:szCs w:val="18"/>
                <w:highlight w:val="none"/>
                <w:vertAlign w:val="superscript"/>
                <w:lang w:val="en-US" w:eastAsia="en-US" w:bidi="ar"/>
              </w:rPr>
              <w:t>10</w:t>
            </w:r>
            <w:r>
              <w:rPr>
                <w:rFonts w:hint="default" w:ascii="Times New Roman" w:hAnsi="Times New Roman" w:eastAsia="宋体" w:cs="Times New Roman"/>
                <w:color w:val="auto"/>
                <w:spacing w:val="-2"/>
                <w:kern w:val="0"/>
                <w:sz w:val="18"/>
                <w:szCs w:val="18"/>
                <w:highlight w:val="none"/>
                <w:vertAlign w:val="baseline"/>
                <w:lang w:val="en-US" w:eastAsia="en-US" w:bidi="ar"/>
              </w:rPr>
              <w:t>Bq的为I类临床核医学工作场所，操作放射性核素的最大加权活度在5×10</w:t>
            </w:r>
            <w:r>
              <w:rPr>
                <w:rFonts w:hint="default" w:ascii="Times New Roman" w:hAnsi="Times New Roman" w:eastAsia="宋体" w:cs="Times New Roman"/>
                <w:color w:val="auto"/>
                <w:spacing w:val="-2"/>
                <w:kern w:val="0"/>
                <w:sz w:val="18"/>
                <w:szCs w:val="18"/>
                <w:highlight w:val="none"/>
                <w:vertAlign w:val="superscript"/>
                <w:lang w:val="en-US" w:eastAsia="en-US" w:bidi="ar"/>
              </w:rPr>
              <w:t>7</w:t>
            </w:r>
            <w:r>
              <w:rPr>
                <w:rFonts w:hint="default" w:ascii="Times New Roman" w:hAnsi="Times New Roman" w:eastAsia="宋体" w:cs="Times New Roman"/>
                <w:color w:val="auto"/>
                <w:spacing w:val="-2"/>
                <w:kern w:val="0"/>
                <w:sz w:val="18"/>
                <w:szCs w:val="18"/>
                <w:highlight w:val="none"/>
                <w:vertAlign w:val="baseline"/>
                <w:lang w:val="en-US" w:eastAsia="en-US" w:bidi="ar"/>
              </w:rPr>
              <w:t>～5×10</w:t>
            </w:r>
            <w:r>
              <w:rPr>
                <w:rFonts w:hint="default" w:ascii="Times New Roman" w:hAnsi="Times New Roman" w:eastAsia="宋体" w:cs="Times New Roman"/>
                <w:color w:val="auto"/>
                <w:spacing w:val="-2"/>
                <w:kern w:val="0"/>
                <w:sz w:val="18"/>
                <w:szCs w:val="18"/>
                <w:highlight w:val="none"/>
                <w:vertAlign w:val="superscript"/>
                <w:lang w:val="en-US" w:eastAsia="en-US" w:bidi="ar"/>
              </w:rPr>
              <w:t>10</w:t>
            </w:r>
            <w:r>
              <w:rPr>
                <w:rFonts w:hint="default" w:ascii="Times New Roman" w:hAnsi="Times New Roman" w:eastAsia="宋体" w:cs="Times New Roman"/>
                <w:color w:val="auto"/>
                <w:spacing w:val="-2"/>
                <w:kern w:val="0"/>
                <w:sz w:val="18"/>
                <w:szCs w:val="18"/>
                <w:highlight w:val="none"/>
                <w:vertAlign w:val="baseline"/>
                <w:lang w:val="en-US" w:eastAsia="en-US" w:bidi="ar"/>
              </w:rPr>
              <w:t>Bq区间的为II类临床核医学工作场所</w:t>
            </w:r>
            <w:r>
              <w:rPr>
                <w:rFonts w:hint="default" w:ascii="Times New Roman" w:hAnsi="Times New Roman" w:eastAsia="宋体" w:cs="Times New Roman"/>
                <w:color w:val="auto"/>
                <w:spacing w:val="-2"/>
                <w:kern w:val="0"/>
                <w:sz w:val="18"/>
                <w:szCs w:val="18"/>
                <w:highlight w:val="none"/>
                <w:vertAlign w:val="baseline"/>
                <w:lang w:val="en-US" w:eastAsia="zh-CN" w:bidi="ar"/>
              </w:rPr>
              <w:t>。</w:t>
            </w:r>
          </w:p>
          <w:p w14:paraId="0B3F83F1">
            <w:pPr>
              <w:keepNext w:val="0"/>
              <w:keepLines w:val="0"/>
              <w:suppressLineNumbers w:val="0"/>
              <w:spacing w:before="70" w:beforeAutospacing="0" w:after="0" w:afterAutospacing="0" w:line="350" w:lineRule="auto"/>
              <w:ind w:left="113" w:right="45" w:firstLine="485"/>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4"/>
                <w:sz w:val="24"/>
                <w:szCs w:val="24"/>
                <w:highlight w:val="none"/>
              </w:rPr>
              <w:t>根据《核医学放射防护要求》</w:t>
            </w:r>
            <w:r>
              <w:rPr>
                <w:rFonts w:hint="default" w:ascii="Times New Roman" w:hAnsi="Times New Roman" w:eastAsia="Times New Roman" w:cs="Times New Roman"/>
                <w:color w:val="auto"/>
                <w:spacing w:val="-4"/>
                <w:sz w:val="24"/>
                <w:szCs w:val="24"/>
                <w:highlight w:val="none"/>
              </w:rPr>
              <w:t>(GBZ120-2020)</w:t>
            </w:r>
            <w:r>
              <w:rPr>
                <w:rFonts w:hint="default" w:ascii="Times New Roman" w:hAnsi="Times New Roman" w:eastAsia="宋体" w:cs="Times New Roman"/>
                <w:color w:val="auto"/>
                <w:spacing w:val="-4"/>
                <w:sz w:val="24"/>
                <w:szCs w:val="24"/>
                <w:highlight w:val="none"/>
              </w:rPr>
              <w:t>对临床核医学工作场所具体分类办法，</w:t>
            </w:r>
            <w:r>
              <w:rPr>
                <w:rFonts w:hint="default" w:ascii="Times New Roman" w:hAnsi="Times New Roman" w:eastAsia="Times New Roman" w:cs="Times New Roman"/>
                <w:color w:val="auto"/>
                <w:spacing w:val="-1"/>
                <w:sz w:val="24"/>
                <w:szCs w:val="24"/>
                <w:highlight w:val="none"/>
              </w:rPr>
              <w:t>Ⅰ</w:t>
            </w:r>
            <w:r>
              <w:rPr>
                <w:rFonts w:hint="default" w:ascii="Times New Roman" w:hAnsi="Times New Roman" w:eastAsia="宋体" w:cs="Times New Roman"/>
                <w:color w:val="auto"/>
                <w:spacing w:val="-1"/>
                <w:sz w:val="24"/>
                <w:szCs w:val="24"/>
                <w:highlight w:val="none"/>
              </w:rPr>
              <w:t>类、</w:t>
            </w:r>
            <w:r>
              <w:rPr>
                <w:rFonts w:hint="default" w:ascii="Times New Roman" w:hAnsi="Times New Roman" w:eastAsia="Times New Roman" w:cs="Times New Roman"/>
                <w:color w:val="auto"/>
                <w:spacing w:val="-1"/>
                <w:sz w:val="24"/>
                <w:szCs w:val="24"/>
                <w:highlight w:val="none"/>
              </w:rPr>
              <w:t>II</w:t>
            </w:r>
            <w:r>
              <w:rPr>
                <w:rFonts w:hint="default" w:ascii="Times New Roman" w:hAnsi="Times New Roman" w:eastAsia="宋体" w:cs="Times New Roman"/>
                <w:color w:val="auto"/>
                <w:spacing w:val="-1"/>
                <w:sz w:val="24"/>
                <w:szCs w:val="24"/>
                <w:highlight w:val="none"/>
              </w:rPr>
              <w:t>类、</w:t>
            </w:r>
            <w:r>
              <w:rPr>
                <w:rFonts w:hint="default" w:ascii="Times New Roman" w:hAnsi="Times New Roman" w:eastAsia="Times New Roman" w:cs="Times New Roman"/>
                <w:color w:val="auto"/>
                <w:spacing w:val="-1"/>
                <w:sz w:val="24"/>
                <w:szCs w:val="24"/>
                <w:highlight w:val="none"/>
              </w:rPr>
              <w:t>III</w:t>
            </w:r>
            <w:r>
              <w:rPr>
                <w:rFonts w:hint="default" w:ascii="Times New Roman" w:hAnsi="Times New Roman" w:eastAsia="宋体" w:cs="Times New Roman"/>
                <w:color w:val="auto"/>
                <w:spacing w:val="-1"/>
                <w:sz w:val="24"/>
                <w:szCs w:val="24"/>
                <w:highlight w:val="none"/>
              </w:rPr>
              <w:t>类核医学工作场所的防护设计要求见</w:t>
            </w:r>
            <w:r>
              <w:rPr>
                <w:rFonts w:hint="default" w:ascii="Times New Roman" w:hAnsi="Times New Roman" w:eastAsia="宋体" w:cs="Times New Roman"/>
                <w:color w:val="auto"/>
                <w:spacing w:val="-4"/>
                <w:sz w:val="24"/>
                <w:szCs w:val="24"/>
                <w:highlight w:val="none"/>
              </w:rPr>
              <w:t>表</w:t>
            </w:r>
            <w:r>
              <w:rPr>
                <w:rFonts w:hint="default" w:ascii="Times New Roman" w:hAnsi="Times New Roman" w:eastAsia="宋体" w:cs="Times New Roman"/>
                <w:color w:val="auto"/>
                <w:spacing w:val="-4"/>
                <w:sz w:val="24"/>
                <w:szCs w:val="24"/>
                <w:highlight w:val="none"/>
                <w:lang w:val="en-US" w:eastAsia="zh-CN"/>
              </w:rPr>
              <w:t>10-</w:t>
            </w:r>
            <w:r>
              <w:rPr>
                <w:rFonts w:hint="eastAsia" w:ascii="Times New Roman" w:hAnsi="Times New Roman" w:eastAsia="宋体" w:cs="Times New Roman"/>
                <w:color w:val="auto"/>
                <w:spacing w:val="-4"/>
                <w:sz w:val="24"/>
                <w:szCs w:val="24"/>
                <w:highlight w:val="none"/>
                <w:lang w:val="en-US" w:eastAsia="zh-CN"/>
              </w:rPr>
              <w:t>15</w:t>
            </w:r>
            <w:r>
              <w:rPr>
                <w:rFonts w:hint="default" w:ascii="Times New Roman" w:hAnsi="Times New Roman" w:eastAsia="宋体" w:cs="Times New Roman"/>
                <w:color w:val="auto"/>
                <w:spacing w:val="-4"/>
                <w:sz w:val="24"/>
                <w:szCs w:val="24"/>
                <w:highlight w:val="none"/>
              </w:rPr>
              <w:t>。</w:t>
            </w:r>
          </w:p>
          <w:p w14:paraId="22D0C8AF">
            <w:pPr>
              <w:keepNext w:val="0"/>
              <w:keepLines w:val="0"/>
              <w:suppressLineNumbers w:val="0"/>
              <w:spacing w:before="23" w:beforeAutospacing="0" w:after="0" w:afterAutospacing="0" w:line="212" w:lineRule="auto"/>
              <w:ind w:left="1608"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2"/>
                <w:sz w:val="24"/>
                <w:szCs w:val="24"/>
                <w:highlight w:val="none"/>
              </w:rPr>
              <w:t>表</w:t>
            </w:r>
            <w:r>
              <w:rPr>
                <w:rFonts w:hint="default" w:ascii="Times New Roman" w:hAnsi="Times New Roman" w:eastAsia="Times New Roman" w:cs="Times New Roman"/>
                <w:b/>
                <w:bCs/>
                <w:color w:val="auto"/>
                <w:spacing w:val="-2"/>
                <w:sz w:val="24"/>
                <w:szCs w:val="24"/>
                <w:highlight w:val="none"/>
              </w:rPr>
              <w:t>10</w:t>
            </w:r>
            <w:r>
              <w:rPr>
                <w:rFonts w:hint="default" w:ascii="Times New Roman" w:hAnsi="Times New Roman" w:eastAsia="宋体" w:cs="Times New Roman"/>
                <w:b/>
                <w:bCs/>
                <w:color w:val="auto"/>
                <w:spacing w:val="-2"/>
                <w:sz w:val="24"/>
                <w:szCs w:val="24"/>
                <w:highlight w:val="none"/>
                <w:lang w:val="en-US" w:eastAsia="zh-CN"/>
              </w:rPr>
              <w:t>-</w:t>
            </w:r>
            <w:r>
              <w:rPr>
                <w:rFonts w:hint="eastAsia" w:cs="Times New Roman"/>
                <w:b/>
                <w:bCs/>
                <w:color w:val="auto"/>
                <w:spacing w:val="-2"/>
                <w:sz w:val="24"/>
                <w:szCs w:val="24"/>
                <w:highlight w:val="none"/>
                <w:lang w:val="en-US" w:eastAsia="zh-CN"/>
              </w:rPr>
              <w:t>15</w:t>
            </w:r>
            <w:r>
              <w:rPr>
                <w:rFonts w:hint="default" w:ascii="Times New Roman" w:hAnsi="Times New Roman" w:eastAsia="宋体" w:cs="Times New Roman"/>
                <w:b/>
                <w:bCs/>
                <w:color w:val="auto"/>
                <w:spacing w:val="-2"/>
                <w:sz w:val="24"/>
                <w:szCs w:val="24"/>
                <w:highlight w:val="none"/>
                <w:lang w:val="en-US" w:eastAsia="zh-CN"/>
              </w:rPr>
              <w:t xml:space="preserve">  </w:t>
            </w:r>
            <w:r>
              <w:rPr>
                <w:rFonts w:hint="default" w:ascii="Times New Roman" w:hAnsi="Times New Roman" w:eastAsia="宋体" w:cs="Times New Roman"/>
                <w:b/>
                <w:bCs/>
                <w:color w:val="auto"/>
                <w:spacing w:val="-2"/>
                <w:sz w:val="24"/>
                <w:szCs w:val="24"/>
                <w:highlight w:val="none"/>
              </w:rPr>
              <w:t>工作场所的室内表面及装</w:t>
            </w:r>
            <w:r>
              <w:rPr>
                <w:rFonts w:hint="default" w:ascii="Times New Roman" w:hAnsi="Times New Roman" w:eastAsia="宋体" w:cs="Times New Roman"/>
                <w:b/>
                <w:bCs/>
                <w:color w:val="auto"/>
                <w:spacing w:val="-3"/>
                <w:sz w:val="24"/>
                <w:szCs w:val="24"/>
                <w:highlight w:val="none"/>
              </w:rPr>
              <w:t>备结构要求</w:t>
            </w:r>
          </w:p>
          <w:tbl>
            <w:tblPr>
              <w:tblStyle w:val="30"/>
              <w:tblW w:w="9079" w:type="dxa"/>
              <w:tblInd w:w="98"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680"/>
              <w:gridCol w:w="2717"/>
              <w:gridCol w:w="2717"/>
              <w:gridCol w:w="1965"/>
            </w:tblGrid>
            <w:tr w14:paraId="106F31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680" w:type="dxa"/>
                  <w:vMerge w:val="restart"/>
                  <w:tcBorders>
                    <w:tl2br w:val="nil"/>
                    <w:tr2bl w:val="nil"/>
                  </w:tcBorders>
                  <w:vAlign w:val="top"/>
                </w:tcPr>
                <w:p w14:paraId="59C85E5E">
                  <w:pPr>
                    <w:keepNext w:val="0"/>
                    <w:keepLines w:val="0"/>
                    <w:suppressLineNumbers w:val="0"/>
                    <w:spacing w:before="287" w:beforeAutospacing="0" w:after="0" w:afterAutospacing="0" w:line="228" w:lineRule="auto"/>
                    <w:ind w:left="628"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3"/>
                      <w:sz w:val="20"/>
                      <w:szCs w:val="20"/>
                      <w:highlight w:val="none"/>
                    </w:rPr>
                    <w:t>种类</w:t>
                  </w:r>
                </w:p>
              </w:tc>
              <w:tc>
                <w:tcPr>
                  <w:tcW w:w="7399" w:type="dxa"/>
                  <w:gridSpan w:val="3"/>
                  <w:tcBorders>
                    <w:tl2br w:val="nil"/>
                    <w:tr2bl w:val="nil"/>
                  </w:tcBorders>
                  <w:vAlign w:val="top"/>
                </w:tcPr>
                <w:p w14:paraId="0E16C3CB">
                  <w:pPr>
                    <w:keepNext w:val="0"/>
                    <w:keepLines w:val="0"/>
                    <w:suppressLineNumbers w:val="0"/>
                    <w:spacing w:before="91" w:beforeAutospacing="0" w:after="0" w:afterAutospacing="0" w:line="228" w:lineRule="auto"/>
                    <w:ind w:left="3469"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2"/>
                      <w:sz w:val="20"/>
                      <w:szCs w:val="20"/>
                      <w:highlight w:val="none"/>
                    </w:rPr>
                    <w:t>分类</w:t>
                  </w:r>
                </w:p>
              </w:tc>
            </w:tr>
            <w:tr w14:paraId="38D2F2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1680" w:type="dxa"/>
                  <w:vMerge w:val="continue"/>
                  <w:tcBorders>
                    <w:tl2br w:val="nil"/>
                    <w:tr2bl w:val="nil"/>
                  </w:tcBorders>
                  <w:vAlign w:val="top"/>
                </w:tcPr>
                <w:p w14:paraId="2ACB5862">
                  <w:pPr>
                    <w:pStyle w:val="43"/>
                    <w:keepNext w:val="0"/>
                    <w:keepLines w:val="0"/>
                    <w:suppressLineNumbers w:val="0"/>
                    <w:spacing w:before="0" w:beforeAutospacing="0" w:after="0" w:afterAutospacing="0"/>
                    <w:ind w:left="0" w:right="0"/>
                    <w:rPr>
                      <w:rFonts w:hint="default" w:ascii="Times New Roman" w:hAnsi="Times New Roman" w:cs="Times New Roman"/>
                      <w:color w:val="auto"/>
                      <w:highlight w:val="none"/>
                    </w:rPr>
                  </w:pPr>
                </w:p>
              </w:tc>
              <w:tc>
                <w:tcPr>
                  <w:tcW w:w="2717" w:type="dxa"/>
                  <w:tcBorders>
                    <w:tl2br w:val="nil"/>
                    <w:tr2bl w:val="nil"/>
                  </w:tcBorders>
                  <w:vAlign w:val="top"/>
                </w:tcPr>
                <w:p w14:paraId="0A2BE7ED">
                  <w:pPr>
                    <w:keepNext w:val="0"/>
                    <w:keepLines w:val="0"/>
                    <w:suppressLineNumbers w:val="0"/>
                    <w:spacing w:before="127" w:beforeAutospacing="0" w:after="0" w:afterAutospacing="0" w:line="192" w:lineRule="auto"/>
                    <w:ind w:left="1309" w:right="0"/>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b/>
                      <w:bCs/>
                      <w:color w:val="auto"/>
                      <w:sz w:val="20"/>
                      <w:szCs w:val="20"/>
                      <w:highlight w:val="none"/>
                    </w:rPr>
                    <w:t>Ⅰ</w:t>
                  </w:r>
                </w:p>
              </w:tc>
              <w:tc>
                <w:tcPr>
                  <w:tcW w:w="2717" w:type="dxa"/>
                  <w:tcBorders>
                    <w:tl2br w:val="nil"/>
                    <w:tr2bl w:val="nil"/>
                  </w:tcBorders>
                  <w:vAlign w:val="top"/>
                </w:tcPr>
                <w:p w14:paraId="2DDB370D">
                  <w:pPr>
                    <w:keepNext w:val="0"/>
                    <w:keepLines w:val="0"/>
                    <w:suppressLineNumbers w:val="0"/>
                    <w:spacing w:before="127" w:beforeAutospacing="0" w:after="0" w:afterAutospacing="0" w:line="192" w:lineRule="auto"/>
                    <w:ind w:left="1272" w:right="0"/>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b/>
                      <w:bCs/>
                      <w:color w:val="auto"/>
                      <w:spacing w:val="2"/>
                      <w:sz w:val="20"/>
                      <w:szCs w:val="20"/>
                      <w:highlight w:val="none"/>
                    </w:rPr>
                    <w:t>Ⅱ</w:t>
                  </w:r>
                </w:p>
              </w:tc>
              <w:tc>
                <w:tcPr>
                  <w:tcW w:w="1965" w:type="dxa"/>
                  <w:tcBorders>
                    <w:tl2br w:val="nil"/>
                    <w:tr2bl w:val="nil"/>
                  </w:tcBorders>
                  <w:vAlign w:val="top"/>
                </w:tcPr>
                <w:p w14:paraId="14F7CF61">
                  <w:pPr>
                    <w:keepNext w:val="0"/>
                    <w:keepLines w:val="0"/>
                    <w:suppressLineNumbers w:val="0"/>
                    <w:spacing w:before="127" w:beforeAutospacing="0" w:after="0" w:afterAutospacing="0" w:line="192" w:lineRule="auto"/>
                    <w:ind w:left="858" w:right="0"/>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b/>
                      <w:bCs/>
                      <w:color w:val="auto"/>
                      <w:spacing w:val="5"/>
                      <w:sz w:val="20"/>
                      <w:szCs w:val="20"/>
                      <w:highlight w:val="none"/>
                    </w:rPr>
                    <w:t>Ⅲ</w:t>
                  </w:r>
                </w:p>
              </w:tc>
            </w:tr>
            <w:tr w14:paraId="1D5755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1680" w:type="dxa"/>
                  <w:tcBorders>
                    <w:tl2br w:val="nil"/>
                    <w:tr2bl w:val="nil"/>
                  </w:tcBorders>
                  <w:vAlign w:val="top"/>
                </w:tcPr>
                <w:p w14:paraId="1F61E709">
                  <w:pPr>
                    <w:keepNext w:val="0"/>
                    <w:keepLines w:val="0"/>
                    <w:suppressLineNumbers w:val="0"/>
                    <w:spacing w:before="89" w:beforeAutospacing="0" w:after="0" w:afterAutospacing="0" w:line="228" w:lineRule="auto"/>
                    <w:ind w:left="424"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5"/>
                      <w:sz w:val="20"/>
                      <w:szCs w:val="20"/>
                      <w:highlight w:val="none"/>
                    </w:rPr>
                    <w:t>结构屏蔽</w:t>
                  </w:r>
                </w:p>
              </w:tc>
              <w:tc>
                <w:tcPr>
                  <w:tcW w:w="2717" w:type="dxa"/>
                  <w:tcBorders>
                    <w:tl2br w:val="nil"/>
                    <w:tr2bl w:val="nil"/>
                  </w:tcBorders>
                  <w:vAlign w:val="top"/>
                </w:tcPr>
                <w:p w14:paraId="155F691D">
                  <w:pPr>
                    <w:keepNext w:val="0"/>
                    <w:keepLines w:val="0"/>
                    <w:suppressLineNumbers w:val="0"/>
                    <w:spacing w:before="89" w:beforeAutospacing="0" w:after="0" w:afterAutospacing="0" w:line="228" w:lineRule="auto"/>
                    <w:ind w:left="1154"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1"/>
                      <w:sz w:val="20"/>
                      <w:szCs w:val="20"/>
                      <w:highlight w:val="none"/>
                    </w:rPr>
                    <w:t>需要</w:t>
                  </w:r>
                </w:p>
              </w:tc>
              <w:tc>
                <w:tcPr>
                  <w:tcW w:w="2717" w:type="dxa"/>
                  <w:tcBorders>
                    <w:tl2br w:val="nil"/>
                    <w:tr2bl w:val="nil"/>
                  </w:tcBorders>
                  <w:vAlign w:val="top"/>
                </w:tcPr>
                <w:p w14:paraId="7D631AD8">
                  <w:pPr>
                    <w:keepNext w:val="0"/>
                    <w:keepLines w:val="0"/>
                    <w:suppressLineNumbers w:val="0"/>
                    <w:spacing w:before="89" w:beforeAutospacing="0" w:after="0" w:afterAutospacing="0" w:line="228" w:lineRule="auto"/>
                    <w:ind w:left="1158"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1"/>
                      <w:sz w:val="20"/>
                      <w:szCs w:val="20"/>
                      <w:highlight w:val="none"/>
                    </w:rPr>
                    <w:t>需要</w:t>
                  </w:r>
                </w:p>
              </w:tc>
              <w:tc>
                <w:tcPr>
                  <w:tcW w:w="1965" w:type="dxa"/>
                  <w:tcBorders>
                    <w:tl2br w:val="nil"/>
                    <w:tr2bl w:val="nil"/>
                  </w:tcBorders>
                  <w:vAlign w:val="top"/>
                </w:tcPr>
                <w:p w14:paraId="569E373C">
                  <w:pPr>
                    <w:keepNext w:val="0"/>
                    <w:keepLines w:val="0"/>
                    <w:suppressLineNumbers w:val="0"/>
                    <w:spacing w:before="89" w:beforeAutospacing="0" w:after="0" w:afterAutospacing="0" w:line="228" w:lineRule="auto"/>
                    <w:ind w:left="668"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5"/>
                      <w:sz w:val="20"/>
                      <w:szCs w:val="20"/>
                      <w:highlight w:val="none"/>
                    </w:rPr>
                    <w:t>不需要</w:t>
                  </w:r>
                </w:p>
              </w:tc>
            </w:tr>
            <w:tr w14:paraId="719724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1680" w:type="dxa"/>
                  <w:tcBorders>
                    <w:tl2br w:val="nil"/>
                    <w:tr2bl w:val="nil"/>
                  </w:tcBorders>
                  <w:vAlign w:val="top"/>
                </w:tcPr>
                <w:p w14:paraId="21D302B5">
                  <w:pPr>
                    <w:keepNext w:val="0"/>
                    <w:keepLines w:val="0"/>
                    <w:suppressLineNumbers w:val="0"/>
                    <w:spacing w:before="80" w:beforeAutospacing="0" w:after="0" w:afterAutospacing="0" w:line="229" w:lineRule="auto"/>
                    <w:ind w:left="628"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3"/>
                      <w:sz w:val="20"/>
                      <w:szCs w:val="20"/>
                      <w:highlight w:val="none"/>
                    </w:rPr>
                    <w:t>地面</w:t>
                  </w:r>
                </w:p>
              </w:tc>
              <w:tc>
                <w:tcPr>
                  <w:tcW w:w="2717" w:type="dxa"/>
                  <w:tcBorders>
                    <w:tl2br w:val="nil"/>
                    <w:tr2bl w:val="nil"/>
                  </w:tcBorders>
                  <w:vAlign w:val="top"/>
                </w:tcPr>
                <w:p w14:paraId="48C0FCCA">
                  <w:pPr>
                    <w:keepNext w:val="0"/>
                    <w:keepLines w:val="0"/>
                    <w:suppressLineNumbers w:val="0"/>
                    <w:spacing w:before="81" w:beforeAutospacing="0" w:after="0" w:afterAutospacing="0" w:line="228" w:lineRule="auto"/>
                    <w:ind w:left="518"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8"/>
                      <w:sz w:val="20"/>
                      <w:szCs w:val="20"/>
                      <w:highlight w:val="none"/>
                    </w:rPr>
                    <w:t>与墙壁接缝无缝隙</w:t>
                  </w:r>
                </w:p>
              </w:tc>
              <w:tc>
                <w:tcPr>
                  <w:tcW w:w="2717" w:type="dxa"/>
                  <w:tcBorders>
                    <w:tl2br w:val="nil"/>
                    <w:tr2bl w:val="nil"/>
                  </w:tcBorders>
                  <w:vAlign w:val="top"/>
                </w:tcPr>
                <w:p w14:paraId="0760C93D">
                  <w:pPr>
                    <w:keepNext w:val="0"/>
                    <w:keepLines w:val="0"/>
                    <w:suppressLineNumbers w:val="0"/>
                    <w:spacing w:before="81" w:beforeAutospacing="0" w:after="0" w:afterAutospacing="0" w:line="228" w:lineRule="auto"/>
                    <w:ind w:left="519"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8"/>
                      <w:sz w:val="20"/>
                      <w:szCs w:val="20"/>
                      <w:highlight w:val="none"/>
                    </w:rPr>
                    <w:t>与墙壁接缝无缝隙</w:t>
                  </w:r>
                </w:p>
              </w:tc>
              <w:tc>
                <w:tcPr>
                  <w:tcW w:w="1965" w:type="dxa"/>
                  <w:tcBorders>
                    <w:tl2br w:val="nil"/>
                    <w:tr2bl w:val="nil"/>
                  </w:tcBorders>
                  <w:vAlign w:val="top"/>
                </w:tcPr>
                <w:p w14:paraId="4EC5CD50">
                  <w:pPr>
                    <w:keepNext w:val="0"/>
                    <w:keepLines w:val="0"/>
                    <w:suppressLineNumbers w:val="0"/>
                    <w:spacing w:before="81" w:beforeAutospacing="0" w:after="0" w:afterAutospacing="0" w:line="228" w:lineRule="auto"/>
                    <w:ind w:left="679"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2"/>
                      <w:sz w:val="20"/>
                      <w:szCs w:val="20"/>
                      <w:highlight w:val="none"/>
                    </w:rPr>
                    <w:t>易清洗</w:t>
                  </w:r>
                </w:p>
              </w:tc>
            </w:tr>
            <w:tr w14:paraId="289C37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680" w:type="dxa"/>
                  <w:tcBorders>
                    <w:tl2br w:val="nil"/>
                    <w:tr2bl w:val="nil"/>
                  </w:tcBorders>
                  <w:vAlign w:val="top"/>
                </w:tcPr>
                <w:p w14:paraId="1364614F">
                  <w:pPr>
                    <w:keepNext w:val="0"/>
                    <w:keepLines w:val="0"/>
                    <w:suppressLineNumbers w:val="0"/>
                    <w:spacing w:before="88" w:beforeAutospacing="0" w:after="0" w:afterAutospacing="0" w:line="229" w:lineRule="auto"/>
                    <w:ind w:left="627"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4"/>
                      <w:sz w:val="20"/>
                      <w:szCs w:val="20"/>
                      <w:highlight w:val="none"/>
                    </w:rPr>
                    <w:t>表面</w:t>
                  </w:r>
                </w:p>
              </w:tc>
              <w:tc>
                <w:tcPr>
                  <w:tcW w:w="2717" w:type="dxa"/>
                  <w:tcBorders>
                    <w:tl2br w:val="nil"/>
                    <w:tr2bl w:val="nil"/>
                  </w:tcBorders>
                  <w:vAlign w:val="top"/>
                </w:tcPr>
                <w:p w14:paraId="23F7CEAF">
                  <w:pPr>
                    <w:keepNext w:val="0"/>
                    <w:keepLines w:val="0"/>
                    <w:suppressLineNumbers w:val="0"/>
                    <w:spacing w:before="88" w:beforeAutospacing="0" w:after="0" w:afterAutospacing="0" w:line="228" w:lineRule="auto"/>
                    <w:ind w:left="1051"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2"/>
                      <w:sz w:val="20"/>
                      <w:szCs w:val="20"/>
                      <w:highlight w:val="none"/>
                    </w:rPr>
                    <w:t>易清洗</w:t>
                  </w:r>
                </w:p>
              </w:tc>
              <w:tc>
                <w:tcPr>
                  <w:tcW w:w="2717" w:type="dxa"/>
                  <w:tcBorders>
                    <w:tl2br w:val="nil"/>
                    <w:tr2bl w:val="nil"/>
                  </w:tcBorders>
                  <w:vAlign w:val="top"/>
                </w:tcPr>
                <w:p w14:paraId="0AF8E1B5">
                  <w:pPr>
                    <w:keepNext w:val="0"/>
                    <w:keepLines w:val="0"/>
                    <w:suppressLineNumbers w:val="0"/>
                    <w:spacing w:before="88" w:beforeAutospacing="0" w:after="0" w:afterAutospacing="0" w:line="228" w:lineRule="auto"/>
                    <w:ind w:left="1054"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2"/>
                      <w:sz w:val="20"/>
                      <w:szCs w:val="20"/>
                      <w:highlight w:val="none"/>
                    </w:rPr>
                    <w:t>易清洗</w:t>
                  </w:r>
                </w:p>
              </w:tc>
              <w:tc>
                <w:tcPr>
                  <w:tcW w:w="1965" w:type="dxa"/>
                  <w:tcBorders>
                    <w:tl2br w:val="nil"/>
                    <w:tr2bl w:val="nil"/>
                  </w:tcBorders>
                  <w:vAlign w:val="top"/>
                </w:tcPr>
                <w:p w14:paraId="5B606DC9">
                  <w:pPr>
                    <w:keepNext w:val="0"/>
                    <w:keepLines w:val="0"/>
                    <w:suppressLineNumbers w:val="0"/>
                    <w:spacing w:before="88" w:beforeAutospacing="0" w:after="0" w:afterAutospacing="0" w:line="228" w:lineRule="auto"/>
                    <w:ind w:left="679"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2"/>
                      <w:sz w:val="20"/>
                      <w:szCs w:val="20"/>
                      <w:highlight w:val="none"/>
                    </w:rPr>
                    <w:t>易清洗</w:t>
                  </w:r>
                </w:p>
              </w:tc>
            </w:tr>
            <w:tr w14:paraId="7E75F9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1680" w:type="dxa"/>
                  <w:tcBorders>
                    <w:tl2br w:val="nil"/>
                    <w:tr2bl w:val="nil"/>
                  </w:tcBorders>
                  <w:vAlign w:val="top"/>
                </w:tcPr>
                <w:p w14:paraId="39DF9778">
                  <w:pPr>
                    <w:keepNext w:val="0"/>
                    <w:keepLines w:val="0"/>
                    <w:suppressLineNumbers w:val="0"/>
                    <w:spacing w:before="90" w:beforeAutospacing="0" w:after="0" w:afterAutospacing="0" w:line="228" w:lineRule="auto"/>
                    <w:ind w:left="525"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4"/>
                      <w:sz w:val="20"/>
                      <w:szCs w:val="20"/>
                      <w:highlight w:val="none"/>
                    </w:rPr>
                    <w:t>分装柜</w:t>
                  </w:r>
                </w:p>
              </w:tc>
              <w:tc>
                <w:tcPr>
                  <w:tcW w:w="2717" w:type="dxa"/>
                  <w:tcBorders>
                    <w:tl2br w:val="nil"/>
                    <w:tr2bl w:val="nil"/>
                  </w:tcBorders>
                  <w:vAlign w:val="top"/>
                </w:tcPr>
                <w:p w14:paraId="2FBDCA05">
                  <w:pPr>
                    <w:keepNext w:val="0"/>
                    <w:keepLines w:val="0"/>
                    <w:suppressLineNumbers w:val="0"/>
                    <w:spacing w:before="90" w:beforeAutospacing="0" w:after="0" w:afterAutospacing="0" w:line="228" w:lineRule="auto"/>
                    <w:ind w:left="1154"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1"/>
                      <w:sz w:val="20"/>
                      <w:szCs w:val="20"/>
                      <w:highlight w:val="none"/>
                    </w:rPr>
                    <w:t>需要</w:t>
                  </w:r>
                </w:p>
              </w:tc>
              <w:tc>
                <w:tcPr>
                  <w:tcW w:w="2717" w:type="dxa"/>
                  <w:tcBorders>
                    <w:tl2br w:val="nil"/>
                    <w:tr2bl w:val="nil"/>
                  </w:tcBorders>
                  <w:vAlign w:val="top"/>
                </w:tcPr>
                <w:p w14:paraId="1D29344A">
                  <w:pPr>
                    <w:keepNext w:val="0"/>
                    <w:keepLines w:val="0"/>
                    <w:suppressLineNumbers w:val="0"/>
                    <w:spacing w:before="90" w:beforeAutospacing="0" w:after="0" w:afterAutospacing="0" w:line="228" w:lineRule="auto"/>
                    <w:ind w:left="1158"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1"/>
                      <w:sz w:val="20"/>
                      <w:szCs w:val="20"/>
                      <w:highlight w:val="none"/>
                    </w:rPr>
                    <w:t>需要</w:t>
                  </w:r>
                </w:p>
              </w:tc>
              <w:tc>
                <w:tcPr>
                  <w:tcW w:w="1965" w:type="dxa"/>
                  <w:tcBorders>
                    <w:tl2br w:val="nil"/>
                    <w:tr2bl w:val="nil"/>
                  </w:tcBorders>
                  <w:vAlign w:val="top"/>
                </w:tcPr>
                <w:p w14:paraId="609E9909">
                  <w:pPr>
                    <w:keepNext w:val="0"/>
                    <w:keepLines w:val="0"/>
                    <w:suppressLineNumbers w:val="0"/>
                    <w:spacing w:before="90" w:beforeAutospacing="0" w:after="0" w:afterAutospacing="0" w:line="228" w:lineRule="auto"/>
                    <w:ind w:left="668"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5"/>
                      <w:sz w:val="20"/>
                      <w:szCs w:val="20"/>
                      <w:highlight w:val="none"/>
                    </w:rPr>
                    <w:t>不必须</w:t>
                  </w:r>
                </w:p>
              </w:tc>
            </w:tr>
            <w:tr w14:paraId="29EBA3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680" w:type="dxa"/>
                  <w:tcBorders>
                    <w:tl2br w:val="nil"/>
                    <w:tr2bl w:val="nil"/>
                  </w:tcBorders>
                  <w:vAlign w:val="top"/>
                </w:tcPr>
                <w:p w14:paraId="0E521B1D">
                  <w:pPr>
                    <w:keepNext w:val="0"/>
                    <w:keepLines w:val="0"/>
                    <w:suppressLineNumbers w:val="0"/>
                    <w:spacing w:before="89" w:beforeAutospacing="0" w:after="0" w:afterAutospacing="0" w:line="228" w:lineRule="auto"/>
                    <w:ind w:left="628"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3"/>
                      <w:sz w:val="20"/>
                      <w:szCs w:val="20"/>
                      <w:highlight w:val="none"/>
                    </w:rPr>
                    <w:t>通风</w:t>
                  </w:r>
                </w:p>
              </w:tc>
              <w:tc>
                <w:tcPr>
                  <w:tcW w:w="2717" w:type="dxa"/>
                  <w:tcBorders>
                    <w:tl2br w:val="nil"/>
                    <w:tr2bl w:val="nil"/>
                  </w:tcBorders>
                  <w:vAlign w:val="top"/>
                </w:tcPr>
                <w:p w14:paraId="5AA4E093">
                  <w:pPr>
                    <w:keepNext w:val="0"/>
                    <w:keepLines w:val="0"/>
                    <w:suppressLineNumbers w:val="0"/>
                    <w:spacing w:before="88" w:beforeAutospacing="0" w:after="0" w:afterAutospacing="0" w:line="228" w:lineRule="auto"/>
                    <w:ind w:left="617"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8"/>
                      <w:sz w:val="20"/>
                      <w:szCs w:val="20"/>
                      <w:highlight w:val="none"/>
                    </w:rPr>
                    <w:t>特殊的强制通风</w:t>
                  </w:r>
                </w:p>
              </w:tc>
              <w:tc>
                <w:tcPr>
                  <w:tcW w:w="2717" w:type="dxa"/>
                  <w:tcBorders>
                    <w:tl2br w:val="nil"/>
                    <w:tr2bl w:val="nil"/>
                  </w:tcBorders>
                  <w:vAlign w:val="top"/>
                </w:tcPr>
                <w:p w14:paraId="2EC89F63">
                  <w:pPr>
                    <w:keepNext w:val="0"/>
                    <w:keepLines w:val="0"/>
                    <w:suppressLineNumbers w:val="0"/>
                    <w:spacing w:before="88" w:beforeAutospacing="0" w:after="0" w:afterAutospacing="0" w:line="228" w:lineRule="auto"/>
                    <w:ind w:left="968"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1"/>
                      <w:sz w:val="20"/>
                      <w:szCs w:val="20"/>
                      <w:highlight w:val="none"/>
                    </w:rPr>
                    <w:t>良好通风</w:t>
                  </w:r>
                </w:p>
              </w:tc>
              <w:tc>
                <w:tcPr>
                  <w:tcW w:w="1965" w:type="dxa"/>
                  <w:tcBorders>
                    <w:tl2br w:val="nil"/>
                    <w:tr2bl w:val="nil"/>
                  </w:tcBorders>
                  <w:vAlign w:val="top"/>
                </w:tcPr>
                <w:p w14:paraId="52A48429">
                  <w:pPr>
                    <w:keepNext w:val="0"/>
                    <w:keepLines w:val="0"/>
                    <w:suppressLineNumbers w:val="0"/>
                    <w:spacing w:before="89" w:beforeAutospacing="0" w:after="0" w:afterAutospacing="0" w:line="228" w:lineRule="auto"/>
                    <w:ind w:left="354"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7"/>
                      <w:sz w:val="20"/>
                      <w:szCs w:val="20"/>
                      <w:highlight w:val="none"/>
                    </w:rPr>
                    <w:t>一般自然通风</w:t>
                  </w:r>
                </w:p>
              </w:tc>
            </w:tr>
            <w:tr w14:paraId="0B887C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680" w:type="dxa"/>
                  <w:tcBorders>
                    <w:tl2br w:val="nil"/>
                    <w:tr2bl w:val="nil"/>
                  </w:tcBorders>
                  <w:vAlign w:val="top"/>
                </w:tcPr>
                <w:p w14:paraId="083C0E72">
                  <w:pPr>
                    <w:keepNext w:val="0"/>
                    <w:keepLines w:val="0"/>
                    <w:suppressLineNumbers w:val="0"/>
                    <w:spacing w:before="97" w:beforeAutospacing="0" w:after="0" w:afterAutospacing="0" w:line="228" w:lineRule="auto"/>
                    <w:ind w:left="633"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1"/>
                      <w:sz w:val="20"/>
                      <w:szCs w:val="20"/>
                      <w:highlight w:val="none"/>
                    </w:rPr>
                    <w:t>管道</w:t>
                  </w:r>
                </w:p>
              </w:tc>
              <w:tc>
                <w:tcPr>
                  <w:tcW w:w="2717" w:type="dxa"/>
                  <w:tcBorders>
                    <w:tl2br w:val="nil"/>
                    <w:tr2bl w:val="nil"/>
                  </w:tcBorders>
                  <w:vAlign w:val="top"/>
                </w:tcPr>
                <w:p w14:paraId="1A47CC08">
                  <w:pPr>
                    <w:keepNext w:val="0"/>
                    <w:keepLines w:val="0"/>
                    <w:suppressLineNumbers w:val="0"/>
                    <w:spacing w:before="97" w:beforeAutospacing="0" w:after="0" w:afterAutospacing="0" w:line="228" w:lineRule="auto"/>
                    <w:ind w:left="773" w:right="0"/>
                    <w:rPr>
                      <w:rFonts w:hint="default" w:ascii="Times New Roman" w:hAnsi="Times New Roman" w:eastAsia="Times New Roman" w:cs="Times New Roman"/>
                      <w:color w:val="auto"/>
                      <w:sz w:val="13"/>
                      <w:szCs w:val="13"/>
                      <w:highlight w:val="none"/>
                    </w:rPr>
                  </w:pPr>
                  <w:r>
                    <w:rPr>
                      <w:rFonts w:hint="default" w:ascii="Times New Roman" w:hAnsi="Times New Roman" w:eastAsia="宋体" w:cs="Times New Roman"/>
                      <w:color w:val="auto"/>
                      <w:spacing w:val="6"/>
                      <w:sz w:val="20"/>
                      <w:szCs w:val="20"/>
                      <w:highlight w:val="none"/>
                    </w:rPr>
                    <w:t>特殊的管道</w:t>
                  </w:r>
                  <w:r>
                    <w:rPr>
                      <w:rFonts w:hint="default" w:ascii="Times New Roman" w:hAnsi="Times New Roman" w:eastAsia="Times New Roman" w:cs="Times New Roman"/>
                      <w:color w:val="auto"/>
                      <w:spacing w:val="6"/>
                      <w:position w:val="6"/>
                      <w:sz w:val="13"/>
                      <w:szCs w:val="13"/>
                      <w:highlight w:val="none"/>
                    </w:rPr>
                    <w:t>a</w:t>
                  </w:r>
                </w:p>
              </w:tc>
              <w:tc>
                <w:tcPr>
                  <w:tcW w:w="2717" w:type="dxa"/>
                  <w:tcBorders>
                    <w:tl2br w:val="nil"/>
                    <w:tr2bl w:val="nil"/>
                  </w:tcBorders>
                  <w:vAlign w:val="top"/>
                </w:tcPr>
                <w:p w14:paraId="13D71ED5">
                  <w:pPr>
                    <w:keepNext w:val="0"/>
                    <w:keepLines w:val="0"/>
                    <w:suppressLineNumbers w:val="0"/>
                    <w:spacing w:before="97" w:beforeAutospacing="0" w:after="0" w:afterAutospacing="0" w:line="228" w:lineRule="auto"/>
                    <w:ind w:left="934"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7"/>
                      <w:sz w:val="20"/>
                      <w:szCs w:val="20"/>
                      <w:highlight w:val="none"/>
                    </w:rPr>
                    <w:t>普通管道</w:t>
                  </w:r>
                </w:p>
              </w:tc>
              <w:tc>
                <w:tcPr>
                  <w:tcW w:w="1965" w:type="dxa"/>
                  <w:tcBorders>
                    <w:tl2br w:val="nil"/>
                    <w:tr2bl w:val="nil"/>
                  </w:tcBorders>
                  <w:vAlign w:val="top"/>
                </w:tcPr>
                <w:p w14:paraId="5639C2A7">
                  <w:pPr>
                    <w:keepNext w:val="0"/>
                    <w:keepLines w:val="0"/>
                    <w:suppressLineNumbers w:val="0"/>
                    <w:spacing w:before="97" w:beforeAutospacing="0" w:after="0" w:afterAutospacing="0" w:line="228" w:lineRule="auto"/>
                    <w:ind w:left="558"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7"/>
                      <w:sz w:val="20"/>
                      <w:szCs w:val="20"/>
                      <w:highlight w:val="none"/>
                    </w:rPr>
                    <w:t>普通管道</w:t>
                  </w:r>
                </w:p>
              </w:tc>
            </w:tr>
            <w:tr w14:paraId="745812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680" w:type="dxa"/>
                  <w:tcBorders>
                    <w:tl2br w:val="nil"/>
                    <w:tr2bl w:val="nil"/>
                  </w:tcBorders>
                  <w:vAlign w:val="top"/>
                </w:tcPr>
                <w:p w14:paraId="223D08FA">
                  <w:pPr>
                    <w:keepNext w:val="0"/>
                    <w:keepLines w:val="0"/>
                    <w:suppressLineNumbers w:val="0"/>
                    <w:spacing w:before="99" w:beforeAutospacing="0" w:after="0" w:afterAutospacing="0" w:line="229" w:lineRule="auto"/>
                    <w:ind w:left="313"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盥洗与去污</w:t>
                  </w:r>
                </w:p>
              </w:tc>
              <w:tc>
                <w:tcPr>
                  <w:tcW w:w="2717" w:type="dxa"/>
                  <w:tcBorders>
                    <w:tl2br w:val="nil"/>
                    <w:tr2bl w:val="nil"/>
                  </w:tcBorders>
                  <w:vAlign w:val="top"/>
                </w:tcPr>
                <w:p w14:paraId="0DA9963E">
                  <w:pPr>
                    <w:keepNext w:val="0"/>
                    <w:keepLines w:val="0"/>
                    <w:suppressLineNumbers w:val="0"/>
                    <w:spacing w:before="100" w:beforeAutospacing="0" w:after="0" w:afterAutospacing="0" w:line="228" w:lineRule="auto"/>
                    <w:ind w:left="436"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7"/>
                      <w:sz w:val="20"/>
                      <w:szCs w:val="20"/>
                      <w:highlight w:val="none"/>
                    </w:rPr>
                    <w:t>洗手盆</w:t>
                  </w:r>
                  <w:r>
                    <w:rPr>
                      <w:rFonts w:hint="default" w:ascii="Times New Roman" w:hAnsi="Times New Roman" w:eastAsia="Times New Roman" w:cs="Times New Roman"/>
                      <w:color w:val="auto"/>
                      <w:spacing w:val="7"/>
                      <w:position w:val="6"/>
                      <w:sz w:val="13"/>
                      <w:szCs w:val="13"/>
                      <w:highlight w:val="none"/>
                    </w:rPr>
                    <w:t>b</w:t>
                  </w:r>
                  <w:r>
                    <w:rPr>
                      <w:rFonts w:hint="default" w:ascii="Times New Roman" w:hAnsi="Times New Roman" w:eastAsia="宋体" w:cs="Times New Roman"/>
                      <w:color w:val="auto"/>
                      <w:spacing w:val="7"/>
                      <w:sz w:val="20"/>
                      <w:szCs w:val="20"/>
                      <w:highlight w:val="none"/>
                    </w:rPr>
                    <w:t>和去污设备</w:t>
                  </w:r>
                </w:p>
              </w:tc>
              <w:tc>
                <w:tcPr>
                  <w:tcW w:w="2717" w:type="dxa"/>
                  <w:tcBorders>
                    <w:tl2br w:val="nil"/>
                    <w:tr2bl w:val="nil"/>
                  </w:tcBorders>
                  <w:vAlign w:val="top"/>
                </w:tcPr>
                <w:p w14:paraId="06212ABE">
                  <w:pPr>
                    <w:keepNext w:val="0"/>
                    <w:keepLines w:val="0"/>
                    <w:suppressLineNumbers w:val="0"/>
                    <w:spacing w:before="100" w:beforeAutospacing="0" w:after="0" w:afterAutospacing="0" w:line="228" w:lineRule="auto"/>
                    <w:ind w:left="437"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7"/>
                      <w:sz w:val="20"/>
                      <w:szCs w:val="20"/>
                      <w:highlight w:val="none"/>
                    </w:rPr>
                    <w:t>洗手盆</w:t>
                  </w:r>
                  <w:r>
                    <w:rPr>
                      <w:rFonts w:hint="default" w:ascii="Times New Roman" w:hAnsi="Times New Roman" w:eastAsia="Times New Roman" w:cs="Times New Roman"/>
                      <w:color w:val="auto"/>
                      <w:spacing w:val="7"/>
                      <w:position w:val="6"/>
                      <w:sz w:val="13"/>
                      <w:szCs w:val="13"/>
                      <w:highlight w:val="none"/>
                    </w:rPr>
                    <w:t>b</w:t>
                  </w:r>
                  <w:r>
                    <w:rPr>
                      <w:rFonts w:hint="default" w:ascii="Times New Roman" w:hAnsi="Times New Roman" w:eastAsia="宋体" w:cs="Times New Roman"/>
                      <w:color w:val="auto"/>
                      <w:spacing w:val="7"/>
                      <w:sz w:val="20"/>
                      <w:szCs w:val="20"/>
                      <w:highlight w:val="none"/>
                    </w:rPr>
                    <w:t>和去污设备</w:t>
                  </w:r>
                </w:p>
              </w:tc>
              <w:tc>
                <w:tcPr>
                  <w:tcW w:w="1965" w:type="dxa"/>
                  <w:tcBorders>
                    <w:tl2br w:val="nil"/>
                    <w:tr2bl w:val="nil"/>
                  </w:tcBorders>
                  <w:vAlign w:val="top"/>
                </w:tcPr>
                <w:p w14:paraId="230E34C8">
                  <w:pPr>
                    <w:keepNext w:val="0"/>
                    <w:keepLines w:val="0"/>
                    <w:suppressLineNumbers w:val="0"/>
                    <w:spacing w:before="100" w:beforeAutospacing="0" w:after="0" w:afterAutospacing="0" w:line="228" w:lineRule="auto"/>
                    <w:ind w:left="604" w:right="0"/>
                    <w:rPr>
                      <w:rFonts w:hint="default" w:ascii="Times New Roman" w:hAnsi="Times New Roman" w:eastAsia="Times New Roman" w:cs="Times New Roman"/>
                      <w:color w:val="auto"/>
                      <w:sz w:val="13"/>
                      <w:szCs w:val="13"/>
                      <w:highlight w:val="none"/>
                    </w:rPr>
                  </w:pPr>
                  <w:r>
                    <w:rPr>
                      <w:rFonts w:hint="default" w:ascii="Times New Roman" w:hAnsi="Times New Roman" w:eastAsia="宋体" w:cs="Times New Roman"/>
                      <w:color w:val="auto"/>
                      <w:spacing w:val="6"/>
                      <w:sz w:val="20"/>
                      <w:szCs w:val="20"/>
                      <w:highlight w:val="none"/>
                    </w:rPr>
                    <w:t>洗手盆</w:t>
                  </w:r>
                  <w:r>
                    <w:rPr>
                      <w:rFonts w:hint="default" w:ascii="Times New Roman" w:hAnsi="Times New Roman" w:eastAsia="Times New Roman" w:cs="Times New Roman"/>
                      <w:color w:val="auto"/>
                      <w:spacing w:val="6"/>
                      <w:position w:val="6"/>
                      <w:sz w:val="13"/>
                      <w:szCs w:val="13"/>
                      <w:highlight w:val="none"/>
                    </w:rPr>
                    <w:t>b</w:t>
                  </w:r>
                </w:p>
              </w:tc>
            </w:tr>
            <w:tr w14:paraId="5F269C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9079" w:type="dxa"/>
                  <w:gridSpan w:val="4"/>
                  <w:tcBorders>
                    <w:tl2br w:val="nil"/>
                    <w:tr2bl w:val="nil"/>
                  </w:tcBorders>
                  <w:vAlign w:val="top"/>
                </w:tcPr>
                <w:p w14:paraId="7F4508BC">
                  <w:pPr>
                    <w:keepNext w:val="0"/>
                    <w:keepLines w:val="0"/>
                    <w:suppressLineNumbers w:val="0"/>
                    <w:spacing w:before="33" w:beforeAutospacing="0" w:after="0" w:afterAutospacing="0" w:line="219" w:lineRule="auto"/>
                    <w:ind w:left="110" w:right="0"/>
                    <w:rPr>
                      <w:rFonts w:hint="default" w:ascii="Times New Roman" w:hAnsi="Times New Roman" w:eastAsia="宋体" w:cs="Times New Roman"/>
                      <w:color w:val="auto"/>
                      <w:sz w:val="18"/>
                      <w:szCs w:val="18"/>
                      <w:highlight w:val="none"/>
                    </w:rPr>
                  </w:pPr>
                  <w:r>
                    <w:rPr>
                      <w:rFonts w:hint="default" w:ascii="Times New Roman" w:hAnsi="Times New Roman" w:eastAsia="Times New Roman" w:cs="Times New Roman"/>
                      <w:color w:val="auto"/>
                      <w:position w:val="6"/>
                      <w:sz w:val="11"/>
                      <w:szCs w:val="11"/>
                      <w:highlight w:val="none"/>
                    </w:rPr>
                    <w:t>a</w:t>
                  </w:r>
                  <w:r>
                    <w:rPr>
                      <w:rFonts w:hint="default" w:ascii="Times New Roman" w:hAnsi="Times New Roman" w:eastAsia="宋体" w:cs="Times New Roman"/>
                      <w:color w:val="auto"/>
                      <w:sz w:val="18"/>
                      <w:szCs w:val="18"/>
                      <w:highlight w:val="none"/>
                    </w:rPr>
                    <w:t>下水道宜短，大水流管道应有标记以便维修检</w:t>
                  </w:r>
                  <w:r>
                    <w:rPr>
                      <w:rFonts w:hint="default" w:ascii="Times New Roman" w:hAnsi="Times New Roman" w:eastAsia="宋体" w:cs="Times New Roman"/>
                      <w:color w:val="auto"/>
                      <w:spacing w:val="-1"/>
                      <w:sz w:val="18"/>
                      <w:szCs w:val="18"/>
                      <w:highlight w:val="none"/>
                    </w:rPr>
                    <w:t>测。</w:t>
                  </w:r>
                </w:p>
                <w:p w14:paraId="780A540A">
                  <w:pPr>
                    <w:keepNext w:val="0"/>
                    <w:keepLines w:val="0"/>
                    <w:suppressLineNumbers w:val="0"/>
                    <w:spacing w:before="19" w:beforeAutospacing="0" w:after="0" w:afterAutospacing="0" w:line="205" w:lineRule="auto"/>
                    <w:ind w:left="106" w:right="0"/>
                    <w:rPr>
                      <w:rFonts w:hint="default" w:ascii="Times New Roman" w:hAnsi="Times New Roman" w:eastAsia="宋体" w:cs="Times New Roman"/>
                      <w:color w:val="auto"/>
                      <w:sz w:val="18"/>
                      <w:szCs w:val="18"/>
                      <w:highlight w:val="none"/>
                    </w:rPr>
                  </w:pPr>
                  <w:r>
                    <w:rPr>
                      <w:rFonts w:hint="default" w:ascii="Times New Roman" w:hAnsi="Times New Roman" w:eastAsia="Times New Roman" w:cs="Times New Roman"/>
                      <w:color w:val="auto"/>
                      <w:position w:val="6"/>
                      <w:sz w:val="11"/>
                      <w:szCs w:val="11"/>
                      <w:highlight w:val="none"/>
                    </w:rPr>
                    <w:t>b</w:t>
                  </w:r>
                  <w:r>
                    <w:rPr>
                      <w:rFonts w:hint="default" w:ascii="Times New Roman" w:hAnsi="Times New Roman" w:eastAsia="宋体" w:cs="Times New Roman"/>
                      <w:color w:val="auto"/>
                      <w:sz w:val="18"/>
                      <w:szCs w:val="18"/>
                      <w:highlight w:val="none"/>
                    </w:rPr>
                    <w:t>洗手盆应为感应式或脚踏式等手部非接触</w:t>
                  </w:r>
                  <w:r>
                    <w:rPr>
                      <w:rFonts w:hint="default" w:ascii="Times New Roman" w:hAnsi="Times New Roman" w:eastAsia="宋体" w:cs="Times New Roman"/>
                      <w:color w:val="auto"/>
                      <w:spacing w:val="-1"/>
                      <w:sz w:val="18"/>
                      <w:szCs w:val="18"/>
                      <w:highlight w:val="none"/>
                    </w:rPr>
                    <w:t>开关控制。</w:t>
                  </w:r>
                </w:p>
              </w:tc>
            </w:tr>
          </w:tbl>
          <w:p w14:paraId="16369702">
            <w:pPr>
              <w:keepNext w:val="0"/>
              <w:keepLines w:val="0"/>
              <w:widowControl w:val="0"/>
              <w:suppressLineNumbers w:val="0"/>
              <w:spacing w:before="120" w:beforeAutospacing="0" w:after="120" w:afterAutospacing="0" w:line="360" w:lineRule="auto"/>
              <w:ind w:left="0" w:right="0" w:firstLine="472" w:firstLineChars="200"/>
              <w:jc w:val="both"/>
              <w:rPr>
                <w:rFonts w:hint="default" w:ascii="Times New Roman" w:hAnsi="Times New Roman" w:eastAsia="宋体" w:cs="Times New Roman"/>
                <w:color w:val="auto"/>
                <w:spacing w:val="-2"/>
                <w:kern w:val="0"/>
                <w:sz w:val="24"/>
                <w:szCs w:val="24"/>
                <w:highlight w:val="none"/>
                <w:vertAlign w:val="baseline"/>
                <w:lang w:val="en-US" w:eastAsia="en-US" w:bidi="ar"/>
              </w:rPr>
            </w:pPr>
            <w:r>
              <w:rPr>
                <w:rFonts w:hint="default" w:ascii="Times New Roman" w:hAnsi="Times New Roman" w:eastAsia="宋体" w:cs="Times New Roman"/>
                <w:color w:val="auto"/>
                <w:spacing w:val="-2"/>
                <w:kern w:val="0"/>
                <w:sz w:val="24"/>
                <w:szCs w:val="24"/>
                <w:highlight w:val="none"/>
                <w:vertAlign w:val="baseline"/>
                <w:lang w:val="en-US" w:eastAsia="en-US" w:bidi="ar"/>
              </w:rPr>
              <w:t>根据《核医学放射防护要求》（GBZ120-2020）对</w:t>
            </w:r>
            <w:r>
              <w:rPr>
                <w:rFonts w:hint="default" w:ascii="Times New Roman" w:hAnsi="Times New Roman" w:cs="Times New Roman"/>
                <w:color w:val="auto"/>
                <w:spacing w:val="-2"/>
                <w:kern w:val="0"/>
                <w:sz w:val="24"/>
                <w:szCs w:val="24"/>
                <w:highlight w:val="none"/>
                <w:vertAlign w:val="baseline"/>
                <w:lang w:val="en-US" w:eastAsia="zh-CN" w:bidi="ar"/>
              </w:rPr>
              <w:t>本项目</w:t>
            </w:r>
            <w:r>
              <w:rPr>
                <w:rFonts w:hint="default" w:ascii="Times New Roman" w:hAnsi="Times New Roman" w:eastAsia="宋体" w:cs="Times New Roman"/>
                <w:color w:val="auto"/>
                <w:spacing w:val="-2"/>
                <w:kern w:val="0"/>
                <w:sz w:val="24"/>
                <w:szCs w:val="24"/>
                <w:highlight w:val="none"/>
                <w:vertAlign w:val="baseline"/>
                <w:lang w:val="en-US" w:eastAsia="en-US" w:bidi="ar"/>
              </w:rPr>
              <w:t>工作场所具体分类，Ⅰ类、</w:t>
            </w:r>
            <w:r>
              <w:rPr>
                <w:rFonts w:hint="default" w:ascii="Times New Roman" w:hAnsi="Times New Roman" w:cs="Times New Roman"/>
                <w:color w:val="auto"/>
                <w:spacing w:val="-2"/>
                <w:kern w:val="0"/>
                <w:sz w:val="24"/>
                <w:szCs w:val="24"/>
                <w:highlight w:val="none"/>
                <w:vertAlign w:val="baseline"/>
                <w:lang w:val="en-US" w:eastAsia="zh-CN" w:bidi="ar"/>
              </w:rPr>
              <w:t>Ⅱ</w:t>
            </w:r>
            <w:r>
              <w:rPr>
                <w:rFonts w:hint="default" w:ascii="Times New Roman" w:hAnsi="Times New Roman" w:eastAsia="宋体" w:cs="Times New Roman"/>
                <w:color w:val="auto"/>
                <w:spacing w:val="-2"/>
                <w:kern w:val="0"/>
                <w:sz w:val="24"/>
                <w:szCs w:val="24"/>
                <w:highlight w:val="none"/>
                <w:vertAlign w:val="baseline"/>
                <w:lang w:val="en-US" w:eastAsia="en-US" w:bidi="ar"/>
              </w:rPr>
              <w:t xml:space="preserve"> 类、类核医学工作场所的防护设计要求见表10-</w:t>
            </w:r>
            <w:r>
              <w:rPr>
                <w:rFonts w:hint="eastAsia" w:cs="Times New Roman"/>
                <w:color w:val="auto"/>
                <w:spacing w:val="-2"/>
                <w:kern w:val="0"/>
                <w:sz w:val="24"/>
                <w:szCs w:val="24"/>
                <w:highlight w:val="none"/>
                <w:vertAlign w:val="baseline"/>
                <w:lang w:val="en-US" w:eastAsia="zh-CN" w:bidi="ar"/>
              </w:rPr>
              <w:t>16</w:t>
            </w:r>
            <w:r>
              <w:rPr>
                <w:rFonts w:hint="default" w:ascii="Times New Roman" w:hAnsi="Times New Roman" w:eastAsia="宋体" w:cs="Times New Roman"/>
                <w:color w:val="auto"/>
                <w:spacing w:val="-2"/>
                <w:kern w:val="0"/>
                <w:sz w:val="24"/>
                <w:szCs w:val="24"/>
                <w:highlight w:val="none"/>
                <w:vertAlign w:val="baseline"/>
                <w:lang w:val="en-US" w:eastAsia="en-US" w:bidi="ar"/>
              </w:rPr>
              <w:t>。</w:t>
            </w:r>
          </w:p>
          <w:p w14:paraId="62DA4CDC">
            <w:pPr>
              <w:keepNext w:val="0"/>
              <w:keepLines w:val="0"/>
              <w:widowControl w:val="0"/>
              <w:suppressLineNumbers w:val="0"/>
              <w:spacing w:before="120" w:beforeAutospacing="0" w:after="120" w:afterAutospacing="0" w:line="360" w:lineRule="auto"/>
              <w:ind w:left="0" w:right="0" w:firstLine="474" w:firstLineChars="200"/>
              <w:jc w:val="center"/>
              <w:rPr>
                <w:rFonts w:hint="default" w:ascii="Times New Roman" w:hAnsi="Times New Roman" w:eastAsia="宋体" w:cs="Times New Roman"/>
                <w:b/>
                <w:bCs/>
                <w:color w:val="auto"/>
                <w:spacing w:val="-2"/>
                <w:kern w:val="0"/>
                <w:sz w:val="24"/>
                <w:szCs w:val="24"/>
                <w:highlight w:val="none"/>
                <w:vertAlign w:val="baseline"/>
                <w:lang w:val="en-US" w:eastAsia="en-US" w:bidi="ar"/>
              </w:rPr>
            </w:pPr>
          </w:p>
          <w:p w14:paraId="27CB77F6">
            <w:pPr>
              <w:keepNext w:val="0"/>
              <w:keepLines w:val="0"/>
              <w:widowControl w:val="0"/>
              <w:suppressLineNumbers w:val="0"/>
              <w:spacing w:before="120" w:beforeAutospacing="0" w:after="120" w:afterAutospacing="0" w:line="360" w:lineRule="auto"/>
              <w:ind w:left="0" w:right="0" w:firstLine="474" w:firstLineChars="200"/>
              <w:jc w:val="center"/>
              <w:rPr>
                <w:rFonts w:hint="default" w:ascii="Times New Roman" w:hAnsi="Times New Roman" w:eastAsia="宋体" w:cs="Times New Roman"/>
                <w:b/>
                <w:bCs/>
                <w:color w:val="auto"/>
                <w:spacing w:val="-2"/>
                <w:kern w:val="0"/>
                <w:sz w:val="24"/>
                <w:szCs w:val="24"/>
                <w:highlight w:val="none"/>
                <w:vertAlign w:val="baseline"/>
                <w:lang w:val="en-US" w:eastAsia="en-US" w:bidi="ar"/>
              </w:rPr>
            </w:pPr>
            <w:r>
              <w:rPr>
                <w:rFonts w:hint="default" w:ascii="Times New Roman" w:hAnsi="Times New Roman" w:eastAsia="宋体" w:cs="Times New Roman"/>
                <w:b/>
                <w:bCs/>
                <w:color w:val="auto"/>
                <w:spacing w:val="-2"/>
                <w:kern w:val="0"/>
                <w:sz w:val="24"/>
                <w:szCs w:val="24"/>
                <w:highlight w:val="none"/>
                <w:vertAlign w:val="baseline"/>
                <w:lang w:val="en-US" w:eastAsia="en-US" w:bidi="ar"/>
              </w:rPr>
              <w:t>表10-</w:t>
            </w:r>
            <w:r>
              <w:rPr>
                <w:rFonts w:hint="eastAsia" w:cs="Times New Roman"/>
                <w:b/>
                <w:bCs/>
                <w:color w:val="auto"/>
                <w:spacing w:val="-2"/>
                <w:kern w:val="0"/>
                <w:sz w:val="24"/>
                <w:szCs w:val="24"/>
                <w:highlight w:val="none"/>
                <w:vertAlign w:val="baseline"/>
                <w:lang w:val="en-US" w:eastAsia="zh-CN" w:bidi="ar"/>
              </w:rPr>
              <w:t>16</w:t>
            </w:r>
            <w:r>
              <w:rPr>
                <w:rFonts w:hint="default" w:ascii="Times New Roman" w:hAnsi="Times New Roman" w:eastAsia="宋体" w:cs="Times New Roman"/>
                <w:b/>
                <w:bCs/>
                <w:color w:val="auto"/>
                <w:spacing w:val="-2"/>
                <w:kern w:val="0"/>
                <w:sz w:val="24"/>
                <w:szCs w:val="24"/>
                <w:highlight w:val="none"/>
                <w:vertAlign w:val="baseline"/>
                <w:lang w:val="en-US" w:eastAsia="zh-CN" w:bidi="ar"/>
              </w:rPr>
              <w:t xml:space="preserve">  </w:t>
            </w:r>
            <w:r>
              <w:rPr>
                <w:rFonts w:hint="default" w:ascii="Times New Roman" w:hAnsi="Times New Roman" w:eastAsia="宋体" w:cs="Times New Roman"/>
                <w:b/>
                <w:bCs/>
                <w:color w:val="auto"/>
                <w:spacing w:val="-2"/>
                <w:kern w:val="0"/>
                <w:sz w:val="24"/>
                <w:szCs w:val="24"/>
                <w:highlight w:val="none"/>
                <w:vertAlign w:val="baseline"/>
                <w:lang w:val="en-US" w:eastAsia="en-US" w:bidi="ar"/>
              </w:rPr>
              <w:t>工作场所室内表面和装备的要求</w:t>
            </w:r>
          </w:p>
          <w:tbl>
            <w:tblPr>
              <w:tblStyle w:val="22"/>
              <w:tblW w:w="488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388"/>
              <w:gridCol w:w="670"/>
              <w:gridCol w:w="694"/>
              <w:gridCol w:w="1394"/>
              <w:gridCol w:w="654"/>
              <w:gridCol w:w="654"/>
              <w:gridCol w:w="1086"/>
              <w:gridCol w:w="984"/>
              <w:gridCol w:w="1373"/>
            </w:tblGrid>
            <w:tr w14:paraId="3F4023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5" w:hRule="atLeast"/>
                <w:jc w:val="center"/>
              </w:trPr>
              <w:tc>
                <w:tcPr>
                  <w:tcW w:w="780" w:type="pct"/>
                  <w:tcBorders>
                    <w:tl2br w:val="nil"/>
                    <w:tr2bl w:val="nil"/>
                  </w:tcBorders>
                  <w:shd w:val="clear" w:color="auto" w:fill="auto"/>
                  <w:vAlign w:val="center"/>
                </w:tcPr>
                <w:p w14:paraId="5DE3FDA6">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场所</w:t>
                  </w:r>
                </w:p>
              </w:tc>
              <w:tc>
                <w:tcPr>
                  <w:tcW w:w="376" w:type="pct"/>
                  <w:tcBorders>
                    <w:tl2br w:val="nil"/>
                    <w:tr2bl w:val="nil"/>
                  </w:tcBorders>
                  <w:shd w:val="clear" w:color="auto" w:fill="auto"/>
                  <w:vAlign w:val="center"/>
                </w:tcPr>
                <w:p w14:paraId="04DAA87F">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分类</w:t>
                  </w:r>
                </w:p>
              </w:tc>
              <w:tc>
                <w:tcPr>
                  <w:tcW w:w="390" w:type="pct"/>
                  <w:tcBorders>
                    <w:tl2br w:val="nil"/>
                    <w:tr2bl w:val="nil"/>
                  </w:tcBorders>
                  <w:shd w:val="clear" w:color="auto" w:fill="auto"/>
                  <w:vAlign w:val="center"/>
                </w:tcPr>
                <w:p w14:paraId="2D31868C">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结构屏蔽</w:t>
                  </w:r>
                </w:p>
              </w:tc>
              <w:tc>
                <w:tcPr>
                  <w:tcW w:w="783" w:type="pct"/>
                  <w:tcBorders>
                    <w:tl2br w:val="nil"/>
                    <w:tr2bl w:val="nil"/>
                  </w:tcBorders>
                  <w:shd w:val="clear" w:color="auto" w:fill="auto"/>
                  <w:vAlign w:val="center"/>
                </w:tcPr>
                <w:p w14:paraId="65520FBD">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地面</w:t>
                  </w:r>
                </w:p>
              </w:tc>
              <w:tc>
                <w:tcPr>
                  <w:tcW w:w="367" w:type="pct"/>
                  <w:tcBorders>
                    <w:tl2br w:val="nil"/>
                    <w:tr2bl w:val="nil"/>
                  </w:tcBorders>
                  <w:shd w:val="clear" w:color="auto" w:fill="auto"/>
                  <w:vAlign w:val="center"/>
                </w:tcPr>
                <w:p w14:paraId="28B0D173">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表面</w:t>
                  </w:r>
                </w:p>
              </w:tc>
              <w:tc>
                <w:tcPr>
                  <w:tcW w:w="367" w:type="pct"/>
                  <w:tcBorders>
                    <w:tl2br w:val="nil"/>
                    <w:tr2bl w:val="nil"/>
                  </w:tcBorders>
                  <w:shd w:val="clear" w:color="auto" w:fill="auto"/>
                  <w:vAlign w:val="center"/>
                </w:tcPr>
                <w:p w14:paraId="00D82442">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分装柜</w:t>
                  </w:r>
                </w:p>
              </w:tc>
              <w:tc>
                <w:tcPr>
                  <w:tcW w:w="610" w:type="pct"/>
                  <w:tcBorders>
                    <w:tl2br w:val="nil"/>
                    <w:tr2bl w:val="nil"/>
                  </w:tcBorders>
                  <w:shd w:val="clear" w:color="auto" w:fill="auto"/>
                  <w:vAlign w:val="center"/>
                </w:tcPr>
                <w:p w14:paraId="4A844178">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通风</w:t>
                  </w:r>
                </w:p>
              </w:tc>
              <w:tc>
                <w:tcPr>
                  <w:tcW w:w="552" w:type="pct"/>
                  <w:tcBorders>
                    <w:tl2br w:val="nil"/>
                    <w:tr2bl w:val="nil"/>
                  </w:tcBorders>
                  <w:shd w:val="clear" w:color="auto" w:fill="auto"/>
                  <w:vAlign w:val="center"/>
                </w:tcPr>
                <w:p w14:paraId="6AFF852B">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管道</w:t>
                  </w:r>
                </w:p>
              </w:tc>
              <w:tc>
                <w:tcPr>
                  <w:tcW w:w="771" w:type="pct"/>
                  <w:tcBorders>
                    <w:tl2br w:val="nil"/>
                    <w:tr2bl w:val="nil"/>
                  </w:tcBorders>
                  <w:shd w:val="clear" w:color="auto" w:fill="auto"/>
                  <w:vAlign w:val="center"/>
                </w:tcPr>
                <w:p w14:paraId="2153C175">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z w:val="18"/>
                      <w:szCs w:val="18"/>
                      <w:highlight w:val="none"/>
                      <w:lang w:val="en-US" w:eastAsia="zh-CN"/>
                    </w:rPr>
                    <w:t>盥洗与去污</w:t>
                  </w:r>
                </w:p>
              </w:tc>
            </w:tr>
            <w:tr w14:paraId="69A94E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780" w:type="pct"/>
                  <w:tcBorders>
                    <w:tl2br w:val="nil"/>
                    <w:tr2bl w:val="nil"/>
                  </w:tcBorders>
                  <w:shd w:val="clear" w:color="auto" w:fill="auto"/>
                  <w:vAlign w:val="center"/>
                </w:tcPr>
                <w:p w14:paraId="0551E8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核医学楼负一层正电子药物生产车间</w:t>
                  </w:r>
                </w:p>
              </w:tc>
              <w:tc>
                <w:tcPr>
                  <w:tcW w:w="376" w:type="pct"/>
                  <w:tcBorders>
                    <w:tl2br w:val="nil"/>
                    <w:tr2bl w:val="nil"/>
                  </w:tcBorders>
                  <w:shd w:val="clear" w:color="auto" w:fill="auto"/>
                  <w:vAlign w:val="center"/>
                </w:tcPr>
                <w:p w14:paraId="1C84C7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I</w:t>
                  </w:r>
                </w:p>
              </w:tc>
              <w:tc>
                <w:tcPr>
                  <w:tcW w:w="390" w:type="pct"/>
                  <w:tcBorders>
                    <w:tl2br w:val="nil"/>
                    <w:tr2bl w:val="nil"/>
                  </w:tcBorders>
                  <w:shd w:val="clear" w:color="auto" w:fill="auto"/>
                  <w:vAlign w:val="center"/>
                </w:tcPr>
                <w:p w14:paraId="4C7B2E68">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pacing w:val="-1"/>
                      <w:sz w:val="18"/>
                      <w:szCs w:val="18"/>
                      <w:highlight w:val="none"/>
                    </w:rPr>
                    <w:t>需要</w:t>
                  </w:r>
                </w:p>
              </w:tc>
              <w:tc>
                <w:tcPr>
                  <w:tcW w:w="783" w:type="pct"/>
                  <w:tcBorders>
                    <w:tl2br w:val="nil"/>
                    <w:tr2bl w:val="nil"/>
                  </w:tcBorders>
                  <w:shd w:val="clear" w:color="auto" w:fill="auto"/>
                  <w:vAlign w:val="center"/>
                </w:tcPr>
                <w:p w14:paraId="669AA1A2">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pacing w:val="8"/>
                      <w:sz w:val="18"/>
                      <w:szCs w:val="18"/>
                      <w:highlight w:val="none"/>
                    </w:rPr>
                    <w:t>与墙壁接缝无缝隙</w:t>
                  </w:r>
                </w:p>
              </w:tc>
              <w:tc>
                <w:tcPr>
                  <w:tcW w:w="367" w:type="pct"/>
                  <w:tcBorders>
                    <w:tl2br w:val="nil"/>
                    <w:tr2bl w:val="nil"/>
                  </w:tcBorders>
                  <w:shd w:val="clear" w:color="auto" w:fill="auto"/>
                  <w:vAlign w:val="center"/>
                </w:tcPr>
                <w:p w14:paraId="0D377FBE">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pacing w:val="2"/>
                      <w:sz w:val="18"/>
                      <w:szCs w:val="18"/>
                      <w:highlight w:val="none"/>
                    </w:rPr>
                    <w:t>易清洗</w:t>
                  </w:r>
                </w:p>
              </w:tc>
              <w:tc>
                <w:tcPr>
                  <w:tcW w:w="367" w:type="pct"/>
                  <w:tcBorders>
                    <w:tl2br w:val="nil"/>
                    <w:tr2bl w:val="nil"/>
                  </w:tcBorders>
                  <w:shd w:val="clear" w:color="auto" w:fill="auto"/>
                  <w:vAlign w:val="center"/>
                </w:tcPr>
                <w:p w14:paraId="30ECF058">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pacing w:val="-1"/>
                      <w:sz w:val="18"/>
                      <w:szCs w:val="18"/>
                      <w:highlight w:val="none"/>
                    </w:rPr>
                    <w:t>需要</w:t>
                  </w:r>
                </w:p>
              </w:tc>
              <w:tc>
                <w:tcPr>
                  <w:tcW w:w="610" w:type="pct"/>
                  <w:tcBorders>
                    <w:tl2br w:val="nil"/>
                    <w:tr2bl w:val="nil"/>
                  </w:tcBorders>
                  <w:shd w:val="clear" w:color="auto" w:fill="auto"/>
                  <w:vAlign w:val="center"/>
                </w:tcPr>
                <w:p w14:paraId="5A90CC7B">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pacing w:val="8"/>
                      <w:sz w:val="18"/>
                      <w:szCs w:val="18"/>
                      <w:highlight w:val="none"/>
                    </w:rPr>
                    <w:t>特殊的强制通风</w:t>
                  </w:r>
                </w:p>
              </w:tc>
              <w:tc>
                <w:tcPr>
                  <w:tcW w:w="552" w:type="pct"/>
                  <w:tcBorders>
                    <w:tl2br w:val="nil"/>
                    <w:tr2bl w:val="nil"/>
                  </w:tcBorders>
                  <w:shd w:val="clear" w:color="auto" w:fill="auto"/>
                  <w:vAlign w:val="center"/>
                </w:tcPr>
                <w:p w14:paraId="0C682D27">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pacing w:val="6"/>
                      <w:sz w:val="18"/>
                      <w:szCs w:val="18"/>
                      <w:highlight w:val="none"/>
                    </w:rPr>
                    <w:t>特殊的管道</w:t>
                  </w:r>
                  <w:r>
                    <w:rPr>
                      <w:rFonts w:hint="default" w:ascii="Times New Roman" w:hAnsi="Times New Roman" w:eastAsia="宋体" w:cs="Times New Roman"/>
                      <w:color w:val="auto"/>
                      <w:spacing w:val="-39"/>
                      <w:sz w:val="18"/>
                      <w:szCs w:val="18"/>
                      <w:highlight w:val="none"/>
                    </w:rPr>
                    <w:t xml:space="preserve"> </w:t>
                  </w:r>
                  <w:r>
                    <w:rPr>
                      <w:rFonts w:hint="default" w:ascii="Times New Roman" w:hAnsi="Times New Roman" w:eastAsia="Times New Roman" w:cs="Times New Roman"/>
                      <w:color w:val="auto"/>
                      <w:spacing w:val="6"/>
                      <w:position w:val="6"/>
                      <w:sz w:val="18"/>
                      <w:szCs w:val="18"/>
                      <w:highlight w:val="none"/>
                    </w:rPr>
                    <w:t>a</w:t>
                  </w:r>
                </w:p>
              </w:tc>
              <w:tc>
                <w:tcPr>
                  <w:tcW w:w="771" w:type="pct"/>
                  <w:tcBorders>
                    <w:tl2br w:val="nil"/>
                    <w:tr2bl w:val="nil"/>
                  </w:tcBorders>
                  <w:shd w:val="clear" w:color="auto" w:fill="auto"/>
                  <w:vAlign w:val="center"/>
                </w:tcPr>
                <w:p w14:paraId="0EE38C75">
                  <w:pPr>
                    <w:keepNext w:val="0"/>
                    <w:keepLines w:val="0"/>
                    <w:suppressLineNumbers w:val="0"/>
                    <w:bidi w:val="0"/>
                    <w:spacing w:before="0" w:beforeAutospacing="0" w:after="0" w:afterAutospacing="0"/>
                    <w:ind w:left="0" w:right="0"/>
                    <w:jc w:val="center"/>
                    <w:rPr>
                      <w:rFonts w:hint="default" w:ascii="Times New Roman" w:hAnsi="Times New Roman" w:eastAsia="宋体" w:cs="Times New Roman"/>
                      <w:color w:val="auto"/>
                      <w:sz w:val="18"/>
                      <w:szCs w:val="18"/>
                      <w:highlight w:val="none"/>
                    </w:rPr>
                  </w:pPr>
                  <w:r>
                    <w:rPr>
                      <w:rFonts w:hint="default" w:ascii="Times New Roman" w:hAnsi="Times New Roman" w:eastAsia="宋体" w:cs="Times New Roman"/>
                      <w:color w:val="auto"/>
                      <w:spacing w:val="7"/>
                      <w:sz w:val="18"/>
                      <w:szCs w:val="18"/>
                      <w:highlight w:val="none"/>
                    </w:rPr>
                    <w:t>洗手盆</w:t>
                  </w:r>
                  <w:r>
                    <w:rPr>
                      <w:rFonts w:hint="default" w:ascii="Times New Roman" w:hAnsi="Times New Roman" w:eastAsia="宋体" w:cs="Times New Roman"/>
                      <w:color w:val="auto"/>
                      <w:spacing w:val="-45"/>
                      <w:sz w:val="18"/>
                      <w:szCs w:val="18"/>
                      <w:highlight w:val="none"/>
                    </w:rPr>
                    <w:t xml:space="preserve"> </w:t>
                  </w:r>
                  <w:r>
                    <w:rPr>
                      <w:rFonts w:hint="default" w:ascii="Times New Roman" w:hAnsi="Times New Roman" w:eastAsia="Times New Roman" w:cs="Times New Roman"/>
                      <w:color w:val="auto"/>
                      <w:spacing w:val="7"/>
                      <w:position w:val="6"/>
                      <w:sz w:val="18"/>
                      <w:szCs w:val="18"/>
                      <w:highlight w:val="none"/>
                    </w:rPr>
                    <w:t xml:space="preserve">b </w:t>
                  </w:r>
                  <w:r>
                    <w:rPr>
                      <w:rFonts w:hint="default" w:ascii="Times New Roman" w:hAnsi="Times New Roman" w:eastAsia="宋体" w:cs="Times New Roman"/>
                      <w:color w:val="auto"/>
                      <w:spacing w:val="7"/>
                      <w:sz w:val="18"/>
                      <w:szCs w:val="18"/>
                      <w:highlight w:val="none"/>
                    </w:rPr>
                    <w:t>和去污设备</w:t>
                  </w:r>
                </w:p>
              </w:tc>
            </w:tr>
            <w:tr w14:paraId="2E3441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780" w:type="pct"/>
                  <w:tcBorders>
                    <w:tl2br w:val="nil"/>
                    <w:tr2bl w:val="nil"/>
                  </w:tcBorders>
                  <w:shd w:val="clear" w:color="auto" w:fill="auto"/>
                  <w:vAlign w:val="center"/>
                </w:tcPr>
                <w:p w14:paraId="662BF1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核医学楼二层PET诊断区-储源室</w:t>
                  </w:r>
                </w:p>
              </w:tc>
              <w:tc>
                <w:tcPr>
                  <w:tcW w:w="376" w:type="pct"/>
                  <w:tcBorders>
                    <w:tl2br w:val="nil"/>
                    <w:tr2bl w:val="nil"/>
                  </w:tcBorders>
                  <w:shd w:val="clear" w:color="auto" w:fill="auto"/>
                  <w:vAlign w:val="center"/>
                </w:tcPr>
                <w:p w14:paraId="6AE499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Ⅱ</w:t>
                  </w:r>
                </w:p>
              </w:tc>
              <w:tc>
                <w:tcPr>
                  <w:tcW w:w="390" w:type="pct"/>
                  <w:tcBorders>
                    <w:tl2br w:val="nil"/>
                    <w:tr2bl w:val="nil"/>
                  </w:tcBorders>
                  <w:shd w:val="clear" w:color="auto" w:fill="auto"/>
                  <w:vAlign w:val="center"/>
                </w:tcPr>
                <w:p w14:paraId="766A91BC">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需要</w:t>
                  </w:r>
                </w:p>
              </w:tc>
              <w:tc>
                <w:tcPr>
                  <w:tcW w:w="783" w:type="pct"/>
                  <w:tcBorders>
                    <w:tl2br w:val="nil"/>
                    <w:tr2bl w:val="nil"/>
                  </w:tcBorders>
                  <w:shd w:val="clear" w:color="auto" w:fill="auto"/>
                  <w:vAlign w:val="center"/>
                </w:tcPr>
                <w:p w14:paraId="605F75C5">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与墙壁接缝无缝隙</w:t>
                  </w:r>
                </w:p>
              </w:tc>
              <w:tc>
                <w:tcPr>
                  <w:tcW w:w="367" w:type="pct"/>
                  <w:tcBorders>
                    <w:tl2br w:val="nil"/>
                    <w:tr2bl w:val="nil"/>
                  </w:tcBorders>
                  <w:shd w:val="clear" w:color="auto" w:fill="auto"/>
                  <w:vAlign w:val="center"/>
                </w:tcPr>
                <w:p w14:paraId="603CB611">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易清洗</w:t>
                  </w:r>
                </w:p>
              </w:tc>
              <w:tc>
                <w:tcPr>
                  <w:tcW w:w="367" w:type="pct"/>
                  <w:tcBorders>
                    <w:tl2br w:val="nil"/>
                    <w:tr2bl w:val="nil"/>
                  </w:tcBorders>
                  <w:shd w:val="clear" w:color="auto" w:fill="auto"/>
                  <w:vAlign w:val="center"/>
                </w:tcPr>
                <w:p w14:paraId="71AEF186">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w:t>
                  </w:r>
                </w:p>
              </w:tc>
              <w:tc>
                <w:tcPr>
                  <w:tcW w:w="610" w:type="pct"/>
                  <w:tcBorders>
                    <w:tl2br w:val="nil"/>
                    <w:tr2bl w:val="nil"/>
                  </w:tcBorders>
                  <w:shd w:val="clear" w:color="auto" w:fill="auto"/>
                  <w:vAlign w:val="center"/>
                </w:tcPr>
                <w:p w14:paraId="2C4FF179">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良好通风</w:t>
                  </w:r>
                </w:p>
              </w:tc>
              <w:tc>
                <w:tcPr>
                  <w:tcW w:w="552" w:type="pct"/>
                  <w:tcBorders>
                    <w:tl2br w:val="nil"/>
                    <w:tr2bl w:val="nil"/>
                  </w:tcBorders>
                  <w:shd w:val="clear" w:color="auto" w:fill="auto"/>
                  <w:vAlign w:val="center"/>
                </w:tcPr>
                <w:p w14:paraId="2CF11107">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普通管道</w:t>
                  </w:r>
                </w:p>
              </w:tc>
              <w:tc>
                <w:tcPr>
                  <w:tcW w:w="771" w:type="pct"/>
                  <w:tcBorders>
                    <w:tl2br w:val="nil"/>
                    <w:tr2bl w:val="nil"/>
                  </w:tcBorders>
                  <w:shd w:val="clear" w:color="auto" w:fill="auto"/>
                  <w:vAlign w:val="center"/>
                </w:tcPr>
                <w:p w14:paraId="73FB3E8A">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洗手盆 b 和去污设备</w:t>
                  </w:r>
                </w:p>
              </w:tc>
            </w:tr>
            <w:tr w14:paraId="4F1C19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780" w:type="pct"/>
                  <w:shd w:val="clear" w:color="auto" w:fill="auto"/>
                  <w:vAlign w:val="center"/>
                </w:tcPr>
                <w:p w14:paraId="7F7979F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核医学楼二层PET诊断区-注射室</w:t>
                  </w:r>
                </w:p>
              </w:tc>
              <w:tc>
                <w:tcPr>
                  <w:tcW w:w="376" w:type="pct"/>
                  <w:shd w:val="clear" w:color="auto" w:fill="auto"/>
                  <w:vAlign w:val="center"/>
                </w:tcPr>
                <w:p w14:paraId="024145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I</w:t>
                  </w:r>
                </w:p>
              </w:tc>
              <w:tc>
                <w:tcPr>
                  <w:tcW w:w="390" w:type="pct"/>
                  <w:shd w:val="clear" w:color="auto" w:fill="auto"/>
                  <w:vAlign w:val="center"/>
                </w:tcPr>
                <w:p w14:paraId="0E669A6B">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1C156C2A">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与墙壁接缝无缝隙</w:t>
                  </w:r>
                </w:p>
              </w:tc>
              <w:tc>
                <w:tcPr>
                  <w:tcW w:w="0" w:type="auto"/>
                  <w:shd w:val="clear" w:color="auto" w:fill="auto"/>
                  <w:vAlign w:val="center"/>
                </w:tcPr>
                <w:p w14:paraId="4A381E43">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2"/>
                      <w:sz w:val="18"/>
                      <w:szCs w:val="18"/>
                      <w:highlight w:val="none"/>
                    </w:rPr>
                    <w:t>易清洗</w:t>
                  </w:r>
                </w:p>
              </w:tc>
              <w:tc>
                <w:tcPr>
                  <w:tcW w:w="0" w:type="auto"/>
                  <w:shd w:val="clear" w:color="auto" w:fill="auto"/>
                  <w:vAlign w:val="center"/>
                </w:tcPr>
                <w:p w14:paraId="7FE5A078">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52EC03F0">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特殊的强制通风</w:t>
                  </w:r>
                </w:p>
              </w:tc>
              <w:tc>
                <w:tcPr>
                  <w:tcW w:w="0" w:type="auto"/>
                  <w:shd w:val="clear" w:color="auto" w:fill="auto"/>
                  <w:vAlign w:val="center"/>
                </w:tcPr>
                <w:p w14:paraId="2E4B1C8E">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6"/>
                      <w:sz w:val="18"/>
                      <w:szCs w:val="18"/>
                      <w:highlight w:val="none"/>
                    </w:rPr>
                    <w:t>特殊的管道</w:t>
                  </w:r>
                  <w:r>
                    <w:rPr>
                      <w:rFonts w:hint="default" w:ascii="Times New Roman" w:hAnsi="Times New Roman" w:eastAsia="宋体" w:cs="Times New Roman"/>
                      <w:color w:val="auto"/>
                      <w:spacing w:val="-39"/>
                      <w:sz w:val="18"/>
                      <w:szCs w:val="18"/>
                      <w:highlight w:val="none"/>
                    </w:rPr>
                    <w:t xml:space="preserve"> </w:t>
                  </w:r>
                  <w:r>
                    <w:rPr>
                      <w:rFonts w:hint="default" w:ascii="Times New Roman" w:hAnsi="Times New Roman" w:eastAsia="Times New Roman" w:cs="Times New Roman"/>
                      <w:color w:val="auto"/>
                      <w:spacing w:val="6"/>
                      <w:position w:val="6"/>
                      <w:sz w:val="18"/>
                      <w:szCs w:val="18"/>
                      <w:highlight w:val="none"/>
                    </w:rPr>
                    <w:t>a</w:t>
                  </w:r>
                </w:p>
              </w:tc>
              <w:tc>
                <w:tcPr>
                  <w:tcW w:w="0" w:type="auto"/>
                  <w:shd w:val="clear" w:color="auto" w:fill="auto"/>
                  <w:vAlign w:val="center"/>
                </w:tcPr>
                <w:p w14:paraId="72FCE4DF">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7"/>
                      <w:sz w:val="18"/>
                      <w:szCs w:val="18"/>
                      <w:highlight w:val="none"/>
                    </w:rPr>
                    <w:t>洗手盆</w:t>
                  </w:r>
                  <w:r>
                    <w:rPr>
                      <w:rFonts w:hint="default" w:ascii="Times New Roman" w:hAnsi="Times New Roman" w:eastAsia="宋体" w:cs="Times New Roman"/>
                      <w:color w:val="auto"/>
                      <w:spacing w:val="-45"/>
                      <w:sz w:val="18"/>
                      <w:szCs w:val="18"/>
                      <w:highlight w:val="none"/>
                    </w:rPr>
                    <w:t xml:space="preserve"> </w:t>
                  </w:r>
                  <w:r>
                    <w:rPr>
                      <w:rFonts w:hint="default" w:ascii="Times New Roman" w:hAnsi="Times New Roman" w:eastAsia="Times New Roman" w:cs="Times New Roman"/>
                      <w:color w:val="auto"/>
                      <w:spacing w:val="7"/>
                      <w:position w:val="6"/>
                      <w:sz w:val="18"/>
                      <w:szCs w:val="18"/>
                      <w:highlight w:val="none"/>
                    </w:rPr>
                    <w:t xml:space="preserve">b </w:t>
                  </w:r>
                  <w:r>
                    <w:rPr>
                      <w:rFonts w:hint="default" w:ascii="Times New Roman" w:hAnsi="Times New Roman" w:eastAsia="宋体" w:cs="Times New Roman"/>
                      <w:color w:val="auto"/>
                      <w:spacing w:val="7"/>
                      <w:sz w:val="18"/>
                      <w:szCs w:val="18"/>
                      <w:highlight w:val="none"/>
                    </w:rPr>
                    <w:t>和去污设备</w:t>
                  </w:r>
                </w:p>
              </w:tc>
            </w:tr>
            <w:tr w14:paraId="4FEAE2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90" w:hRule="atLeast"/>
                <w:jc w:val="center"/>
              </w:trPr>
              <w:tc>
                <w:tcPr>
                  <w:tcW w:w="780" w:type="pct"/>
                  <w:shd w:val="clear" w:color="auto" w:fill="auto"/>
                  <w:vAlign w:val="center"/>
                </w:tcPr>
                <w:p w14:paraId="196734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核医学楼二层PET诊断区-PET诊断机房</w:t>
                  </w:r>
                </w:p>
              </w:tc>
              <w:tc>
                <w:tcPr>
                  <w:tcW w:w="376" w:type="pct"/>
                  <w:shd w:val="clear" w:color="auto" w:fill="auto"/>
                  <w:vAlign w:val="center"/>
                </w:tcPr>
                <w:p w14:paraId="514F9B5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Ⅱ</w:t>
                  </w:r>
                </w:p>
              </w:tc>
              <w:tc>
                <w:tcPr>
                  <w:tcW w:w="390" w:type="pct"/>
                  <w:shd w:val="clear" w:color="auto" w:fill="auto"/>
                  <w:vAlign w:val="center"/>
                </w:tcPr>
                <w:p w14:paraId="3BE8A05E">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需要</w:t>
                  </w:r>
                </w:p>
              </w:tc>
              <w:tc>
                <w:tcPr>
                  <w:tcW w:w="0" w:type="auto"/>
                  <w:shd w:val="clear" w:color="auto" w:fill="auto"/>
                  <w:vAlign w:val="center"/>
                </w:tcPr>
                <w:p w14:paraId="0BE507A8">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与墙壁接缝无缝隙</w:t>
                  </w:r>
                </w:p>
              </w:tc>
              <w:tc>
                <w:tcPr>
                  <w:tcW w:w="0" w:type="auto"/>
                  <w:shd w:val="clear" w:color="auto" w:fill="auto"/>
                  <w:vAlign w:val="center"/>
                </w:tcPr>
                <w:p w14:paraId="72EC7074">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易清洗</w:t>
                  </w:r>
                </w:p>
              </w:tc>
              <w:tc>
                <w:tcPr>
                  <w:tcW w:w="0" w:type="auto"/>
                  <w:shd w:val="clear" w:color="auto" w:fill="auto"/>
                  <w:vAlign w:val="center"/>
                </w:tcPr>
                <w:p w14:paraId="5ECEBAD5">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w:t>
                  </w:r>
                </w:p>
              </w:tc>
              <w:tc>
                <w:tcPr>
                  <w:tcW w:w="0" w:type="auto"/>
                  <w:shd w:val="clear" w:color="auto" w:fill="auto"/>
                  <w:vAlign w:val="center"/>
                </w:tcPr>
                <w:p w14:paraId="2C65D952">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良好通风</w:t>
                  </w:r>
                </w:p>
              </w:tc>
              <w:tc>
                <w:tcPr>
                  <w:tcW w:w="0" w:type="auto"/>
                  <w:shd w:val="clear" w:color="auto" w:fill="auto"/>
                  <w:vAlign w:val="center"/>
                </w:tcPr>
                <w:p w14:paraId="17032188">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普通管道</w:t>
                  </w:r>
                </w:p>
              </w:tc>
              <w:tc>
                <w:tcPr>
                  <w:tcW w:w="0" w:type="auto"/>
                  <w:shd w:val="clear" w:color="auto" w:fill="auto"/>
                  <w:vAlign w:val="center"/>
                </w:tcPr>
                <w:p w14:paraId="46997BF6">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洗手盆 b 和去污设备</w:t>
                  </w:r>
                </w:p>
              </w:tc>
            </w:tr>
            <w:tr w14:paraId="50CF18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780" w:type="pct"/>
                  <w:shd w:val="clear" w:color="auto" w:fill="auto"/>
                  <w:vAlign w:val="center"/>
                </w:tcPr>
                <w:p w14:paraId="5B1E85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核医学楼二层PET诊断区-候诊区</w:t>
                  </w:r>
                </w:p>
              </w:tc>
              <w:tc>
                <w:tcPr>
                  <w:tcW w:w="376" w:type="pct"/>
                  <w:shd w:val="clear" w:color="auto" w:fill="auto"/>
                  <w:vAlign w:val="center"/>
                </w:tcPr>
                <w:p w14:paraId="6395E6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Ⅱ</w:t>
                  </w:r>
                </w:p>
              </w:tc>
              <w:tc>
                <w:tcPr>
                  <w:tcW w:w="390" w:type="pct"/>
                  <w:shd w:val="clear" w:color="auto" w:fill="auto"/>
                  <w:vAlign w:val="center"/>
                </w:tcPr>
                <w:p w14:paraId="7A2E5799">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需要</w:t>
                  </w:r>
                </w:p>
              </w:tc>
              <w:tc>
                <w:tcPr>
                  <w:tcW w:w="0" w:type="auto"/>
                  <w:shd w:val="clear" w:color="auto" w:fill="auto"/>
                  <w:vAlign w:val="center"/>
                </w:tcPr>
                <w:p w14:paraId="6126F818">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与墙壁接缝无缝隙</w:t>
                  </w:r>
                </w:p>
              </w:tc>
              <w:tc>
                <w:tcPr>
                  <w:tcW w:w="0" w:type="auto"/>
                  <w:shd w:val="clear" w:color="auto" w:fill="auto"/>
                  <w:vAlign w:val="center"/>
                </w:tcPr>
                <w:p w14:paraId="11CC0112">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易清洗</w:t>
                  </w:r>
                </w:p>
              </w:tc>
              <w:tc>
                <w:tcPr>
                  <w:tcW w:w="0" w:type="auto"/>
                  <w:shd w:val="clear" w:color="auto" w:fill="auto"/>
                  <w:vAlign w:val="center"/>
                </w:tcPr>
                <w:p w14:paraId="12847B9E">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w:t>
                  </w:r>
                </w:p>
              </w:tc>
              <w:tc>
                <w:tcPr>
                  <w:tcW w:w="0" w:type="auto"/>
                  <w:shd w:val="clear" w:color="auto" w:fill="auto"/>
                  <w:vAlign w:val="center"/>
                </w:tcPr>
                <w:p w14:paraId="3643A6B5">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良好通风</w:t>
                  </w:r>
                </w:p>
              </w:tc>
              <w:tc>
                <w:tcPr>
                  <w:tcW w:w="0" w:type="auto"/>
                  <w:shd w:val="clear" w:color="auto" w:fill="auto"/>
                  <w:vAlign w:val="center"/>
                </w:tcPr>
                <w:p w14:paraId="6A6C5A69">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普通管道</w:t>
                  </w:r>
                </w:p>
              </w:tc>
              <w:tc>
                <w:tcPr>
                  <w:tcW w:w="0" w:type="auto"/>
                  <w:shd w:val="clear" w:color="auto" w:fill="auto"/>
                  <w:vAlign w:val="center"/>
                </w:tcPr>
                <w:p w14:paraId="0BBE2971">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洗手盆 b 和去污设备</w:t>
                  </w:r>
                </w:p>
              </w:tc>
            </w:tr>
            <w:tr w14:paraId="7E19D2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780" w:type="pct"/>
                  <w:shd w:val="clear" w:color="auto" w:fill="auto"/>
                  <w:vAlign w:val="center"/>
                </w:tcPr>
                <w:p w14:paraId="065633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核医学楼二层PET诊断区-放射性废物库</w:t>
                  </w:r>
                </w:p>
              </w:tc>
              <w:tc>
                <w:tcPr>
                  <w:tcW w:w="376" w:type="pct"/>
                  <w:shd w:val="clear" w:color="auto" w:fill="auto"/>
                  <w:vAlign w:val="center"/>
                </w:tcPr>
                <w:p w14:paraId="7FCA9DE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Ⅱ</w:t>
                  </w:r>
                </w:p>
              </w:tc>
              <w:tc>
                <w:tcPr>
                  <w:tcW w:w="390" w:type="pct"/>
                  <w:shd w:val="clear" w:color="auto" w:fill="auto"/>
                  <w:vAlign w:val="center"/>
                </w:tcPr>
                <w:p w14:paraId="7F24D59B">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需要</w:t>
                  </w:r>
                </w:p>
              </w:tc>
              <w:tc>
                <w:tcPr>
                  <w:tcW w:w="0" w:type="auto"/>
                  <w:shd w:val="clear" w:color="auto" w:fill="auto"/>
                  <w:vAlign w:val="center"/>
                </w:tcPr>
                <w:p w14:paraId="28B3E758">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与墙壁接缝无缝隙</w:t>
                  </w:r>
                </w:p>
              </w:tc>
              <w:tc>
                <w:tcPr>
                  <w:tcW w:w="0" w:type="auto"/>
                  <w:shd w:val="clear" w:color="auto" w:fill="auto"/>
                  <w:vAlign w:val="center"/>
                </w:tcPr>
                <w:p w14:paraId="787D6823">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易清洗</w:t>
                  </w:r>
                </w:p>
              </w:tc>
              <w:tc>
                <w:tcPr>
                  <w:tcW w:w="0" w:type="auto"/>
                  <w:shd w:val="clear" w:color="auto" w:fill="auto"/>
                  <w:vAlign w:val="center"/>
                </w:tcPr>
                <w:p w14:paraId="2AA8C709">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cs="Times New Roman"/>
                      <w:color w:val="auto"/>
                      <w:sz w:val="18"/>
                      <w:szCs w:val="18"/>
                      <w:highlight w:val="none"/>
                      <w:lang w:val="en-US" w:eastAsia="zh-CN"/>
                    </w:rPr>
                    <w:t>/</w:t>
                  </w:r>
                </w:p>
              </w:tc>
              <w:tc>
                <w:tcPr>
                  <w:tcW w:w="0" w:type="auto"/>
                  <w:shd w:val="clear" w:color="auto" w:fill="auto"/>
                  <w:vAlign w:val="center"/>
                </w:tcPr>
                <w:p w14:paraId="36FCE7A0">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良好通风</w:t>
                  </w:r>
                </w:p>
              </w:tc>
              <w:tc>
                <w:tcPr>
                  <w:tcW w:w="0" w:type="auto"/>
                  <w:shd w:val="clear" w:color="auto" w:fill="auto"/>
                  <w:vAlign w:val="center"/>
                </w:tcPr>
                <w:p w14:paraId="5AE0CDA2">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普通管道</w:t>
                  </w:r>
                </w:p>
              </w:tc>
              <w:tc>
                <w:tcPr>
                  <w:tcW w:w="0" w:type="auto"/>
                  <w:shd w:val="clear" w:color="auto" w:fill="auto"/>
                  <w:vAlign w:val="center"/>
                </w:tcPr>
                <w:p w14:paraId="6A320B08">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洗手盆 b 和去污设备</w:t>
                  </w:r>
                </w:p>
              </w:tc>
            </w:tr>
            <w:tr w14:paraId="2E1075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780" w:type="pct"/>
                  <w:shd w:val="clear" w:color="auto" w:fill="auto"/>
                  <w:vAlign w:val="center"/>
                </w:tcPr>
                <w:p w14:paraId="3829E97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核医学楼负一层单光子药物生产车间</w:t>
                  </w:r>
                </w:p>
              </w:tc>
              <w:tc>
                <w:tcPr>
                  <w:tcW w:w="376" w:type="pct"/>
                  <w:shd w:val="clear" w:color="auto" w:fill="auto"/>
                  <w:vAlign w:val="center"/>
                </w:tcPr>
                <w:p w14:paraId="34703F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I</w:t>
                  </w:r>
                </w:p>
              </w:tc>
              <w:tc>
                <w:tcPr>
                  <w:tcW w:w="390" w:type="pct"/>
                  <w:shd w:val="clear" w:color="auto" w:fill="auto"/>
                  <w:vAlign w:val="center"/>
                </w:tcPr>
                <w:p w14:paraId="33B7B1CB">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03CAF38C">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与墙壁接缝无缝隙</w:t>
                  </w:r>
                </w:p>
              </w:tc>
              <w:tc>
                <w:tcPr>
                  <w:tcW w:w="0" w:type="auto"/>
                  <w:shd w:val="clear" w:color="auto" w:fill="auto"/>
                  <w:vAlign w:val="center"/>
                </w:tcPr>
                <w:p w14:paraId="433E6DB3">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2"/>
                      <w:sz w:val="18"/>
                      <w:szCs w:val="18"/>
                      <w:highlight w:val="none"/>
                    </w:rPr>
                    <w:t>易清洗</w:t>
                  </w:r>
                </w:p>
              </w:tc>
              <w:tc>
                <w:tcPr>
                  <w:tcW w:w="0" w:type="auto"/>
                  <w:shd w:val="clear" w:color="auto" w:fill="auto"/>
                  <w:vAlign w:val="center"/>
                </w:tcPr>
                <w:p w14:paraId="5CBE6A32">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17529102">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特殊的强制通风</w:t>
                  </w:r>
                </w:p>
              </w:tc>
              <w:tc>
                <w:tcPr>
                  <w:tcW w:w="0" w:type="auto"/>
                  <w:shd w:val="clear" w:color="auto" w:fill="auto"/>
                  <w:vAlign w:val="center"/>
                </w:tcPr>
                <w:p w14:paraId="38ABB85C">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6"/>
                      <w:sz w:val="18"/>
                      <w:szCs w:val="18"/>
                      <w:highlight w:val="none"/>
                    </w:rPr>
                    <w:t>特殊的管道</w:t>
                  </w:r>
                  <w:r>
                    <w:rPr>
                      <w:rFonts w:hint="default" w:ascii="Times New Roman" w:hAnsi="Times New Roman" w:eastAsia="宋体" w:cs="Times New Roman"/>
                      <w:color w:val="auto"/>
                      <w:spacing w:val="-39"/>
                      <w:sz w:val="18"/>
                      <w:szCs w:val="18"/>
                      <w:highlight w:val="none"/>
                    </w:rPr>
                    <w:t xml:space="preserve"> </w:t>
                  </w:r>
                  <w:r>
                    <w:rPr>
                      <w:rFonts w:hint="default" w:ascii="Times New Roman" w:hAnsi="Times New Roman" w:eastAsia="Times New Roman" w:cs="Times New Roman"/>
                      <w:color w:val="auto"/>
                      <w:spacing w:val="6"/>
                      <w:position w:val="6"/>
                      <w:sz w:val="18"/>
                      <w:szCs w:val="18"/>
                      <w:highlight w:val="none"/>
                    </w:rPr>
                    <w:t>a</w:t>
                  </w:r>
                </w:p>
              </w:tc>
              <w:tc>
                <w:tcPr>
                  <w:tcW w:w="0" w:type="auto"/>
                  <w:shd w:val="clear" w:color="auto" w:fill="auto"/>
                  <w:vAlign w:val="center"/>
                </w:tcPr>
                <w:p w14:paraId="1EC81099">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7"/>
                      <w:sz w:val="18"/>
                      <w:szCs w:val="18"/>
                      <w:highlight w:val="none"/>
                    </w:rPr>
                    <w:t>洗手盆</w:t>
                  </w:r>
                  <w:r>
                    <w:rPr>
                      <w:rFonts w:hint="default" w:ascii="Times New Roman" w:hAnsi="Times New Roman" w:eastAsia="宋体" w:cs="Times New Roman"/>
                      <w:color w:val="auto"/>
                      <w:spacing w:val="-45"/>
                      <w:sz w:val="18"/>
                      <w:szCs w:val="18"/>
                      <w:highlight w:val="none"/>
                    </w:rPr>
                    <w:t xml:space="preserve"> </w:t>
                  </w:r>
                  <w:r>
                    <w:rPr>
                      <w:rFonts w:hint="default" w:ascii="Times New Roman" w:hAnsi="Times New Roman" w:eastAsia="Times New Roman" w:cs="Times New Roman"/>
                      <w:color w:val="auto"/>
                      <w:spacing w:val="7"/>
                      <w:position w:val="6"/>
                      <w:sz w:val="18"/>
                      <w:szCs w:val="18"/>
                      <w:highlight w:val="none"/>
                    </w:rPr>
                    <w:t xml:space="preserve">b </w:t>
                  </w:r>
                  <w:r>
                    <w:rPr>
                      <w:rFonts w:hint="default" w:ascii="Times New Roman" w:hAnsi="Times New Roman" w:eastAsia="宋体" w:cs="Times New Roman"/>
                      <w:color w:val="auto"/>
                      <w:spacing w:val="7"/>
                      <w:sz w:val="18"/>
                      <w:szCs w:val="18"/>
                      <w:highlight w:val="none"/>
                    </w:rPr>
                    <w:t>和去污设备</w:t>
                  </w:r>
                </w:p>
              </w:tc>
            </w:tr>
            <w:tr w14:paraId="501496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780" w:type="pct"/>
                  <w:shd w:val="clear" w:color="auto" w:fill="auto"/>
                  <w:vAlign w:val="center"/>
                </w:tcPr>
                <w:p w14:paraId="4FB5E7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核医学楼一层SPPCT诊断区-注射室</w:t>
                  </w:r>
                </w:p>
              </w:tc>
              <w:tc>
                <w:tcPr>
                  <w:tcW w:w="376" w:type="pct"/>
                  <w:shd w:val="clear" w:color="auto" w:fill="auto"/>
                  <w:vAlign w:val="center"/>
                </w:tcPr>
                <w:p w14:paraId="1E6B9D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I</w:t>
                  </w:r>
                </w:p>
              </w:tc>
              <w:tc>
                <w:tcPr>
                  <w:tcW w:w="390" w:type="pct"/>
                  <w:shd w:val="clear" w:color="auto" w:fill="auto"/>
                  <w:vAlign w:val="center"/>
                </w:tcPr>
                <w:p w14:paraId="60BBE817">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57F8E625">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与墙壁接缝无缝隙</w:t>
                  </w:r>
                </w:p>
              </w:tc>
              <w:tc>
                <w:tcPr>
                  <w:tcW w:w="0" w:type="auto"/>
                  <w:shd w:val="clear" w:color="auto" w:fill="auto"/>
                  <w:vAlign w:val="center"/>
                </w:tcPr>
                <w:p w14:paraId="3C220E7D">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2"/>
                      <w:sz w:val="18"/>
                      <w:szCs w:val="18"/>
                      <w:highlight w:val="none"/>
                    </w:rPr>
                    <w:t>易清洗</w:t>
                  </w:r>
                </w:p>
              </w:tc>
              <w:tc>
                <w:tcPr>
                  <w:tcW w:w="0" w:type="auto"/>
                  <w:shd w:val="clear" w:color="auto" w:fill="auto"/>
                  <w:vAlign w:val="center"/>
                </w:tcPr>
                <w:p w14:paraId="090414F9">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67226D07">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特殊的强制通风</w:t>
                  </w:r>
                </w:p>
              </w:tc>
              <w:tc>
                <w:tcPr>
                  <w:tcW w:w="0" w:type="auto"/>
                  <w:shd w:val="clear" w:color="auto" w:fill="auto"/>
                  <w:vAlign w:val="center"/>
                </w:tcPr>
                <w:p w14:paraId="21FCD268">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6"/>
                      <w:sz w:val="18"/>
                      <w:szCs w:val="18"/>
                      <w:highlight w:val="none"/>
                    </w:rPr>
                    <w:t>特殊的管道</w:t>
                  </w:r>
                  <w:r>
                    <w:rPr>
                      <w:rFonts w:hint="default" w:ascii="Times New Roman" w:hAnsi="Times New Roman" w:eastAsia="宋体" w:cs="Times New Roman"/>
                      <w:color w:val="auto"/>
                      <w:spacing w:val="-39"/>
                      <w:sz w:val="18"/>
                      <w:szCs w:val="18"/>
                      <w:highlight w:val="none"/>
                    </w:rPr>
                    <w:t xml:space="preserve"> </w:t>
                  </w:r>
                  <w:r>
                    <w:rPr>
                      <w:rFonts w:hint="default" w:ascii="Times New Roman" w:hAnsi="Times New Roman" w:eastAsia="Times New Roman" w:cs="Times New Roman"/>
                      <w:color w:val="auto"/>
                      <w:spacing w:val="6"/>
                      <w:position w:val="6"/>
                      <w:sz w:val="18"/>
                      <w:szCs w:val="18"/>
                      <w:highlight w:val="none"/>
                    </w:rPr>
                    <w:t>a</w:t>
                  </w:r>
                </w:p>
              </w:tc>
              <w:tc>
                <w:tcPr>
                  <w:tcW w:w="0" w:type="auto"/>
                  <w:shd w:val="clear" w:color="auto" w:fill="auto"/>
                  <w:vAlign w:val="center"/>
                </w:tcPr>
                <w:p w14:paraId="3AC4D682">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7"/>
                      <w:sz w:val="18"/>
                      <w:szCs w:val="18"/>
                      <w:highlight w:val="none"/>
                    </w:rPr>
                    <w:t>洗手盆</w:t>
                  </w:r>
                  <w:r>
                    <w:rPr>
                      <w:rFonts w:hint="default" w:ascii="Times New Roman" w:hAnsi="Times New Roman" w:eastAsia="宋体" w:cs="Times New Roman"/>
                      <w:color w:val="auto"/>
                      <w:spacing w:val="-45"/>
                      <w:sz w:val="18"/>
                      <w:szCs w:val="18"/>
                      <w:highlight w:val="none"/>
                    </w:rPr>
                    <w:t xml:space="preserve"> </w:t>
                  </w:r>
                  <w:r>
                    <w:rPr>
                      <w:rFonts w:hint="default" w:ascii="Times New Roman" w:hAnsi="Times New Roman" w:eastAsia="Times New Roman" w:cs="Times New Roman"/>
                      <w:color w:val="auto"/>
                      <w:spacing w:val="7"/>
                      <w:position w:val="6"/>
                      <w:sz w:val="18"/>
                      <w:szCs w:val="18"/>
                      <w:highlight w:val="none"/>
                    </w:rPr>
                    <w:t xml:space="preserve">b </w:t>
                  </w:r>
                  <w:r>
                    <w:rPr>
                      <w:rFonts w:hint="default" w:ascii="Times New Roman" w:hAnsi="Times New Roman" w:eastAsia="宋体" w:cs="Times New Roman"/>
                      <w:color w:val="auto"/>
                      <w:spacing w:val="7"/>
                      <w:sz w:val="18"/>
                      <w:szCs w:val="18"/>
                      <w:highlight w:val="none"/>
                    </w:rPr>
                    <w:t>和去污设备</w:t>
                  </w:r>
                </w:p>
              </w:tc>
            </w:tr>
            <w:tr w14:paraId="6080AF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90" w:hRule="atLeast"/>
                <w:jc w:val="center"/>
              </w:trPr>
              <w:tc>
                <w:tcPr>
                  <w:tcW w:w="780" w:type="pct"/>
                  <w:shd w:val="clear" w:color="auto" w:fill="auto"/>
                  <w:vAlign w:val="center"/>
                </w:tcPr>
                <w:p w14:paraId="3695EA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核医学楼一层SPPCT诊断区-诊断机房</w:t>
                  </w:r>
                </w:p>
              </w:tc>
              <w:tc>
                <w:tcPr>
                  <w:tcW w:w="376" w:type="pct"/>
                  <w:shd w:val="clear" w:color="auto" w:fill="auto"/>
                  <w:vAlign w:val="center"/>
                </w:tcPr>
                <w:p w14:paraId="45294E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I</w:t>
                  </w:r>
                </w:p>
              </w:tc>
              <w:tc>
                <w:tcPr>
                  <w:tcW w:w="390" w:type="pct"/>
                  <w:shd w:val="clear" w:color="auto" w:fill="auto"/>
                  <w:vAlign w:val="center"/>
                </w:tcPr>
                <w:p w14:paraId="6DD6B371">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06ABAD5B">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与墙壁接缝无缝隙</w:t>
                  </w:r>
                </w:p>
              </w:tc>
              <w:tc>
                <w:tcPr>
                  <w:tcW w:w="0" w:type="auto"/>
                  <w:shd w:val="clear" w:color="auto" w:fill="auto"/>
                  <w:vAlign w:val="center"/>
                </w:tcPr>
                <w:p w14:paraId="2EDD1F15">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2"/>
                      <w:sz w:val="18"/>
                      <w:szCs w:val="18"/>
                      <w:highlight w:val="none"/>
                    </w:rPr>
                    <w:t>易清洗</w:t>
                  </w:r>
                </w:p>
              </w:tc>
              <w:tc>
                <w:tcPr>
                  <w:tcW w:w="0" w:type="auto"/>
                  <w:shd w:val="clear" w:color="auto" w:fill="auto"/>
                  <w:vAlign w:val="center"/>
                </w:tcPr>
                <w:p w14:paraId="3C60D010">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7D6DBE89">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特殊的强制通风</w:t>
                  </w:r>
                </w:p>
              </w:tc>
              <w:tc>
                <w:tcPr>
                  <w:tcW w:w="0" w:type="auto"/>
                  <w:shd w:val="clear" w:color="auto" w:fill="auto"/>
                  <w:vAlign w:val="center"/>
                </w:tcPr>
                <w:p w14:paraId="7E053426">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6"/>
                      <w:sz w:val="18"/>
                      <w:szCs w:val="18"/>
                      <w:highlight w:val="none"/>
                    </w:rPr>
                    <w:t>特殊的管道</w:t>
                  </w:r>
                  <w:r>
                    <w:rPr>
                      <w:rFonts w:hint="default" w:ascii="Times New Roman" w:hAnsi="Times New Roman" w:eastAsia="宋体" w:cs="Times New Roman"/>
                      <w:color w:val="auto"/>
                      <w:spacing w:val="-39"/>
                      <w:sz w:val="18"/>
                      <w:szCs w:val="18"/>
                      <w:highlight w:val="none"/>
                    </w:rPr>
                    <w:t xml:space="preserve"> </w:t>
                  </w:r>
                  <w:r>
                    <w:rPr>
                      <w:rFonts w:hint="default" w:ascii="Times New Roman" w:hAnsi="Times New Roman" w:eastAsia="Times New Roman" w:cs="Times New Roman"/>
                      <w:color w:val="auto"/>
                      <w:spacing w:val="6"/>
                      <w:position w:val="6"/>
                      <w:sz w:val="18"/>
                      <w:szCs w:val="18"/>
                      <w:highlight w:val="none"/>
                    </w:rPr>
                    <w:t>a</w:t>
                  </w:r>
                </w:p>
              </w:tc>
              <w:tc>
                <w:tcPr>
                  <w:tcW w:w="0" w:type="auto"/>
                  <w:shd w:val="clear" w:color="auto" w:fill="auto"/>
                  <w:vAlign w:val="center"/>
                </w:tcPr>
                <w:p w14:paraId="164AC1FB">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7"/>
                      <w:sz w:val="18"/>
                      <w:szCs w:val="18"/>
                      <w:highlight w:val="none"/>
                    </w:rPr>
                    <w:t>洗手盆</w:t>
                  </w:r>
                  <w:r>
                    <w:rPr>
                      <w:rFonts w:hint="default" w:ascii="Times New Roman" w:hAnsi="Times New Roman" w:eastAsia="宋体" w:cs="Times New Roman"/>
                      <w:color w:val="auto"/>
                      <w:spacing w:val="-45"/>
                      <w:sz w:val="18"/>
                      <w:szCs w:val="18"/>
                      <w:highlight w:val="none"/>
                    </w:rPr>
                    <w:t xml:space="preserve"> </w:t>
                  </w:r>
                  <w:r>
                    <w:rPr>
                      <w:rFonts w:hint="default" w:ascii="Times New Roman" w:hAnsi="Times New Roman" w:eastAsia="Times New Roman" w:cs="Times New Roman"/>
                      <w:color w:val="auto"/>
                      <w:spacing w:val="7"/>
                      <w:position w:val="6"/>
                      <w:sz w:val="18"/>
                      <w:szCs w:val="18"/>
                      <w:highlight w:val="none"/>
                    </w:rPr>
                    <w:t xml:space="preserve">b </w:t>
                  </w:r>
                  <w:r>
                    <w:rPr>
                      <w:rFonts w:hint="default" w:ascii="Times New Roman" w:hAnsi="Times New Roman" w:eastAsia="宋体" w:cs="Times New Roman"/>
                      <w:color w:val="auto"/>
                      <w:spacing w:val="7"/>
                      <w:sz w:val="18"/>
                      <w:szCs w:val="18"/>
                      <w:highlight w:val="none"/>
                    </w:rPr>
                    <w:t>和去污设备</w:t>
                  </w:r>
                </w:p>
              </w:tc>
            </w:tr>
            <w:tr w14:paraId="540A93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780" w:type="pct"/>
                  <w:shd w:val="clear" w:color="auto" w:fill="auto"/>
                  <w:vAlign w:val="center"/>
                </w:tcPr>
                <w:p w14:paraId="1EC336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核医学楼一层SPPCT诊断区-候诊区</w:t>
                  </w:r>
                </w:p>
              </w:tc>
              <w:tc>
                <w:tcPr>
                  <w:tcW w:w="376" w:type="pct"/>
                  <w:shd w:val="clear" w:color="auto" w:fill="auto"/>
                  <w:vAlign w:val="center"/>
                </w:tcPr>
                <w:p w14:paraId="47B98E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I</w:t>
                  </w:r>
                </w:p>
              </w:tc>
              <w:tc>
                <w:tcPr>
                  <w:tcW w:w="390" w:type="pct"/>
                  <w:shd w:val="clear" w:color="auto" w:fill="auto"/>
                  <w:vAlign w:val="center"/>
                </w:tcPr>
                <w:p w14:paraId="7C6C80FC">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027DF468">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与墙壁接缝无缝隙</w:t>
                  </w:r>
                </w:p>
              </w:tc>
              <w:tc>
                <w:tcPr>
                  <w:tcW w:w="0" w:type="auto"/>
                  <w:shd w:val="clear" w:color="auto" w:fill="auto"/>
                  <w:vAlign w:val="center"/>
                </w:tcPr>
                <w:p w14:paraId="2BD638E1">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2"/>
                      <w:sz w:val="18"/>
                      <w:szCs w:val="18"/>
                      <w:highlight w:val="none"/>
                    </w:rPr>
                    <w:t>易清洗</w:t>
                  </w:r>
                </w:p>
              </w:tc>
              <w:tc>
                <w:tcPr>
                  <w:tcW w:w="0" w:type="auto"/>
                  <w:shd w:val="clear" w:color="auto" w:fill="auto"/>
                  <w:vAlign w:val="center"/>
                </w:tcPr>
                <w:p w14:paraId="496C70C6">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41AFC831">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特殊的强制通风</w:t>
                  </w:r>
                </w:p>
              </w:tc>
              <w:tc>
                <w:tcPr>
                  <w:tcW w:w="0" w:type="auto"/>
                  <w:shd w:val="clear" w:color="auto" w:fill="auto"/>
                  <w:vAlign w:val="center"/>
                </w:tcPr>
                <w:p w14:paraId="77A57304">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6"/>
                      <w:sz w:val="18"/>
                      <w:szCs w:val="18"/>
                      <w:highlight w:val="none"/>
                    </w:rPr>
                    <w:t>特殊的管道</w:t>
                  </w:r>
                  <w:r>
                    <w:rPr>
                      <w:rFonts w:hint="default" w:ascii="Times New Roman" w:hAnsi="Times New Roman" w:eastAsia="宋体" w:cs="Times New Roman"/>
                      <w:color w:val="auto"/>
                      <w:spacing w:val="-39"/>
                      <w:sz w:val="18"/>
                      <w:szCs w:val="18"/>
                      <w:highlight w:val="none"/>
                    </w:rPr>
                    <w:t xml:space="preserve"> </w:t>
                  </w:r>
                  <w:r>
                    <w:rPr>
                      <w:rFonts w:hint="default" w:ascii="Times New Roman" w:hAnsi="Times New Roman" w:eastAsia="Times New Roman" w:cs="Times New Roman"/>
                      <w:color w:val="auto"/>
                      <w:spacing w:val="6"/>
                      <w:position w:val="6"/>
                      <w:sz w:val="18"/>
                      <w:szCs w:val="18"/>
                      <w:highlight w:val="none"/>
                    </w:rPr>
                    <w:t>a</w:t>
                  </w:r>
                </w:p>
              </w:tc>
              <w:tc>
                <w:tcPr>
                  <w:tcW w:w="0" w:type="auto"/>
                  <w:shd w:val="clear" w:color="auto" w:fill="auto"/>
                  <w:vAlign w:val="center"/>
                </w:tcPr>
                <w:p w14:paraId="27FEF4DA">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7"/>
                      <w:sz w:val="18"/>
                      <w:szCs w:val="18"/>
                      <w:highlight w:val="none"/>
                    </w:rPr>
                    <w:t>洗手盆</w:t>
                  </w:r>
                  <w:r>
                    <w:rPr>
                      <w:rFonts w:hint="default" w:ascii="Times New Roman" w:hAnsi="Times New Roman" w:eastAsia="宋体" w:cs="Times New Roman"/>
                      <w:color w:val="auto"/>
                      <w:spacing w:val="-45"/>
                      <w:sz w:val="18"/>
                      <w:szCs w:val="18"/>
                      <w:highlight w:val="none"/>
                    </w:rPr>
                    <w:t xml:space="preserve"> </w:t>
                  </w:r>
                  <w:r>
                    <w:rPr>
                      <w:rFonts w:hint="default" w:ascii="Times New Roman" w:hAnsi="Times New Roman" w:eastAsia="Times New Roman" w:cs="Times New Roman"/>
                      <w:color w:val="auto"/>
                      <w:spacing w:val="7"/>
                      <w:position w:val="6"/>
                      <w:sz w:val="18"/>
                      <w:szCs w:val="18"/>
                      <w:highlight w:val="none"/>
                    </w:rPr>
                    <w:t xml:space="preserve">b </w:t>
                  </w:r>
                  <w:r>
                    <w:rPr>
                      <w:rFonts w:hint="default" w:ascii="Times New Roman" w:hAnsi="Times New Roman" w:eastAsia="宋体" w:cs="Times New Roman"/>
                      <w:color w:val="auto"/>
                      <w:spacing w:val="7"/>
                      <w:sz w:val="18"/>
                      <w:szCs w:val="18"/>
                      <w:highlight w:val="none"/>
                    </w:rPr>
                    <w:t>和去污设备</w:t>
                  </w:r>
                </w:p>
              </w:tc>
            </w:tr>
            <w:tr w14:paraId="49F52F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780" w:type="pct"/>
                  <w:shd w:val="clear" w:color="auto" w:fill="auto"/>
                  <w:vAlign w:val="center"/>
                </w:tcPr>
                <w:p w14:paraId="1F0A7C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核医学楼一层SPPCT诊断区-放射性废物库</w:t>
                  </w:r>
                </w:p>
              </w:tc>
              <w:tc>
                <w:tcPr>
                  <w:tcW w:w="376" w:type="pct"/>
                  <w:shd w:val="clear" w:color="auto" w:fill="auto"/>
                  <w:vAlign w:val="center"/>
                </w:tcPr>
                <w:p w14:paraId="3C6545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Ⅱ</w:t>
                  </w:r>
                </w:p>
              </w:tc>
              <w:tc>
                <w:tcPr>
                  <w:tcW w:w="390" w:type="pct"/>
                  <w:shd w:val="clear" w:color="auto" w:fill="auto"/>
                  <w:vAlign w:val="center"/>
                </w:tcPr>
                <w:p w14:paraId="21A54703">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需要</w:t>
                  </w:r>
                </w:p>
              </w:tc>
              <w:tc>
                <w:tcPr>
                  <w:tcW w:w="0" w:type="auto"/>
                  <w:shd w:val="clear" w:color="auto" w:fill="auto"/>
                  <w:vAlign w:val="center"/>
                </w:tcPr>
                <w:p w14:paraId="1C111108">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与墙壁接缝无缝隙</w:t>
                  </w:r>
                </w:p>
              </w:tc>
              <w:tc>
                <w:tcPr>
                  <w:tcW w:w="0" w:type="auto"/>
                  <w:shd w:val="clear" w:color="auto" w:fill="auto"/>
                  <w:vAlign w:val="center"/>
                </w:tcPr>
                <w:p w14:paraId="72B74B1B">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易清洗</w:t>
                  </w:r>
                </w:p>
              </w:tc>
              <w:tc>
                <w:tcPr>
                  <w:tcW w:w="0" w:type="auto"/>
                  <w:shd w:val="clear" w:color="auto" w:fill="auto"/>
                  <w:vAlign w:val="center"/>
                </w:tcPr>
                <w:p w14:paraId="1E584835">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需要</w:t>
                  </w:r>
                </w:p>
              </w:tc>
              <w:tc>
                <w:tcPr>
                  <w:tcW w:w="0" w:type="auto"/>
                  <w:shd w:val="clear" w:color="auto" w:fill="auto"/>
                  <w:vAlign w:val="center"/>
                </w:tcPr>
                <w:p w14:paraId="705BA1D4">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良好通风</w:t>
                  </w:r>
                </w:p>
              </w:tc>
              <w:tc>
                <w:tcPr>
                  <w:tcW w:w="0" w:type="auto"/>
                  <w:shd w:val="clear" w:color="auto" w:fill="auto"/>
                  <w:vAlign w:val="center"/>
                </w:tcPr>
                <w:p w14:paraId="30A312FB">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普通管道</w:t>
                  </w:r>
                </w:p>
              </w:tc>
              <w:tc>
                <w:tcPr>
                  <w:tcW w:w="0" w:type="auto"/>
                  <w:shd w:val="clear" w:color="auto" w:fill="auto"/>
                  <w:vAlign w:val="center"/>
                </w:tcPr>
                <w:p w14:paraId="3497C174">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z w:val="18"/>
                      <w:szCs w:val="18"/>
                      <w:highlight w:val="none"/>
                      <w:lang w:val="en-US" w:eastAsia="zh-CN"/>
                    </w:rPr>
                    <w:t>洗手盆 b 和去污设备</w:t>
                  </w:r>
                </w:p>
              </w:tc>
            </w:tr>
            <w:tr w14:paraId="7E82C0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780" w:type="pct"/>
                  <w:shd w:val="clear" w:color="auto" w:fill="auto"/>
                  <w:vAlign w:val="center"/>
                </w:tcPr>
                <w:p w14:paraId="536546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核医学楼三层核素治疗区-储源室</w:t>
                  </w:r>
                </w:p>
              </w:tc>
              <w:tc>
                <w:tcPr>
                  <w:tcW w:w="376" w:type="pct"/>
                  <w:shd w:val="clear" w:color="auto" w:fill="auto"/>
                  <w:vAlign w:val="center"/>
                </w:tcPr>
                <w:p w14:paraId="50F520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I</w:t>
                  </w:r>
                </w:p>
              </w:tc>
              <w:tc>
                <w:tcPr>
                  <w:tcW w:w="390" w:type="pct"/>
                  <w:shd w:val="clear" w:color="auto" w:fill="auto"/>
                  <w:vAlign w:val="center"/>
                </w:tcPr>
                <w:p w14:paraId="5E0F8FEF">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171405AB">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与墙壁接缝无缝隙</w:t>
                  </w:r>
                </w:p>
              </w:tc>
              <w:tc>
                <w:tcPr>
                  <w:tcW w:w="0" w:type="auto"/>
                  <w:shd w:val="clear" w:color="auto" w:fill="auto"/>
                  <w:vAlign w:val="center"/>
                </w:tcPr>
                <w:p w14:paraId="5070B9B2">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2"/>
                      <w:sz w:val="18"/>
                      <w:szCs w:val="18"/>
                      <w:highlight w:val="none"/>
                    </w:rPr>
                    <w:t>易清洗</w:t>
                  </w:r>
                </w:p>
              </w:tc>
              <w:tc>
                <w:tcPr>
                  <w:tcW w:w="0" w:type="auto"/>
                  <w:shd w:val="clear" w:color="auto" w:fill="auto"/>
                  <w:vAlign w:val="center"/>
                </w:tcPr>
                <w:p w14:paraId="51C179A0">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48E37BCB">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特殊的强制通风</w:t>
                  </w:r>
                </w:p>
              </w:tc>
              <w:tc>
                <w:tcPr>
                  <w:tcW w:w="0" w:type="auto"/>
                  <w:shd w:val="clear" w:color="auto" w:fill="auto"/>
                  <w:vAlign w:val="center"/>
                </w:tcPr>
                <w:p w14:paraId="3EC897F6">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6"/>
                      <w:sz w:val="18"/>
                      <w:szCs w:val="18"/>
                      <w:highlight w:val="none"/>
                    </w:rPr>
                    <w:t>特殊的管道</w:t>
                  </w:r>
                  <w:r>
                    <w:rPr>
                      <w:rFonts w:hint="default" w:ascii="Times New Roman" w:hAnsi="Times New Roman" w:eastAsia="宋体" w:cs="Times New Roman"/>
                      <w:color w:val="auto"/>
                      <w:spacing w:val="-39"/>
                      <w:sz w:val="18"/>
                      <w:szCs w:val="18"/>
                      <w:highlight w:val="none"/>
                    </w:rPr>
                    <w:t xml:space="preserve"> </w:t>
                  </w:r>
                  <w:r>
                    <w:rPr>
                      <w:rFonts w:hint="default" w:ascii="Times New Roman" w:hAnsi="Times New Roman" w:eastAsia="Times New Roman" w:cs="Times New Roman"/>
                      <w:color w:val="auto"/>
                      <w:spacing w:val="6"/>
                      <w:position w:val="6"/>
                      <w:sz w:val="18"/>
                      <w:szCs w:val="18"/>
                      <w:highlight w:val="none"/>
                    </w:rPr>
                    <w:t>a</w:t>
                  </w:r>
                </w:p>
              </w:tc>
              <w:tc>
                <w:tcPr>
                  <w:tcW w:w="0" w:type="auto"/>
                  <w:shd w:val="clear" w:color="auto" w:fill="auto"/>
                  <w:vAlign w:val="center"/>
                </w:tcPr>
                <w:p w14:paraId="736F6B73">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7"/>
                      <w:sz w:val="18"/>
                      <w:szCs w:val="18"/>
                      <w:highlight w:val="none"/>
                    </w:rPr>
                    <w:t>洗手盆</w:t>
                  </w:r>
                  <w:r>
                    <w:rPr>
                      <w:rFonts w:hint="default" w:ascii="Times New Roman" w:hAnsi="Times New Roman" w:eastAsia="宋体" w:cs="Times New Roman"/>
                      <w:color w:val="auto"/>
                      <w:spacing w:val="-45"/>
                      <w:sz w:val="18"/>
                      <w:szCs w:val="18"/>
                      <w:highlight w:val="none"/>
                    </w:rPr>
                    <w:t xml:space="preserve"> </w:t>
                  </w:r>
                  <w:r>
                    <w:rPr>
                      <w:rFonts w:hint="default" w:ascii="Times New Roman" w:hAnsi="Times New Roman" w:eastAsia="Times New Roman" w:cs="Times New Roman"/>
                      <w:color w:val="auto"/>
                      <w:spacing w:val="7"/>
                      <w:position w:val="6"/>
                      <w:sz w:val="18"/>
                      <w:szCs w:val="18"/>
                      <w:highlight w:val="none"/>
                    </w:rPr>
                    <w:t xml:space="preserve">b </w:t>
                  </w:r>
                  <w:r>
                    <w:rPr>
                      <w:rFonts w:hint="default" w:ascii="Times New Roman" w:hAnsi="Times New Roman" w:eastAsia="宋体" w:cs="Times New Roman"/>
                      <w:color w:val="auto"/>
                      <w:spacing w:val="7"/>
                      <w:sz w:val="18"/>
                      <w:szCs w:val="18"/>
                      <w:highlight w:val="none"/>
                    </w:rPr>
                    <w:t>和去污设备</w:t>
                  </w:r>
                </w:p>
              </w:tc>
            </w:tr>
            <w:tr w14:paraId="11C610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90" w:hRule="atLeast"/>
                <w:jc w:val="center"/>
              </w:trPr>
              <w:tc>
                <w:tcPr>
                  <w:tcW w:w="780" w:type="pct"/>
                  <w:shd w:val="clear" w:color="auto" w:fill="auto"/>
                  <w:vAlign w:val="center"/>
                </w:tcPr>
                <w:p w14:paraId="69646A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核医学楼三层核素治疗区-服碘室</w:t>
                  </w:r>
                </w:p>
              </w:tc>
              <w:tc>
                <w:tcPr>
                  <w:tcW w:w="376" w:type="pct"/>
                  <w:shd w:val="clear" w:color="auto" w:fill="auto"/>
                  <w:vAlign w:val="center"/>
                </w:tcPr>
                <w:p w14:paraId="2BA4CF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I</w:t>
                  </w:r>
                </w:p>
              </w:tc>
              <w:tc>
                <w:tcPr>
                  <w:tcW w:w="390" w:type="pct"/>
                  <w:shd w:val="clear" w:color="auto" w:fill="auto"/>
                  <w:vAlign w:val="center"/>
                </w:tcPr>
                <w:p w14:paraId="1AF37964">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7F5D29F5">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与墙壁接缝无缝隙</w:t>
                  </w:r>
                </w:p>
              </w:tc>
              <w:tc>
                <w:tcPr>
                  <w:tcW w:w="0" w:type="auto"/>
                  <w:shd w:val="clear" w:color="auto" w:fill="auto"/>
                  <w:vAlign w:val="center"/>
                </w:tcPr>
                <w:p w14:paraId="5EA47E9B">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2"/>
                      <w:sz w:val="18"/>
                      <w:szCs w:val="18"/>
                      <w:highlight w:val="none"/>
                    </w:rPr>
                    <w:t>易清洗</w:t>
                  </w:r>
                </w:p>
              </w:tc>
              <w:tc>
                <w:tcPr>
                  <w:tcW w:w="0" w:type="auto"/>
                  <w:shd w:val="clear" w:color="auto" w:fill="auto"/>
                  <w:vAlign w:val="center"/>
                </w:tcPr>
                <w:p w14:paraId="6FD8779D">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758B94CB">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特殊的强制通风</w:t>
                  </w:r>
                </w:p>
              </w:tc>
              <w:tc>
                <w:tcPr>
                  <w:tcW w:w="0" w:type="auto"/>
                  <w:shd w:val="clear" w:color="auto" w:fill="auto"/>
                  <w:vAlign w:val="center"/>
                </w:tcPr>
                <w:p w14:paraId="23907E1F">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6"/>
                      <w:sz w:val="18"/>
                      <w:szCs w:val="18"/>
                      <w:highlight w:val="none"/>
                    </w:rPr>
                    <w:t>特殊的管道</w:t>
                  </w:r>
                  <w:r>
                    <w:rPr>
                      <w:rFonts w:hint="default" w:ascii="Times New Roman" w:hAnsi="Times New Roman" w:eastAsia="宋体" w:cs="Times New Roman"/>
                      <w:color w:val="auto"/>
                      <w:spacing w:val="-39"/>
                      <w:sz w:val="18"/>
                      <w:szCs w:val="18"/>
                      <w:highlight w:val="none"/>
                    </w:rPr>
                    <w:t xml:space="preserve"> </w:t>
                  </w:r>
                  <w:r>
                    <w:rPr>
                      <w:rFonts w:hint="default" w:ascii="Times New Roman" w:hAnsi="Times New Roman" w:eastAsia="Times New Roman" w:cs="Times New Roman"/>
                      <w:color w:val="auto"/>
                      <w:spacing w:val="6"/>
                      <w:position w:val="6"/>
                      <w:sz w:val="18"/>
                      <w:szCs w:val="18"/>
                      <w:highlight w:val="none"/>
                    </w:rPr>
                    <w:t>a</w:t>
                  </w:r>
                </w:p>
              </w:tc>
              <w:tc>
                <w:tcPr>
                  <w:tcW w:w="0" w:type="auto"/>
                  <w:shd w:val="clear" w:color="auto" w:fill="auto"/>
                  <w:vAlign w:val="center"/>
                </w:tcPr>
                <w:p w14:paraId="6ACF92E0">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7"/>
                      <w:sz w:val="18"/>
                      <w:szCs w:val="18"/>
                      <w:highlight w:val="none"/>
                    </w:rPr>
                    <w:t>洗手盆</w:t>
                  </w:r>
                  <w:r>
                    <w:rPr>
                      <w:rFonts w:hint="default" w:ascii="Times New Roman" w:hAnsi="Times New Roman" w:eastAsia="宋体" w:cs="Times New Roman"/>
                      <w:color w:val="auto"/>
                      <w:spacing w:val="-45"/>
                      <w:sz w:val="18"/>
                      <w:szCs w:val="18"/>
                      <w:highlight w:val="none"/>
                    </w:rPr>
                    <w:t xml:space="preserve"> </w:t>
                  </w:r>
                  <w:r>
                    <w:rPr>
                      <w:rFonts w:hint="default" w:ascii="Times New Roman" w:hAnsi="Times New Roman" w:eastAsia="Times New Roman" w:cs="Times New Roman"/>
                      <w:color w:val="auto"/>
                      <w:spacing w:val="7"/>
                      <w:position w:val="6"/>
                      <w:sz w:val="18"/>
                      <w:szCs w:val="18"/>
                      <w:highlight w:val="none"/>
                    </w:rPr>
                    <w:t xml:space="preserve">b </w:t>
                  </w:r>
                  <w:r>
                    <w:rPr>
                      <w:rFonts w:hint="default" w:ascii="Times New Roman" w:hAnsi="Times New Roman" w:eastAsia="宋体" w:cs="Times New Roman"/>
                      <w:color w:val="auto"/>
                      <w:spacing w:val="7"/>
                      <w:sz w:val="18"/>
                      <w:szCs w:val="18"/>
                      <w:highlight w:val="none"/>
                    </w:rPr>
                    <w:t>和去污设备</w:t>
                  </w:r>
                </w:p>
              </w:tc>
            </w:tr>
            <w:tr w14:paraId="02708C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90" w:hRule="atLeast"/>
                <w:jc w:val="center"/>
              </w:trPr>
              <w:tc>
                <w:tcPr>
                  <w:tcW w:w="780" w:type="pct"/>
                  <w:shd w:val="clear" w:color="auto" w:fill="auto"/>
                  <w:vAlign w:val="center"/>
                </w:tcPr>
                <w:p w14:paraId="5C4418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核医学楼三层核素治疗区-注射室</w:t>
                  </w:r>
                </w:p>
              </w:tc>
              <w:tc>
                <w:tcPr>
                  <w:tcW w:w="376" w:type="pct"/>
                  <w:shd w:val="clear" w:color="auto" w:fill="auto"/>
                  <w:vAlign w:val="center"/>
                </w:tcPr>
                <w:p w14:paraId="56ED09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I</w:t>
                  </w:r>
                </w:p>
              </w:tc>
              <w:tc>
                <w:tcPr>
                  <w:tcW w:w="390" w:type="pct"/>
                  <w:shd w:val="clear" w:color="auto" w:fill="auto"/>
                  <w:vAlign w:val="center"/>
                </w:tcPr>
                <w:p w14:paraId="53183B86">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57F9E052">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与墙壁接缝无缝隙</w:t>
                  </w:r>
                </w:p>
              </w:tc>
              <w:tc>
                <w:tcPr>
                  <w:tcW w:w="0" w:type="auto"/>
                  <w:shd w:val="clear" w:color="auto" w:fill="auto"/>
                  <w:vAlign w:val="center"/>
                </w:tcPr>
                <w:p w14:paraId="6A466890">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2"/>
                      <w:sz w:val="18"/>
                      <w:szCs w:val="18"/>
                      <w:highlight w:val="none"/>
                    </w:rPr>
                    <w:t>易清洗</w:t>
                  </w:r>
                </w:p>
              </w:tc>
              <w:tc>
                <w:tcPr>
                  <w:tcW w:w="0" w:type="auto"/>
                  <w:shd w:val="clear" w:color="auto" w:fill="auto"/>
                  <w:vAlign w:val="center"/>
                </w:tcPr>
                <w:p w14:paraId="751D9806">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1"/>
                      <w:sz w:val="18"/>
                      <w:szCs w:val="18"/>
                      <w:highlight w:val="none"/>
                    </w:rPr>
                    <w:t>需要</w:t>
                  </w:r>
                </w:p>
              </w:tc>
              <w:tc>
                <w:tcPr>
                  <w:tcW w:w="0" w:type="auto"/>
                  <w:shd w:val="clear" w:color="auto" w:fill="auto"/>
                  <w:vAlign w:val="center"/>
                </w:tcPr>
                <w:p w14:paraId="23BD2A33">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8"/>
                      <w:sz w:val="18"/>
                      <w:szCs w:val="18"/>
                      <w:highlight w:val="none"/>
                    </w:rPr>
                    <w:t>特殊的强制通风</w:t>
                  </w:r>
                </w:p>
              </w:tc>
              <w:tc>
                <w:tcPr>
                  <w:tcW w:w="0" w:type="auto"/>
                  <w:shd w:val="clear" w:color="auto" w:fill="auto"/>
                  <w:vAlign w:val="center"/>
                </w:tcPr>
                <w:p w14:paraId="536F19C0">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6"/>
                      <w:sz w:val="18"/>
                      <w:szCs w:val="18"/>
                      <w:highlight w:val="none"/>
                    </w:rPr>
                    <w:t>特殊的管道</w:t>
                  </w:r>
                  <w:r>
                    <w:rPr>
                      <w:rFonts w:hint="default" w:ascii="Times New Roman" w:hAnsi="Times New Roman" w:eastAsia="宋体" w:cs="Times New Roman"/>
                      <w:color w:val="auto"/>
                      <w:spacing w:val="-39"/>
                      <w:sz w:val="18"/>
                      <w:szCs w:val="18"/>
                      <w:highlight w:val="none"/>
                    </w:rPr>
                    <w:t xml:space="preserve"> </w:t>
                  </w:r>
                  <w:r>
                    <w:rPr>
                      <w:rFonts w:hint="default" w:ascii="Times New Roman" w:hAnsi="Times New Roman" w:eastAsia="Times New Roman" w:cs="Times New Roman"/>
                      <w:color w:val="auto"/>
                      <w:spacing w:val="6"/>
                      <w:position w:val="6"/>
                      <w:sz w:val="18"/>
                      <w:szCs w:val="18"/>
                      <w:highlight w:val="none"/>
                    </w:rPr>
                    <w:t>a</w:t>
                  </w:r>
                </w:p>
              </w:tc>
              <w:tc>
                <w:tcPr>
                  <w:tcW w:w="0" w:type="auto"/>
                  <w:shd w:val="clear" w:color="auto" w:fill="auto"/>
                  <w:vAlign w:val="center"/>
                </w:tcPr>
                <w:p w14:paraId="6F40157C">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z w:val="18"/>
                      <w:szCs w:val="18"/>
                      <w:highlight w:val="none"/>
                      <w:lang w:val="en-US" w:eastAsia="zh-CN" w:bidi="ar-SA"/>
                    </w:rPr>
                  </w:pPr>
                  <w:r>
                    <w:rPr>
                      <w:rFonts w:hint="default" w:ascii="Times New Roman" w:hAnsi="Times New Roman" w:eastAsia="宋体" w:cs="Times New Roman"/>
                      <w:color w:val="auto"/>
                      <w:spacing w:val="7"/>
                      <w:sz w:val="18"/>
                      <w:szCs w:val="18"/>
                      <w:highlight w:val="none"/>
                    </w:rPr>
                    <w:t>洗手盆</w:t>
                  </w:r>
                  <w:r>
                    <w:rPr>
                      <w:rFonts w:hint="default" w:ascii="Times New Roman" w:hAnsi="Times New Roman" w:eastAsia="宋体" w:cs="Times New Roman"/>
                      <w:color w:val="auto"/>
                      <w:spacing w:val="-45"/>
                      <w:sz w:val="18"/>
                      <w:szCs w:val="18"/>
                      <w:highlight w:val="none"/>
                    </w:rPr>
                    <w:t xml:space="preserve"> </w:t>
                  </w:r>
                  <w:r>
                    <w:rPr>
                      <w:rFonts w:hint="default" w:ascii="Times New Roman" w:hAnsi="Times New Roman" w:eastAsia="Times New Roman" w:cs="Times New Roman"/>
                      <w:color w:val="auto"/>
                      <w:spacing w:val="7"/>
                      <w:position w:val="6"/>
                      <w:sz w:val="18"/>
                      <w:szCs w:val="18"/>
                      <w:highlight w:val="none"/>
                    </w:rPr>
                    <w:t xml:space="preserve">b </w:t>
                  </w:r>
                  <w:r>
                    <w:rPr>
                      <w:rFonts w:hint="default" w:ascii="Times New Roman" w:hAnsi="Times New Roman" w:eastAsia="宋体" w:cs="Times New Roman"/>
                      <w:color w:val="auto"/>
                      <w:spacing w:val="7"/>
                      <w:sz w:val="18"/>
                      <w:szCs w:val="18"/>
                      <w:highlight w:val="none"/>
                    </w:rPr>
                    <w:t>和去污设备</w:t>
                  </w:r>
                </w:p>
              </w:tc>
            </w:tr>
            <w:tr w14:paraId="16A284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90" w:hRule="atLeast"/>
                <w:jc w:val="center"/>
              </w:trPr>
              <w:tc>
                <w:tcPr>
                  <w:tcW w:w="780" w:type="pct"/>
                  <w:shd w:val="clear" w:color="auto" w:fill="auto"/>
                  <w:vAlign w:val="center"/>
                </w:tcPr>
                <w:p w14:paraId="450AADD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综合楼一层介入手术2室</w:t>
                  </w:r>
                </w:p>
              </w:tc>
              <w:tc>
                <w:tcPr>
                  <w:tcW w:w="376" w:type="pct"/>
                  <w:shd w:val="clear" w:color="auto" w:fill="auto"/>
                  <w:vAlign w:val="center"/>
                </w:tcPr>
                <w:p w14:paraId="225A31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eastAsia" w:cs="Times New Roman"/>
                      <w:i w:val="0"/>
                      <w:iCs w:val="0"/>
                      <w:color w:val="auto"/>
                      <w:kern w:val="0"/>
                      <w:sz w:val="18"/>
                      <w:szCs w:val="18"/>
                      <w:highlight w:val="none"/>
                      <w:u w:val="none"/>
                      <w:lang w:val="en-US" w:eastAsia="zh-CN" w:bidi="ar"/>
                    </w:rPr>
                    <w:t>Ⅲ</w:t>
                  </w:r>
                </w:p>
              </w:tc>
              <w:tc>
                <w:tcPr>
                  <w:tcW w:w="390" w:type="pct"/>
                  <w:shd w:val="clear" w:color="auto" w:fill="auto"/>
                  <w:vAlign w:val="center"/>
                </w:tcPr>
                <w:p w14:paraId="492FFDE3">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pacing w:val="-1"/>
                      <w:sz w:val="18"/>
                      <w:szCs w:val="18"/>
                      <w:highlight w:val="none"/>
                    </w:rPr>
                  </w:pPr>
                  <w:r>
                    <w:rPr>
                      <w:rFonts w:hint="default" w:ascii="Times New Roman" w:hAnsi="Times New Roman" w:eastAsia="宋体" w:cs="Times New Roman"/>
                      <w:color w:val="auto"/>
                      <w:spacing w:val="-1"/>
                      <w:sz w:val="18"/>
                      <w:szCs w:val="18"/>
                      <w:highlight w:val="none"/>
                    </w:rPr>
                    <w:t>不需要</w:t>
                  </w:r>
                </w:p>
              </w:tc>
              <w:tc>
                <w:tcPr>
                  <w:tcW w:w="0" w:type="auto"/>
                  <w:shd w:val="clear" w:color="auto" w:fill="auto"/>
                  <w:vAlign w:val="center"/>
                </w:tcPr>
                <w:p w14:paraId="7359734E">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pacing w:val="8"/>
                      <w:sz w:val="18"/>
                      <w:szCs w:val="18"/>
                      <w:highlight w:val="none"/>
                    </w:rPr>
                  </w:pPr>
                  <w:r>
                    <w:rPr>
                      <w:rFonts w:hint="default" w:ascii="Times New Roman" w:hAnsi="Times New Roman" w:eastAsia="宋体" w:cs="Times New Roman"/>
                      <w:color w:val="auto"/>
                      <w:spacing w:val="8"/>
                      <w:sz w:val="18"/>
                      <w:szCs w:val="18"/>
                      <w:highlight w:val="none"/>
                    </w:rPr>
                    <w:t>易清洗</w:t>
                  </w:r>
                </w:p>
              </w:tc>
              <w:tc>
                <w:tcPr>
                  <w:tcW w:w="0" w:type="auto"/>
                  <w:shd w:val="clear" w:color="auto" w:fill="auto"/>
                  <w:vAlign w:val="center"/>
                </w:tcPr>
                <w:p w14:paraId="131035FF">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pacing w:val="2"/>
                      <w:sz w:val="18"/>
                      <w:szCs w:val="18"/>
                      <w:highlight w:val="none"/>
                    </w:rPr>
                  </w:pPr>
                  <w:r>
                    <w:rPr>
                      <w:rFonts w:hint="default" w:ascii="Times New Roman" w:hAnsi="Times New Roman" w:eastAsia="宋体" w:cs="Times New Roman"/>
                      <w:color w:val="auto"/>
                      <w:spacing w:val="2"/>
                      <w:sz w:val="18"/>
                      <w:szCs w:val="18"/>
                      <w:highlight w:val="none"/>
                    </w:rPr>
                    <w:t>易清洗</w:t>
                  </w:r>
                </w:p>
              </w:tc>
              <w:tc>
                <w:tcPr>
                  <w:tcW w:w="0" w:type="auto"/>
                  <w:shd w:val="clear" w:color="auto" w:fill="auto"/>
                  <w:vAlign w:val="center"/>
                </w:tcPr>
                <w:p w14:paraId="5DA542D9">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pacing w:val="-1"/>
                      <w:sz w:val="18"/>
                      <w:szCs w:val="18"/>
                      <w:highlight w:val="none"/>
                    </w:rPr>
                  </w:pPr>
                  <w:r>
                    <w:rPr>
                      <w:rFonts w:hint="default" w:ascii="Times New Roman" w:hAnsi="Times New Roman" w:eastAsia="宋体" w:cs="Times New Roman"/>
                      <w:color w:val="auto"/>
                      <w:spacing w:val="-1"/>
                      <w:sz w:val="18"/>
                      <w:szCs w:val="18"/>
                      <w:highlight w:val="none"/>
                    </w:rPr>
                    <w:t>不必须</w:t>
                  </w:r>
                </w:p>
              </w:tc>
              <w:tc>
                <w:tcPr>
                  <w:tcW w:w="0" w:type="auto"/>
                  <w:shd w:val="clear" w:color="auto" w:fill="auto"/>
                  <w:vAlign w:val="center"/>
                </w:tcPr>
                <w:p w14:paraId="767A19E0">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pacing w:val="8"/>
                      <w:sz w:val="18"/>
                      <w:szCs w:val="18"/>
                      <w:highlight w:val="none"/>
                    </w:rPr>
                  </w:pPr>
                  <w:r>
                    <w:rPr>
                      <w:rFonts w:hint="default" w:ascii="Times New Roman" w:hAnsi="Times New Roman" w:eastAsia="宋体" w:cs="Times New Roman"/>
                      <w:color w:val="auto"/>
                      <w:spacing w:val="8"/>
                      <w:sz w:val="18"/>
                      <w:szCs w:val="18"/>
                      <w:highlight w:val="none"/>
                    </w:rPr>
                    <w:t>一般自然通风</w:t>
                  </w:r>
                </w:p>
              </w:tc>
              <w:tc>
                <w:tcPr>
                  <w:tcW w:w="0" w:type="auto"/>
                  <w:shd w:val="clear" w:color="auto" w:fill="auto"/>
                  <w:vAlign w:val="top"/>
                </w:tcPr>
                <w:p w14:paraId="37A8D868">
                  <w:pPr>
                    <w:keepNext w:val="0"/>
                    <w:keepLines w:val="0"/>
                    <w:suppressLineNumbers w:val="0"/>
                    <w:spacing w:before="97" w:beforeAutospacing="0" w:after="0" w:afterAutospacing="0" w:line="228" w:lineRule="auto"/>
                    <w:ind w:left="0" w:right="0"/>
                    <w:rPr>
                      <w:rFonts w:hint="default" w:ascii="Times New Roman" w:hAnsi="Times New Roman" w:eastAsia="宋体" w:cs="Times New Roman"/>
                      <w:color w:val="auto"/>
                      <w:sz w:val="20"/>
                      <w:szCs w:val="20"/>
                      <w:highlight w:val="none"/>
                      <w:lang w:val="en-US" w:eastAsia="zh-CN" w:bidi="ar-SA"/>
                    </w:rPr>
                  </w:pPr>
                  <w:r>
                    <w:rPr>
                      <w:rFonts w:hint="default" w:ascii="Times New Roman" w:hAnsi="Times New Roman" w:eastAsia="宋体" w:cs="Times New Roman"/>
                      <w:color w:val="auto"/>
                      <w:spacing w:val="7"/>
                      <w:sz w:val="20"/>
                      <w:szCs w:val="20"/>
                      <w:highlight w:val="none"/>
                    </w:rPr>
                    <w:t>普通管道</w:t>
                  </w:r>
                </w:p>
              </w:tc>
              <w:tc>
                <w:tcPr>
                  <w:tcW w:w="0" w:type="auto"/>
                  <w:shd w:val="clear" w:color="auto" w:fill="auto"/>
                  <w:vAlign w:val="center"/>
                </w:tcPr>
                <w:p w14:paraId="7E9AC13E">
                  <w:pPr>
                    <w:keepNext w:val="0"/>
                    <w:keepLines w:val="0"/>
                    <w:suppressLineNumbers w:val="0"/>
                    <w:bidi w:val="0"/>
                    <w:spacing w:before="0" w:beforeAutospacing="0" w:after="0" w:afterAutospacing="0"/>
                    <w:ind w:left="0" w:leftChars="0" w:right="0" w:rightChars="0"/>
                    <w:jc w:val="center"/>
                    <w:rPr>
                      <w:rFonts w:hint="default" w:ascii="Times New Roman" w:hAnsi="Times New Roman" w:eastAsia="宋体" w:cs="Times New Roman"/>
                      <w:color w:val="auto"/>
                      <w:spacing w:val="7"/>
                      <w:sz w:val="18"/>
                      <w:szCs w:val="18"/>
                      <w:highlight w:val="none"/>
                    </w:rPr>
                  </w:pPr>
                  <w:r>
                    <w:rPr>
                      <w:rFonts w:hint="default" w:ascii="Times New Roman" w:hAnsi="Times New Roman" w:eastAsia="宋体" w:cs="Times New Roman"/>
                      <w:color w:val="auto"/>
                      <w:spacing w:val="6"/>
                      <w:sz w:val="20"/>
                      <w:szCs w:val="20"/>
                      <w:highlight w:val="none"/>
                    </w:rPr>
                    <w:t>洗手盆</w:t>
                  </w:r>
                  <w:r>
                    <w:rPr>
                      <w:rFonts w:hint="default" w:ascii="Times New Roman" w:hAnsi="Times New Roman" w:eastAsia="Times New Roman" w:cs="Times New Roman"/>
                      <w:color w:val="auto"/>
                      <w:spacing w:val="6"/>
                      <w:position w:val="6"/>
                      <w:sz w:val="13"/>
                      <w:szCs w:val="13"/>
                      <w:highlight w:val="none"/>
                    </w:rPr>
                    <w:t>b</w:t>
                  </w:r>
                </w:p>
              </w:tc>
            </w:tr>
          </w:tbl>
          <w:p w14:paraId="5569A0CF">
            <w:pPr>
              <w:keepNext w:val="0"/>
              <w:keepLines w:val="0"/>
              <w:suppressLineNumbers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color w:val="auto"/>
                <w:sz w:val="24"/>
                <w:szCs w:val="22"/>
                <w:highlight w:val="none"/>
              </w:rPr>
            </w:pPr>
          </w:p>
          <w:p w14:paraId="1525DA5A">
            <w:pPr>
              <w:keepNext w:val="0"/>
              <w:keepLines w:val="0"/>
              <w:suppressLineNumbers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color w:val="auto"/>
                <w:sz w:val="24"/>
                <w:szCs w:val="22"/>
                <w:highlight w:val="none"/>
              </w:rPr>
            </w:pPr>
            <w:r>
              <w:rPr>
                <w:rFonts w:hint="default" w:ascii="Times New Roman" w:hAnsi="Times New Roman" w:eastAsia="宋体" w:cs="Times New Roman"/>
                <w:b/>
                <w:color w:val="auto"/>
                <w:sz w:val="24"/>
                <w:szCs w:val="22"/>
                <w:highlight w:val="none"/>
              </w:rPr>
              <w:t>10.1.</w:t>
            </w:r>
            <w:r>
              <w:rPr>
                <w:rFonts w:hint="default" w:ascii="Times New Roman" w:hAnsi="Times New Roman" w:cs="Times New Roman"/>
                <w:b/>
                <w:color w:val="auto"/>
                <w:sz w:val="24"/>
                <w:szCs w:val="22"/>
                <w:highlight w:val="none"/>
                <w:lang w:val="en-US" w:eastAsia="zh-CN"/>
              </w:rPr>
              <w:t>5</w:t>
            </w:r>
            <w:r>
              <w:rPr>
                <w:rFonts w:hint="default" w:ascii="Times New Roman" w:hAnsi="Times New Roman" w:eastAsia="宋体" w:cs="Times New Roman"/>
                <w:b/>
                <w:color w:val="auto"/>
                <w:sz w:val="24"/>
                <w:szCs w:val="22"/>
                <w:highlight w:val="none"/>
              </w:rPr>
              <w:t xml:space="preserve"> 辐射工作场所分区管理</w:t>
            </w:r>
          </w:p>
          <w:p w14:paraId="39241D67">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为了便于加强管理，切实做好辐射安全防护工作，按照《电离辐射防护与辐射源安全基本标准》（GB18871-2002）的要求，在辐射工作场所内划出控制区和监督区，在项目运营期间采取分区管理措施。</w:t>
            </w:r>
          </w:p>
          <w:p w14:paraId="34728966">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控制区：在正常工作情况下控制正常照射或防止污染扩散，以及在一定程度上预防或限制潜在照射，要求或可能要求专门防护手段和安全措施的限定区域。在控制区的进出口及其他适当位置处设立醒目的警告标志，并给出相应的辐射水平和污染水平指示。运用行政管理程序（如进入控制区的工作许可证）和实体屏蔽（包括门锁和联锁装置）限制进出控制区，放射性操作区应与非放射性工作区隔开。</w:t>
            </w:r>
          </w:p>
          <w:p w14:paraId="4BB10409">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监督区：未被确定为控制区，通常不需要采取专门防护手段或安全措施，但要需要经常对其职业照射状况进行监督和评价的区域。在监督区入口处的合适位置张贴辐射危险警示标记；定期审查该区的条件，以确定是否需要采取防护措施和做出安全规定，或是否需要更改监督区的边界。</w:t>
            </w:r>
          </w:p>
          <w:p w14:paraId="6C90D8FA">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2"/>
                <w:highlight w:val="none"/>
              </w:rPr>
              <w:t>根据《电离辐射防护与辐射源安全基本标准》（GB18871-2002）对控制区和监督区的定义，结合</w:t>
            </w:r>
            <w:r>
              <w:rPr>
                <w:rFonts w:hint="eastAsia" w:ascii="Times New Roman" w:hAnsi="Times New Roman" w:cs="Times New Roman"/>
                <w:color w:val="auto"/>
                <w:sz w:val="24"/>
                <w:szCs w:val="22"/>
                <w:highlight w:val="none"/>
                <w:lang w:val="en-US" w:eastAsia="zh-CN"/>
              </w:rPr>
              <w:t>本项目</w:t>
            </w:r>
            <w:r>
              <w:rPr>
                <w:rFonts w:hint="default" w:ascii="Times New Roman" w:hAnsi="Times New Roman" w:eastAsia="宋体" w:cs="Times New Roman"/>
                <w:color w:val="auto"/>
                <w:sz w:val="24"/>
                <w:szCs w:val="22"/>
                <w:highlight w:val="none"/>
              </w:rPr>
              <w:t xml:space="preserve">工作场所辐射防护和环境情况特点，将负一层回旋加速器室、合成热室、单光子药物生产车间、正电子药物生产车间、放射性原料库、卫生通过间、缓冲间、外包间、准备间、放射性废物库、质控室等、一层 SPECT-CT 显像检查机房、注射后休息室（含卫生间）、运动试验/抢救室、留观室、储源室、放射性废物库、注射准备室、注射室、患者通道、敷贴室等、二层 PET-CT/MRI 显像检查机房、注射后休息室（含卫生间）、运动试验/抢救室、留观室、储源室、放射性废物库、注射准备室、注射室、患者通道等、三层 </w:t>
            </w:r>
            <w:r>
              <w:rPr>
                <w:rFonts w:hint="default" w:ascii="Times New Roman" w:hAnsi="Times New Roman" w:eastAsia="宋体" w:cs="Times New Roman"/>
                <w:color w:val="auto"/>
                <w:sz w:val="24"/>
                <w:szCs w:val="22"/>
                <w:highlight w:val="none"/>
                <w:vertAlign w:val="baseline"/>
              </w:rPr>
              <w:t>I</w:t>
            </w:r>
            <w:r>
              <w:rPr>
                <w:rFonts w:hint="default" w:ascii="Times New Roman" w:hAnsi="Times New Roman" w:cs="Times New Roman"/>
                <w:color w:val="auto"/>
                <w:sz w:val="24"/>
                <w:szCs w:val="22"/>
                <w:highlight w:val="none"/>
                <w:vertAlign w:val="baseline"/>
                <w:lang w:val="en-US" w:eastAsia="zh-CN"/>
              </w:rPr>
              <w:t>-131</w:t>
            </w:r>
            <w:r>
              <w:rPr>
                <w:rFonts w:hint="default" w:ascii="Times New Roman" w:hAnsi="Times New Roman" w:eastAsia="宋体" w:cs="Times New Roman"/>
                <w:color w:val="auto"/>
                <w:sz w:val="24"/>
                <w:szCs w:val="22"/>
                <w:highlight w:val="none"/>
              </w:rPr>
              <w:t>核素治疗病房</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vertAlign w:val="baseline"/>
                <w:lang w:eastAsia="zh-CN"/>
              </w:rPr>
              <w:t>Lu</w:t>
            </w:r>
            <w:r>
              <w:rPr>
                <w:rFonts w:hint="default" w:ascii="Times New Roman" w:hAnsi="Times New Roman" w:cs="Times New Roman"/>
                <w:color w:val="auto"/>
                <w:sz w:val="24"/>
                <w:szCs w:val="22"/>
                <w:highlight w:val="none"/>
                <w:vertAlign w:val="baseline"/>
                <w:lang w:val="en-US" w:eastAsia="zh-CN"/>
              </w:rPr>
              <w:t>-177</w:t>
            </w:r>
            <w:r>
              <w:rPr>
                <w:rFonts w:hint="default" w:ascii="Times New Roman" w:hAnsi="Times New Roman" w:cs="Times New Roman"/>
                <w:color w:val="auto"/>
                <w:sz w:val="24"/>
                <w:szCs w:val="22"/>
                <w:highlight w:val="none"/>
                <w:lang w:val="en-US" w:eastAsia="zh-CN"/>
              </w:rPr>
              <w:t>核素治疗病房、</w:t>
            </w:r>
            <w:r>
              <w:rPr>
                <w:rFonts w:hint="default" w:ascii="Times New Roman" w:hAnsi="Times New Roman" w:eastAsia="宋体" w:cs="Times New Roman"/>
                <w:color w:val="auto"/>
                <w:sz w:val="24"/>
                <w:szCs w:val="22"/>
                <w:highlight w:val="none"/>
              </w:rPr>
              <w:t>储源室、放射性废物库、分碘室、服碘室等划为控制区</w:t>
            </w:r>
            <w:r>
              <w:rPr>
                <w:rFonts w:hint="default" w:ascii="Times New Roman" w:hAnsi="Times New Roman" w:cs="Times New Roman"/>
                <w:color w:val="auto"/>
                <w:sz w:val="24"/>
                <w:szCs w:val="22"/>
                <w:highlight w:val="none"/>
                <w:lang w:eastAsia="zh-CN"/>
              </w:rPr>
              <w:t>，</w:t>
            </w:r>
            <w:r>
              <w:rPr>
                <w:rFonts w:hint="default" w:ascii="Times New Roman" w:hAnsi="Times New Roman" w:eastAsia="宋体" w:cs="Times New Roman"/>
                <w:color w:val="auto"/>
                <w:sz w:val="24"/>
                <w:szCs w:val="22"/>
                <w:highlight w:val="none"/>
              </w:rPr>
              <w:t>将上述区域外相邻区域划为监督区</w:t>
            </w:r>
            <w:r>
              <w:rPr>
                <w:rFonts w:hint="default" w:ascii="Times New Roman" w:hAnsi="Times New Roman" w:cs="Times New Roman"/>
                <w:color w:val="auto"/>
                <w:sz w:val="24"/>
                <w:szCs w:val="22"/>
                <w:highlight w:val="none"/>
                <w:lang w:eastAsia="zh-CN"/>
              </w:rPr>
              <w:t>。</w:t>
            </w:r>
            <w:r>
              <w:rPr>
                <w:rFonts w:hint="default" w:ascii="Times New Roman" w:hAnsi="Times New Roman" w:cs="Times New Roman"/>
                <w:color w:val="auto"/>
                <w:sz w:val="24"/>
                <w:szCs w:val="22"/>
                <w:highlight w:val="none"/>
                <w:lang w:val="en-US" w:eastAsia="zh-CN"/>
              </w:rPr>
              <w:t>原综合楼一层介入手术2室控制区、监督区划分不变动</w:t>
            </w:r>
            <w:r>
              <w:rPr>
                <w:rFonts w:hint="default" w:ascii="Times New Roman" w:hAnsi="Times New Roman" w:eastAsia="宋体" w:cs="Times New Roman"/>
                <w:color w:val="auto"/>
                <w:sz w:val="24"/>
                <w:szCs w:val="22"/>
                <w:highlight w:val="none"/>
              </w:rPr>
              <w:t>。本项目控制区和监督区划分示意图见</w:t>
            </w:r>
            <w:r>
              <w:rPr>
                <w:rFonts w:hint="eastAsia" w:cs="Times New Roman"/>
                <w:color w:val="auto"/>
                <w:sz w:val="24"/>
                <w:szCs w:val="22"/>
                <w:highlight w:val="none"/>
                <w:lang w:val="en-US" w:eastAsia="zh-CN"/>
              </w:rPr>
              <w:t>附图2</w:t>
            </w:r>
            <w:r>
              <w:rPr>
                <w:rFonts w:hint="default" w:ascii="Times New Roman" w:hAnsi="Times New Roman" w:eastAsia="宋体" w:cs="Times New Roman"/>
                <w:color w:val="auto"/>
                <w:sz w:val="24"/>
                <w:szCs w:val="22"/>
                <w:highlight w:val="none"/>
              </w:rPr>
              <w:t>。</w:t>
            </w:r>
          </w:p>
          <w:p w14:paraId="0FA85C4E">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控制区、监督区管理要求如下：</w:t>
            </w:r>
          </w:p>
          <w:p w14:paraId="1A50F04B">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（1）控制区的管理</w:t>
            </w:r>
          </w:p>
          <w:p w14:paraId="37BC91C6">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在控制区的进出口及其他适当位置处设立醒目的警告标志并给出相应的辐射水平和污染水平的指示。运用行政管理程序如进入控制区的工作许可证和实体屏蔽（包括门锁和联锁装置）限制进出控制区，放射性操作区应与非放射性工作区隔开。</w:t>
            </w:r>
          </w:p>
          <w:p w14:paraId="4EE23406">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2"/>
                <w:highlight w:val="none"/>
              </w:rPr>
            </w:pPr>
            <w:r>
              <w:rPr>
                <w:rFonts w:hint="default" w:ascii="Times New Roman" w:hAnsi="Times New Roman" w:eastAsia="宋体" w:cs="Times New Roman"/>
                <w:color w:val="auto"/>
                <w:sz w:val="24"/>
                <w:szCs w:val="22"/>
                <w:highlight w:val="none"/>
              </w:rPr>
              <w:t>（2）监督区的管理</w:t>
            </w:r>
          </w:p>
          <w:p w14:paraId="12A26482">
            <w:pPr>
              <w:keepNext w:val="0"/>
              <w:keepLines w:val="0"/>
              <w:widowControl/>
              <w:suppressLineNumbers w:val="0"/>
              <w:shd w:val="clear"/>
              <w:spacing w:before="0" w:beforeLines="50" w:beforeAutospacing="0" w:after="0" w:afterAutospacing="0" w:line="360" w:lineRule="auto"/>
              <w:ind w:left="0" w:right="0" w:firstLine="480" w:firstLineChars="200"/>
              <w:jc w:val="both"/>
              <w:rPr>
                <w:rFonts w:hint="default" w:ascii="Times New Roman" w:hAnsi="Times New Roman" w:eastAsia="宋体" w:cs="Times New Roman"/>
                <w:b/>
                <w:color w:val="auto"/>
                <w:sz w:val="24"/>
                <w:highlight w:val="none"/>
              </w:rPr>
            </w:pPr>
            <w:r>
              <w:rPr>
                <w:rFonts w:hint="default" w:ascii="Times New Roman" w:hAnsi="Times New Roman" w:eastAsia="宋体" w:cs="Times New Roman"/>
                <w:color w:val="auto"/>
                <w:sz w:val="24"/>
                <w:szCs w:val="22"/>
                <w:highlight w:val="none"/>
              </w:rPr>
              <w:t>在监督区入口处的适当地点设立</w:t>
            </w:r>
            <w:r>
              <w:rPr>
                <w:rFonts w:hint="default" w:ascii="Times New Roman" w:hAnsi="Times New Roman" w:cs="Times New Roman"/>
                <w:color w:val="auto"/>
                <w:sz w:val="24"/>
                <w:szCs w:val="22"/>
                <w:highlight w:val="none"/>
                <w:lang w:eastAsia="zh-CN"/>
              </w:rPr>
              <w:t>标明</w:t>
            </w:r>
            <w:r>
              <w:rPr>
                <w:rFonts w:hint="default" w:ascii="Times New Roman" w:hAnsi="Times New Roman" w:eastAsia="宋体" w:cs="Times New Roman"/>
                <w:color w:val="auto"/>
                <w:sz w:val="24"/>
                <w:szCs w:val="22"/>
                <w:highlight w:val="none"/>
              </w:rPr>
              <w:t>监督区的标牌；定期审查该区的条件，以确定是否需要采取防护措施和做出安全规定，或是否需要更改监督区的边界。</w:t>
            </w:r>
          </w:p>
          <w:p w14:paraId="3611AC89">
            <w:pPr>
              <w:keepNext w:val="0"/>
              <w:keepLines w:val="0"/>
              <w:widowControl/>
              <w:suppressLineNumbers w:val="0"/>
              <w:shd w:val="clear"/>
              <w:spacing w:before="0" w:beforeLines="50" w:beforeAutospacing="0" w:after="0" w:afterAutospacing="0" w:line="360" w:lineRule="auto"/>
              <w:ind w:left="0" w:right="0" w:firstLine="482" w:firstLineChars="200"/>
              <w:jc w:val="both"/>
              <w:rPr>
                <w:rFonts w:hint="default" w:ascii="Times New Roman" w:hAnsi="Times New Roman" w:eastAsia="宋体" w:cs="Times New Roman"/>
                <w:b/>
                <w:color w:val="auto"/>
                <w:sz w:val="24"/>
                <w:highlight w:val="none"/>
              </w:rPr>
            </w:pPr>
          </w:p>
          <w:p w14:paraId="4F8988DA">
            <w:pPr>
              <w:keepNext w:val="0"/>
              <w:keepLines w:val="0"/>
              <w:widowControl/>
              <w:suppressLineNumbers w:val="0"/>
              <w:shd w:val="clear"/>
              <w:spacing w:before="0" w:beforeLines="50" w:beforeAutospacing="0" w:after="0" w:afterAutospacing="0" w:line="360" w:lineRule="auto"/>
              <w:ind w:left="0" w:right="0" w:firstLine="482" w:firstLineChars="200"/>
              <w:jc w:val="both"/>
              <w:rPr>
                <w:rFonts w:hint="default" w:ascii="Times New Roman" w:hAnsi="Times New Roman" w:eastAsia="宋体" w:cs="Times New Roman"/>
                <w:b/>
                <w:color w:val="auto"/>
                <w:sz w:val="24"/>
                <w:highlight w:val="none"/>
                <w:lang w:eastAsia="zh-CN"/>
              </w:rPr>
            </w:pPr>
            <w:r>
              <w:rPr>
                <w:rFonts w:hint="default" w:ascii="Times New Roman" w:hAnsi="Times New Roman" w:eastAsia="宋体" w:cs="Times New Roman"/>
                <w:b/>
                <w:color w:val="auto"/>
                <w:sz w:val="24"/>
                <w:highlight w:val="none"/>
              </w:rPr>
              <w:t>10.1.</w:t>
            </w:r>
            <w:r>
              <w:rPr>
                <w:rFonts w:hint="default" w:ascii="Times New Roman" w:hAnsi="Times New Roman" w:cs="Times New Roman"/>
                <w:b/>
                <w:color w:val="auto"/>
                <w:sz w:val="24"/>
                <w:highlight w:val="none"/>
                <w:lang w:val="en-US" w:eastAsia="zh-CN"/>
              </w:rPr>
              <w:t>6</w:t>
            </w:r>
            <w:r>
              <w:rPr>
                <w:rFonts w:hint="default" w:ascii="Times New Roman" w:hAnsi="Times New Roman" w:eastAsia="宋体" w:cs="Times New Roman"/>
                <w:b/>
                <w:color w:val="auto"/>
                <w:sz w:val="24"/>
                <w:highlight w:val="none"/>
                <w:lang w:val="en-US" w:eastAsia="zh-CN"/>
              </w:rPr>
              <w:t xml:space="preserve"> </w:t>
            </w:r>
            <w:r>
              <w:rPr>
                <w:rFonts w:hint="default" w:ascii="Times New Roman" w:hAnsi="Times New Roman" w:eastAsia="宋体" w:cs="Times New Roman"/>
                <w:b/>
                <w:color w:val="auto"/>
                <w:sz w:val="24"/>
                <w:highlight w:val="none"/>
              </w:rPr>
              <w:t>辐射屏蔽设计</w:t>
            </w:r>
          </w:p>
          <w:p w14:paraId="561080D9">
            <w:pPr>
              <w:pStyle w:val="9"/>
              <w:keepNext w:val="0"/>
              <w:keepLines w:val="0"/>
              <w:suppressLineNumbers w:val="0"/>
              <w:spacing w:before="0" w:beforeAutospacing="0" w:after="0" w:afterAutospacing="0"/>
              <w:jc w:val="both"/>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表10</w:t>
            </w:r>
            <w:r>
              <w:rPr>
                <w:rFonts w:hint="eastAsia" w:cs="Times New Roman"/>
                <w:b/>
                <w:bCs/>
                <w:color w:val="auto"/>
                <w:sz w:val="24"/>
                <w:szCs w:val="24"/>
                <w:highlight w:val="none"/>
                <w:lang w:val="en-US" w:eastAsia="zh-CN"/>
              </w:rPr>
              <w:t>-17</w:t>
            </w:r>
            <w:r>
              <w:rPr>
                <w:rFonts w:hint="default" w:ascii="Times New Roman" w:hAnsi="Times New Roman" w:cs="Times New Roman"/>
                <w:b/>
                <w:bCs/>
                <w:color w:val="auto"/>
                <w:sz w:val="24"/>
                <w:szCs w:val="24"/>
                <w:highlight w:val="none"/>
                <w:lang w:val="en-US" w:eastAsia="zh-CN"/>
              </w:rPr>
              <w:t xml:space="preserve">  本项目辐射屏蔽设计一览表</w:t>
            </w:r>
          </w:p>
          <w:tbl>
            <w:tblPr>
              <w:tblStyle w:val="30"/>
              <w:tblW w:w="9024"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262"/>
              <w:gridCol w:w="13"/>
              <w:gridCol w:w="3138"/>
              <w:gridCol w:w="13"/>
              <w:gridCol w:w="3585"/>
              <w:gridCol w:w="13"/>
            </w:tblGrid>
            <w:tr w14:paraId="7B7D87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77" w:hRule="atLeast"/>
              </w:trPr>
              <w:tc>
                <w:tcPr>
                  <w:tcW w:w="2262" w:type="dxa"/>
                  <w:tcBorders>
                    <w:tl2br w:val="nil"/>
                    <w:tr2bl w:val="nil"/>
                  </w:tcBorders>
                  <w:vAlign w:val="top"/>
                </w:tcPr>
                <w:p w14:paraId="4868DE5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功能用房</w:t>
                  </w:r>
                </w:p>
              </w:tc>
              <w:tc>
                <w:tcPr>
                  <w:tcW w:w="3151" w:type="dxa"/>
                  <w:gridSpan w:val="2"/>
                  <w:tcBorders>
                    <w:tl2br w:val="nil"/>
                    <w:tr2bl w:val="nil"/>
                  </w:tcBorders>
                  <w:vAlign w:val="top"/>
                </w:tcPr>
                <w:p w14:paraId="5E5E482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名称</w:t>
                  </w:r>
                </w:p>
              </w:tc>
              <w:tc>
                <w:tcPr>
                  <w:tcW w:w="3598" w:type="dxa"/>
                  <w:gridSpan w:val="2"/>
                  <w:tcBorders>
                    <w:tl2br w:val="nil"/>
                    <w:tr2bl w:val="nil"/>
                  </w:tcBorders>
                  <w:vAlign w:val="top"/>
                </w:tcPr>
                <w:p w14:paraId="6354FF9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屏蔽材料及厚度</w:t>
                  </w:r>
                </w:p>
              </w:tc>
            </w:tr>
            <w:tr w14:paraId="442C70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78" w:hRule="atLeast"/>
              </w:trPr>
              <w:tc>
                <w:tcPr>
                  <w:tcW w:w="9011" w:type="dxa"/>
                  <w:gridSpan w:val="5"/>
                  <w:tcBorders>
                    <w:tl2br w:val="nil"/>
                    <w:tr2bl w:val="nil"/>
                  </w:tcBorders>
                  <w:vAlign w:val="top"/>
                </w:tcPr>
                <w:p w14:paraId="08217CC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三层核素治疗区</w:t>
                  </w:r>
                </w:p>
              </w:tc>
            </w:tr>
            <w:tr w14:paraId="7D894F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57" w:hRule="atLeast"/>
              </w:trPr>
              <w:tc>
                <w:tcPr>
                  <w:tcW w:w="2262" w:type="dxa"/>
                  <w:vMerge w:val="restart"/>
                  <w:tcBorders>
                    <w:tl2br w:val="nil"/>
                    <w:tr2bl w:val="nil"/>
                  </w:tcBorders>
                  <w:vAlign w:val="center"/>
                </w:tcPr>
                <w:p w14:paraId="7CB4C1E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储源室</w:t>
                  </w:r>
                </w:p>
              </w:tc>
              <w:tc>
                <w:tcPr>
                  <w:tcW w:w="3151" w:type="dxa"/>
                  <w:gridSpan w:val="2"/>
                  <w:tcBorders>
                    <w:tl2br w:val="nil"/>
                    <w:tr2bl w:val="nil"/>
                  </w:tcBorders>
                  <w:vAlign w:val="center"/>
                </w:tcPr>
                <w:p w14:paraId="25C256F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1908823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370mm 实心砖+</w:t>
                  </w:r>
                  <w:r>
                    <w:rPr>
                      <w:rFonts w:hint="default" w:ascii="Times New Roman" w:hAnsi="Times New Roman" w:cs="Times New Roman"/>
                      <w:color w:val="auto"/>
                      <w:kern w:val="0"/>
                      <w:sz w:val="21"/>
                      <w:szCs w:val="16"/>
                      <w:highlight w:val="none"/>
                      <w:lang w:val="en-US" w:eastAsia="zh-CN"/>
                    </w:rPr>
                    <w:t>20mm硫酸钡</w:t>
                  </w:r>
                </w:p>
              </w:tc>
            </w:tr>
            <w:tr w14:paraId="14E942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center"/>
                </w:tcPr>
                <w:p w14:paraId="211ADE3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5897B86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传递窗</w:t>
                  </w:r>
                </w:p>
              </w:tc>
              <w:tc>
                <w:tcPr>
                  <w:tcW w:w="3598" w:type="dxa"/>
                  <w:gridSpan w:val="2"/>
                  <w:tcBorders>
                    <w:tl2br w:val="nil"/>
                    <w:tr2bl w:val="nil"/>
                  </w:tcBorders>
                  <w:vAlign w:val="center"/>
                </w:tcPr>
                <w:p w14:paraId="700529E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10mm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玻璃</w:t>
                  </w:r>
                </w:p>
              </w:tc>
            </w:tr>
            <w:tr w14:paraId="2E4AE6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center"/>
                </w:tcPr>
                <w:p w14:paraId="21EDEBF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3EF4E5B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3A2116D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15mm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1CC2A0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59" w:hRule="atLeast"/>
              </w:trPr>
              <w:tc>
                <w:tcPr>
                  <w:tcW w:w="2262" w:type="dxa"/>
                  <w:vMerge w:val="continue"/>
                  <w:tcBorders>
                    <w:tl2br w:val="nil"/>
                    <w:tr2bl w:val="nil"/>
                  </w:tcBorders>
                  <w:vAlign w:val="center"/>
                </w:tcPr>
                <w:p w14:paraId="6A65E20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325D6C1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0A3841A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411EA1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300" w:hRule="atLeast"/>
              </w:trPr>
              <w:tc>
                <w:tcPr>
                  <w:tcW w:w="2262" w:type="dxa"/>
                  <w:vMerge w:val="continue"/>
                  <w:tcBorders>
                    <w:tl2br w:val="nil"/>
                    <w:tr2bl w:val="nil"/>
                  </w:tcBorders>
                  <w:vAlign w:val="center"/>
                </w:tcPr>
                <w:p w14:paraId="16DF471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45CE7B8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22BAE0A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130429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70" w:hRule="atLeast"/>
              </w:trPr>
              <w:tc>
                <w:tcPr>
                  <w:tcW w:w="2262" w:type="dxa"/>
                  <w:vMerge w:val="restart"/>
                  <w:tcBorders>
                    <w:tl2br w:val="nil"/>
                    <w:tr2bl w:val="nil"/>
                  </w:tcBorders>
                  <w:vAlign w:val="center"/>
                </w:tcPr>
                <w:p w14:paraId="4F83D35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分碘室</w:t>
                  </w:r>
                </w:p>
              </w:tc>
              <w:tc>
                <w:tcPr>
                  <w:tcW w:w="3151" w:type="dxa"/>
                  <w:gridSpan w:val="2"/>
                  <w:tcBorders>
                    <w:tl2br w:val="nil"/>
                    <w:tr2bl w:val="nil"/>
                  </w:tcBorders>
                  <w:vAlign w:val="center"/>
                </w:tcPr>
                <w:p w14:paraId="77064A7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27DED9F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370mm 实心砖+</w:t>
                  </w:r>
                  <w:r>
                    <w:rPr>
                      <w:rFonts w:hint="default" w:ascii="Times New Roman" w:hAnsi="Times New Roman" w:cs="Times New Roman"/>
                      <w:color w:val="auto"/>
                      <w:kern w:val="0"/>
                      <w:sz w:val="21"/>
                      <w:szCs w:val="16"/>
                      <w:highlight w:val="none"/>
                      <w:lang w:val="en-US" w:eastAsia="zh-CN"/>
                    </w:rPr>
                    <w:t>20mm硫酸钡</w:t>
                  </w:r>
                </w:p>
              </w:tc>
            </w:tr>
            <w:tr w14:paraId="2E2388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59" w:hRule="atLeast"/>
              </w:trPr>
              <w:tc>
                <w:tcPr>
                  <w:tcW w:w="2262" w:type="dxa"/>
                  <w:vMerge w:val="continue"/>
                  <w:tcBorders>
                    <w:tl2br w:val="nil"/>
                    <w:tr2bl w:val="nil"/>
                  </w:tcBorders>
                  <w:vAlign w:val="center"/>
                </w:tcPr>
                <w:p w14:paraId="7864D4B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7046BEC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6341098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05FDDF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center"/>
                </w:tcPr>
                <w:p w14:paraId="7D72838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4441BA0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546553A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734E84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96" w:hRule="atLeast"/>
              </w:trPr>
              <w:tc>
                <w:tcPr>
                  <w:tcW w:w="2262" w:type="dxa"/>
                  <w:vMerge w:val="continue"/>
                  <w:tcBorders>
                    <w:tl2br w:val="nil"/>
                    <w:tr2bl w:val="nil"/>
                  </w:tcBorders>
                  <w:vAlign w:val="center"/>
                </w:tcPr>
                <w:p w14:paraId="45DE5CD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6BC65C4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3F8579E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15mm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20DED1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74" w:hRule="atLeast"/>
              </w:trPr>
              <w:tc>
                <w:tcPr>
                  <w:tcW w:w="2262" w:type="dxa"/>
                  <w:vMerge w:val="restart"/>
                  <w:tcBorders>
                    <w:tl2br w:val="nil"/>
                    <w:tr2bl w:val="nil"/>
                  </w:tcBorders>
                  <w:vAlign w:val="center"/>
                </w:tcPr>
                <w:p w14:paraId="68F9DA9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服碘室</w:t>
                  </w:r>
                </w:p>
              </w:tc>
              <w:tc>
                <w:tcPr>
                  <w:tcW w:w="3151" w:type="dxa"/>
                  <w:gridSpan w:val="2"/>
                  <w:tcBorders>
                    <w:tl2br w:val="nil"/>
                    <w:tr2bl w:val="nil"/>
                  </w:tcBorders>
                  <w:vAlign w:val="center"/>
                </w:tcPr>
                <w:p w14:paraId="7DD559D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0A23055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370mm 实心砖+</w:t>
                  </w:r>
                  <w:r>
                    <w:rPr>
                      <w:rFonts w:hint="default" w:ascii="Times New Roman" w:hAnsi="Times New Roman" w:cs="Times New Roman"/>
                      <w:color w:val="auto"/>
                      <w:kern w:val="0"/>
                      <w:sz w:val="21"/>
                      <w:szCs w:val="16"/>
                      <w:highlight w:val="none"/>
                      <w:lang w:val="en-US" w:eastAsia="zh-CN"/>
                    </w:rPr>
                    <w:t>20mm硫酸钡</w:t>
                  </w:r>
                </w:p>
              </w:tc>
            </w:tr>
            <w:tr w14:paraId="14D6E2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59" w:hRule="atLeast"/>
              </w:trPr>
              <w:tc>
                <w:tcPr>
                  <w:tcW w:w="2262" w:type="dxa"/>
                  <w:vMerge w:val="continue"/>
                  <w:tcBorders>
                    <w:tl2br w:val="nil"/>
                    <w:tr2bl w:val="nil"/>
                  </w:tcBorders>
                  <w:vAlign w:val="center"/>
                </w:tcPr>
                <w:p w14:paraId="136FB72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283E343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5026D59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3E76B8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center"/>
                </w:tcPr>
                <w:p w14:paraId="676A786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7498E24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369A1B0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4AFCC5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90" w:hRule="atLeast"/>
              </w:trPr>
              <w:tc>
                <w:tcPr>
                  <w:tcW w:w="2262" w:type="dxa"/>
                  <w:vMerge w:val="continue"/>
                  <w:tcBorders>
                    <w:tl2br w:val="nil"/>
                    <w:tr2bl w:val="nil"/>
                  </w:tcBorders>
                  <w:vAlign w:val="center"/>
                </w:tcPr>
                <w:p w14:paraId="0CDA351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4BC240C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37A0AB5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12mm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474F58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53" w:hRule="atLeast"/>
              </w:trPr>
              <w:tc>
                <w:tcPr>
                  <w:tcW w:w="2262" w:type="dxa"/>
                  <w:vMerge w:val="restart"/>
                  <w:tcBorders>
                    <w:tl2br w:val="nil"/>
                    <w:tr2bl w:val="nil"/>
                  </w:tcBorders>
                  <w:vAlign w:val="center"/>
                </w:tcPr>
                <w:p w14:paraId="098A782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vertAlign w:val="baseline"/>
                      <w:lang w:val="en-US" w:eastAsia="zh-CN"/>
                    </w:rPr>
                    <w:t>I-131</w:t>
                  </w:r>
                  <w:r>
                    <w:rPr>
                      <w:rFonts w:hint="default" w:ascii="Times New Roman" w:hAnsi="Times New Roman" w:eastAsia="宋体" w:cs="Times New Roman"/>
                      <w:color w:val="auto"/>
                      <w:kern w:val="0"/>
                      <w:sz w:val="21"/>
                      <w:szCs w:val="16"/>
                      <w:highlight w:val="none"/>
                      <w:lang w:val="en-US" w:eastAsia="en-US"/>
                    </w:rPr>
                    <w:t>治疗病房（</w:t>
                  </w:r>
                  <w:r>
                    <w:rPr>
                      <w:rFonts w:hint="default" w:ascii="Times New Roman" w:hAnsi="Times New Roman" w:eastAsia="宋体" w:cs="Times New Roman"/>
                      <w:color w:val="auto"/>
                      <w:kern w:val="0"/>
                      <w:sz w:val="21"/>
                      <w:szCs w:val="16"/>
                      <w:highlight w:val="none"/>
                      <w:lang w:val="en-US" w:eastAsia="zh-CN"/>
                    </w:rPr>
                    <w:t>17</w:t>
                  </w:r>
                  <w:r>
                    <w:rPr>
                      <w:rFonts w:hint="default" w:ascii="Times New Roman" w:hAnsi="Times New Roman" w:eastAsia="宋体" w:cs="Times New Roman"/>
                      <w:color w:val="auto"/>
                      <w:kern w:val="0"/>
                      <w:sz w:val="21"/>
                      <w:szCs w:val="16"/>
                      <w:highlight w:val="none"/>
                      <w:lang w:val="en-US" w:eastAsia="en-US"/>
                    </w:rPr>
                    <w:t>间）</w:t>
                  </w:r>
                </w:p>
              </w:tc>
              <w:tc>
                <w:tcPr>
                  <w:tcW w:w="3151" w:type="dxa"/>
                  <w:gridSpan w:val="2"/>
                  <w:tcBorders>
                    <w:tl2br w:val="nil"/>
                    <w:tr2bl w:val="nil"/>
                  </w:tcBorders>
                  <w:vAlign w:val="center"/>
                </w:tcPr>
                <w:p w14:paraId="1D759D3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4C210D8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370mm 实心砖+</w:t>
                  </w:r>
                  <w:r>
                    <w:rPr>
                      <w:rFonts w:hint="default" w:ascii="Times New Roman" w:hAnsi="Times New Roman" w:cs="Times New Roman"/>
                      <w:color w:val="auto"/>
                      <w:kern w:val="0"/>
                      <w:sz w:val="21"/>
                      <w:szCs w:val="16"/>
                      <w:highlight w:val="none"/>
                      <w:lang w:val="en-US" w:eastAsia="zh-CN"/>
                    </w:rPr>
                    <w:t>20mm硫酸钡</w:t>
                  </w:r>
                </w:p>
              </w:tc>
            </w:tr>
            <w:tr w14:paraId="7443AB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center"/>
                </w:tcPr>
                <w:p w14:paraId="4030D5E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4332976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62549C3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63254C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90" w:hRule="atLeast"/>
              </w:trPr>
              <w:tc>
                <w:tcPr>
                  <w:tcW w:w="2262" w:type="dxa"/>
                  <w:vMerge w:val="continue"/>
                  <w:tcBorders>
                    <w:tl2br w:val="nil"/>
                    <w:tr2bl w:val="nil"/>
                  </w:tcBorders>
                  <w:vAlign w:val="center"/>
                </w:tcPr>
                <w:p w14:paraId="7CD3A6D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192C9B3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6830D7E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11E354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center"/>
                </w:tcPr>
                <w:p w14:paraId="7541A63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0B92868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0617216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12mm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757462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restart"/>
                  <w:tcBorders>
                    <w:tl2br w:val="nil"/>
                    <w:tr2bl w:val="nil"/>
                  </w:tcBorders>
                  <w:vAlign w:val="center"/>
                </w:tcPr>
                <w:p w14:paraId="7D97514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vertAlign w:val="baseline"/>
                      <w:lang w:val="en-US" w:eastAsia="zh-CN"/>
                    </w:rPr>
                    <w:t>Lu-177</w:t>
                  </w:r>
                  <w:r>
                    <w:rPr>
                      <w:rFonts w:hint="default" w:ascii="Times New Roman" w:hAnsi="Times New Roman" w:eastAsia="宋体" w:cs="Times New Roman"/>
                      <w:color w:val="auto"/>
                      <w:kern w:val="0"/>
                      <w:sz w:val="21"/>
                      <w:szCs w:val="16"/>
                      <w:highlight w:val="none"/>
                      <w:lang w:val="en-US" w:eastAsia="zh-CN"/>
                    </w:rPr>
                    <w:t>治疗病房（1间）</w:t>
                  </w:r>
                </w:p>
              </w:tc>
              <w:tc>
                <w:tcPr>
                  <w:tcW w:w="3151" w:type="dxa"/>
                  <w:gridSpan w:val="2"/>
                  <w:tcBorders>
                    <w:tl2br w:val="nil"/>
                    <w:tr2bl w:val="nil"/>
                  </w:tcBorders>
                  <w:shd w:val="clear" w:color="auto" w:fill="auto"/>
                  <w:vAlign w:val="center"/>
                </w:tcPr>
                <w:p w14:paraId="6176D15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shd w:val="clear" w:color="auto" w:fill="auto"/>
                  <w:vAlign w:val="center"/>
                </w:tcPr>
                <w:p w14:paraId="47C7A96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370mm 实心砖+</w:t>
                  </w:r>
                  <w:r>
                    <w:rPr>
                      <w:rFonts w:hint="default" w:ascii="Times New Roman" w:hAnsi="Times New Roman" w:cs="Times New Roman"/>
                      <w:color w:val="auto"/>
                      <w:kern w:val="0"/>
                      <w:sz w:val="21"/>
                      <w:szCs w:val="16"/>
                      <w:highlight w:val="none"/>
                      <w:lang w:val="en-US" w:eastAsia="zh-CN"/>
                    </w:rPr>
                    <w:t>20mm硫酸钡</w:t>
                  </w:r>
                </w:p>
              </w:tc>
            </w:tr>
            <w:tr w14:paraId="0C21C5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center"/>
                </w:tcPr>
                <w:p w14:paraId="4756438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p>
              </w:tc>
              <w:tc>
                <w:tcPr>
                  <w:tcW w:w="3151" w:type="dxa"/>
                  <w:gridSpan w:val="2"/>
                  <w:tcBorders>
                    <w:tl2br w:val="nil"/>
                    <w:tr2bl w:val="nil"/>
                  </w:tcBorders>
                  <w:shd w:val="clear" w:color="auto" w:fill="auto"/>
                  <w:vAlign w:val="center"/>
                </w:tcPr>
                <w:p w14:paraId="1E8C802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shd w:val="clear" w:color="auto" w:fill="auto"/>
                  <w:vAlign w:val="center"/>
                </w:tcPr>
                <w:p w14:paraId="76BC50F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140EA0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center"/>
                </w:tcPr>
                <w:p w14:paraId="32450E1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p>
              </w:tc>
              <w:tc>
                <w:tcPr>
                  <w:tcW w:w="3151" w:type="dxa"/>
                  <w:gridSpan w:val="2"/>
                  <w:tcBorders>
                    <w:tl2br w:val="nil"/>
                    <w:tr2bl w:val="nil"/>
                  </w:tcBorders>
                  <w:shd w:val="clear" w:color="auto" w:fill="auto"/>
                  <w:vAlign w:val="center"/>
                </w:tcPr>
                <w:p w14:paraId="4CCA317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shd w:val="clear" w:color="auto" w:fill="auto"/>
                  <w:vAlign w:val="center"/>
                </w:tcPr>
                <w:p w14:paraId="6826D6E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115D83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center"/>
                </w:tcPr>
                <w:p w14:paraId="06C2542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p>
              </w:tc>
              <w:tc>
                <w:tcPr>
                  <w:tcW w:w="3151" w:type="dxa"/>
                  <w:gridSpan w:val="2"/>
                  <w:tcBorders>
                    <w:tl2br w:val="nil"/>
                    <w:tr2bl w:val="nil"/>
                  </w:tcBorders>
                  <w:shd w:val="clear" w:color="auto" w:fill="auto"/>
                  <w:vAlign w:val="center"/>
                </w:tcPr>
                <w:p w14:paraId="4663E33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shd w:val="clear" w:color="auto" w:fill="auto"/>
                  <w:vAlign w:val="center"/>
                </w:tcPr>
                <w:p w14:paraId="5FB959D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12mm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756878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59" w:hRule="atLeast"/>
              </w:trPr>
              <w:tc>
                <w:tcPr>
                  <w:tcW w:w="2262" w:type="dxa"/>
                  <w:vMerge w:val="restart"/>
                  <w:tcBorders>
                    <w:tl2br w:val="nil"/>
                    <w:tr2bl w:val="nil"/>
                  </w:tcBorders>
                  <w:vAlign w:val="center"/>
                </w:tcPr>
                <w:p w14:paraId="4C58CCE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放废库</w:t>
                  </w:r>
                </w:p>
              </w:tc>
              <w:tc>
                <w:tcPr>
                  <w:tcW w:w="3151" w:type="dxa"/>
                  <w:gridSpan w:val="2"/>
                  <w:tcBorders>
                    <w:tl2br w:val="nil"/>
                    <w:tr2bl w:val="nil"/>
                  </w:tcBorders>
                  <w:vAlign w:val="center"/>
                </w:tcPr>
                <w:p w14:paraId="524B5B9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5B2A986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370mm 实心砖+</w:t>
                  </w:r>
                  <w:r>
                    <w:rPr>
                      <w:rFonts w:hint="default" w:ascii="Times New Roman" w:hAnsi="Times New Roman" w:cs="Times New Roman"/>
                      <w:color w:val="auto"/>
                      <w:kern w:val="0"/>
                      <w:sz w:val="21"/>
                      <w:szCs w:val="16"/>
                      <w:highlight w:val="none"/>
                      <w:lang w:val="en-US" w:eastAsia="zh-CN"/>
                    </w:rPr>
                    <w:t>20mm硫酸钡</w:t>
                  </w:r>
                </w:p>
              </w:tc>
            </w:tr>
            <w:tr w14:paraId="6FA9F4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center"/>
                </w:tcPr>
                <w:p w14:paraId="2EC54A3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2A4ADB8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530ACC5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4E1CB0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top"/>
                </w:tcPr>
                <w:p w14:paraId="58FABDD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top"/>
                </w:tcPr>
                <w:p w14:paraId="1E5BCBF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top"/>
                </w:tcPr>
                <w:p w14:paraId="612E8F0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5FE334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1" w:hRule="atLeast"/>
              </w:trPr>
              <w:tc>
                <w:tcPr>
                  <w:tcW w:w="2262" w:type="dxa"/>
                  <w:vMerge w:val="continue"/>
                  <w:tcBorders>
                    <w:tl2br w:val="nil"/>
                    <w:tr2bl w:val="nil"/>
                  </w:tcBorders>
                  <w:vAlign w:val="top"/>
                </w:tcPr>
                <w:p w14:paraId="15AB5D4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top"/>
                </w:tcPr>
                <w:p w14:paraId="14AAE63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top"/>
                </w:tcPr>
                <w:p w14:paraId="5D5699C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15mm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52F97A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63" w:hRule="atLeast"/>
              </w:trPr>
              <w:tc>
                <w:tcPr>
                  <w:tcW w:w="2262" w:type="dxa"/>
                  <w:vMerge w:val="restart"/>
                  <w:tcBorders>
                    <w:tl2br w:val="nil"/>
                    <w:tr2bl w:val="nil"/>
                  </w:tcBorders>
                  <w:vAlign w:val="top"/>
                </w:tcPr>
                <w:p w14:paraId="21515A0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抢救室</w:t>
                  </w:r>
                </w:p>
              </w:tc>
              <w:tc>
                <w:tcPr>
                  <w:tcW w:w="3151" w:type="dxa"/>
                  <w:gridSpan w:val="2"/>
                  <w:tcBorders>
                    <w:tl2br w:val="nil"/>
                    <w:tr2bl w:val="nil"/>
                  </w:tcBorders>
                  <w:vAlign w:val="top"/>
                </w:tcPr>
                <w:p w14:paraId="45889D5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top"/>
                </w:tcPr>
                <w:p w14:paraId="41374F8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370mm 实心砖+</w:t>
                  </w:r>
                  <w:r>
                    <w:rPr>
                      <w:rFonts w:hint="default" w:ascii="Times New Roman" w:hAnsi="Times New Roman" w:cs="Times New Roman"/>
                      <w:color w:val="auto"/>
                      <w:kern w:val="0"/>
                      <w:sz w:val="21"/>
                      <w:szCs w:val="16"/>
                      <w:highlight w:val="none"/>
                      <w:lang w:val="en-US" w:eastAsia="zh-CN"/>
                    </w:rPr>
                    <w:t>20mm硫酸钡</w:t>
                  </w:r>
                </w:p>
              </w:tc>
            </w:tr>
            <w:tr w14:paraId="5FB255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top"/>
                </w:tcPr>
                <w:p w14:paraId="05D83B8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top"/>
                </w:tcPr>
                <w:p w14:paraId="6A65C54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top"/>
                </w:tcPr>
                <w:p w14:paraId="374469D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0CFBBC3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59" w:hRule="atLeast"/>
              </w:trPr>
              <w:tc>
                <w:tcPr>
                  <w:tcW w:w="2262" w:type="dxa"/>
                  <w:vMerge w:val="continue"/>
                  <w:tcBorders>
                    <w:tl2br w:val="nil"/>
                    <w:tr2bl w:val="nil"/>
                  </w:tcBorders>
                  <w:vAlign w:val="top"/>
                </w:tcPr>
                <w:p w14:paraId="56507E9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top"/>
                </w:tcPr>
                <w:p w14:paraId="448DBFB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top"/>
                </w:tcPr>
                <w:p w14:paraId="1D180AB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2BE79E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301" w:hRule="atLeast"/>
              </w:trPr>
              <w:tc>
                <w:tcPr>
                  <w:tcW w:w="2262" w:type="dxa"/>
                  <w:vMerge w:val="continue"/>
                  <w:tcBorders>
                    <w:tl2br w:val="nil"/>
                    <w:tr2bl w:val="nil"/>
                  </w:tcBorders>
                  <w:vAlign w:val="top"/>
                </w:tcPr>
                <w:p w14:paraId="06B1DC9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top"/>
                </w:tcPr>
                <w:p w14:paraId="14DE0C9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top"/>
                </w:tcPr>
                <w:p w14:paraId="2C43E93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12mm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16F9B7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52" w:hRule="atLeast"/>
              </w:trPr>
              <w:tc>
                <w:tcPr>
                  <w:tcW w:w="2262" w:type="dxa"/>
                  <w:vMerge w:val="restart"/>
                  <w:tcBorders>
                    <w:tl2br w:val="nil"/>
                    <w:tr2bl w:val="nil"/>
                  </w:tcBorders>
                  <w:vAlign w:val="top"/>
                </w:tcPr>
                <w:p w14:paraId="55B875C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卫生通过间</w:t>
                  </w:r>
                </w:p>
              </w:tc>
              <w:tc>
                <w:tcPr>
                  <w:tcW w:w="3151" w:type="dxa"/>
                  <w:gridSpan w:val="2"/>
                  <w:tcBorders>
                    <w:tl2br w:val="nil"/>
                    <w:tr2bl w:val="nil"/>
                  </w:tcBorders>
                  <w:vAlign w:val="top"/>
                </w:tcPr>
                <w:p w14:paraId="1F055A9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top"/>
                </w:tcPr>
                <w:p w14:paraId="47FBB9C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en-US"/>
                    </w:rPr>
                    <w:t>370mm 实心砖+</w:t>
                  </w:r>
                  <w:r>
                    <w:rPr>
                      <w:rFonts w:hint="default" w:ascii="Times New Roman" w:hAnsi="Times New Roman" w:cs="Times New Roman"/>
                      <w:color w:val="auto"/>
                      <w:kern w:val="0"/>
                      <w:sz w:val="21"/>
                      <w:szCs w:val="16"/>
                      <w:highlight w:val="none"/>
                      <w:lang w:val="en-US" w:eastAsia="zh-CN"/>
                    </w:rPr>
                    <w:t>20mm硫酸钡</w:t>
                  </w:r>
                </w:p>
              </w:tc>
            </w:tr>
            <w:tr w14:paraId="1913CF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6" w:hRule="atLeast"/>
              </w:trPr>
              <w:tc>
                <w:tcPr>
                  <w:tcW w:w="2262" w:type="dxa"/>
                  <w:vMerge w:val="continue"/>
                  <w:tcBorders>
                    <w:tl2br w:val="nil"/>
                    <w:tr2bl w:val="nil"/>
                  </w:tcBorders>
                  <w:vAlign w:val="top"/>
                </w:tcPr>
                <w:p w14:paraId="6F4B224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top"/>
                </w:tcPr>
                <w:p w14:paraId="348337D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top"/>
                </w:tcPr>
                <w:p w14:paraId="5E4F197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4E4764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5" w:hRule="atLeast"/>
              </w:trPr>
              <w:tc>
                <w:tcPr>
                  <w:tcW w:w="2262" w:type="dxa"/>
                  <w:vMerge w:val="continue"/>
                  <w:tcBorders>
                    <w:tl2br w:val="nil"/>
                    <w:tr2bl w:val="nil"/>
                  </w:tcBorders>
                  <w:vAlign w:val="top"/>
                </w:tcPr>
                <w:p w14:paraId="4274152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top"/>
                </w:tcPr>
                <w:p w14:paraId="2F89ED1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top"/>
                </w:tcPr>
                <w:p w14:paraId="7F3F718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1824AB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86" w:hRule="atLeast"/>
              </w:trPr>
              <w:tc>
                <w:tcPr>
                  <w:tcW w:w="2262" w:type="dxa"/>
                  <w:vMerge w:val="continue"/>
                  <w:tcBorders>
                    <w:tl2br w:val="nil"/>
                    <w:tr2bl w:val="nil"/>
                  </w:tcBorders>
                  <w:vAlign w:val="top"/>
                </w:tcPr>
                <w:p w14:paraId="5A58CE6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top"/>
                </w:tcPr>
                <w:p w14:paraId="7EC197A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top"/>
                </w:tcPr>
                <w:p w14:paraId="6D3D2AC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15mm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5A2CEA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78" w:hRule="atLeast"/>
              </w:trPr>
              <w:tc>
                <w:tcPr>
                  <w:tcW w:w="9011" w:type="dxa"/>
                  <w:gridSpan w:val="5"/>
                  <w:tcBorders>
                    <w:tl2br w:val="nil"/>
                    <w:tr2bl w:val="nil"/>
                  </w:tcBorders>
                  <w:vAlign w:val="center"/>
                </w:tcPr>
                <w:p w14:paraId="2D0ED65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br w:type="page"/>
                  </w:r>
                  <w:r>
                    <w:rPr>
                      <w:rFonts w:hint="default" w:ascii="Times New Roman" w:hAnsi="Times New Roman" w:eastAsia="宋体" w:cs="Times New Roman"/>
                      <w:color w:val="auto"/>
                      <w:kern w:val="0"/>
                      <w:sz w:val="21"/>
                      <w:szCs w:val="16"/>
                      <w:highlight w:val="none"/>
                      <w:lang w:val="en-US" w:eastAsia="en-US"/>
                    </w:rPr>
                    <w:t>二层正电子放射性药物显像检查区</w:t>
                  </w:r>
                </w:p>
              </w:tc>
            </w:tr>
            <w:tr w14:paraId="782780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265" w:hRule="atLeast"/>
              </w:trPr>
              <w:tc>
                <w:tcPr>
                  <w:tcW w:w="2262" w:type="dxa"/>
                  <w:vMerge w:val="restart"/>
                  <w:tcBorders>
                    <w:tl2br w:val="nil"/>
                    <w:tr2bl w:val="nil"/>
                  </w:tcBorders>
                  <w:vAlign w:val="center"/>
                </w:tcPr>
                <w:p w14:paraId="3EDCA22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抢救室</w:t>
                  </w:r>
                </w:p>
              </w:tc>
              <w:tc>
                <w:tcPr>
                  <w:tcW w:w="3151" w:type="dxa"/>
                  <w:gridSpan w:val="2"/>
                  <w:tcBorders>
                    <w:tl2br w:val="nil"/>
                    <w:tr2bl w:val="nil"/>
                  </w:tcBorders>
                  <w:vAlign w:val="center"/>
                </w:tcPr>
                <w:p w14:paraId="186F590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4C4FF7F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370mm 实心砖</w:t>
                  </w:r>
                </w:p>
              </w:tc>
            </w:tr>
            <w:tr w14:paraId="112463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gridAfter w:val="1"/>
                <w:wAfter w:w="13" w:type="dxa"/>
                <w:trHeight w:val="301" w:hRule="atLeast"/>
              </w:trPr>
              <w:tc>
                <w:tcPr>
                  <w:tcW w:w="2262" w:type="dxa"/>
                  <w:vMerge w:val="continue"/>
                  <w:tcBorders>
                    <w:tl2br w:val="nil"/>
                    <w:tr2bl w:val="nil"/>
                  </w:tcBorders>
                  <w:vAlign w:val="center"/>
                </w:tcPr>
                <w:p w14:paraId="5B1EA43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5712F5F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79BAE90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666CAC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262" w:type="dxa"/>
                  <w:vMerge w:val="continue"/>
                  <w:tcBorders>
                    <w:tl2br w:val="nil"/>
                    <w:tr2bl w:val="nil"/>
                  </w:tcBorders>
                  <w:vAlign w:val="center"/>
                </w:tcPr>
                <w:p w14:paraId="1B232D9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C15DD1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1FB48CC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1D73D2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2262" w:type="dxa"/>
                  <w:vMerge w:val="continue"/>
                  <w:tcBorders>
                    <w:tl2br w:val="nil"/>
                    <w:tr2bl w:val="nil"/>
                  </w:tcBorders>
                  <w:vAlign w:val="center"/>
                </w:tcPr>
                <w:p w14:paraId="680BB14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6AB1FA1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49C19BD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10mm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606AD5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262" w:type="dxa"/>
                  <w:vMerge w:val="restart"/>
                  <w:tcBorders>
                    <w:tl2br w:val="nil"/>
                    <w:tr2bl w:val="nil"/>
                  </w:tcBorders>
                  <w:vAlign w:val="center"/>
                </w:tcPr>
                <w:p w14:paraId="320D21C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注射后休息室</w:t>
                  </w:r>
                </w:p>
              </w:tc>
              <w:tc>
                <w:tcPr>
                  <w:tcW w:w="3164" w:type="dxa"/>
                  <w:gridSpan w:val="3"/>
                  <w:tcBorders>
                    <w:tl2br w:val="nil"/>
                    <w:tr2bl w:val="nil"/>
                  </w:tcBorders>
                  <w:vAlign w:val="center"/>
                </w:tcPr>
                <w:p w14:paraId="776413B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1219542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370mm 实心砖</w:t>
                  </w:r>
                </w:p>
              </w:tc>
            </w:tr>
            <w:tr w14:paraId="7763F0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62" w:type="dxa"/>
                  <w:vMerge w:val="continue"/>
                  <w:tcBorders>
                    <w:tl2br w:val="nil"/>
                    <w:tr2bl w:val="nil"/>
                  </w:tcBorders>
                  <w:vAlign w:val="center"/>
                </w:tcPr>
                <w:p w14:paraId="387493C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5DE6FE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61376C2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2E7E3D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15E2D51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7504A7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7D03B1E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15D261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2262" w:type="dxa"/>
                  <w:vMerge w:val="continue"/>
                  <w:tcBorders>
                    <w:tl2br w:val="nil"/>
                    <w:tr2bl w:val="nil"/>
                  </w:tcBorders>
                  <w:vAlign w:val="center"/>
                </w:tcPr>
                <w:p w14:paraId="5B10B97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63CAE6D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1493A98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10mm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774A7E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262" w:type="dxa"/>
                  <w:vMerge w:val="restart"/>
                  <w:tcBorders>
                    <w:tl2br w:val="nil"/>
                    <w:tr2bl w:val="nil"/>
                  </w:tcBorders>
                  <w:vAlign w:val="center"/>
                </w:tcPr>
                <w:p w14:paraId="1ECBC42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储源室</w:t>
                  </w:r>
                </w:p>
              </w:tc>
              <w:tc>
                <w:tcPr>
                  <w:tcW w:w="3164" w:type="dxa"/>
                  <w:gridSpan w:val="3"/>
                  <w:tcBorders>
                    <w:tl2br w:val="nil"/>
                    <w:tr2bl w:val="nil"/>
                  </w:tcBorders>
                  <w:vAlign w:val="center"/>
                </w:tcPr>
                <w:p w14:paraId="78D62E5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02AAEB5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370mm 实心砖</w:t>
                  </w:r>
                </w:p>
              </w:tc>
            </w:tr>
            <w:tr w14:paraId="273FB0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62" w:type="dxa"/>
                  <w:vMerge w:val="continue"/>
                  <w:tcBorders>
                    <w:tl2br w:val="nil"/>
                    <w:tr2bl w:val="nil"/>
                  </w:tcBorders>
                  <w:vAlign w:val="center"/>
                </w:tcPr>
                <w:p w14:paraId="604DCD6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44EBC1F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2927290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747F83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62D63D1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48D141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63135F3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4FFEEE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2262" w:type="dxa"/>
                  <w:vMerge w:val="continue"/>
                  <w:tcBorders>
                    <w:tl2br w:val="nil"/>
                    <w:tr2bl w:val="nil"/>
                  </w:tcBorders>
                  <w:vAlign w:val="center"/>
                </w:tcPr>
                <w:p w14:paraId="7D31BD0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7A7DBD1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4C2296C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10mm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685D32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5" w:hRule="atLeast"/>
              </w:trPr>
              <w:tc>
                <w:tcPr>
                  <w:tcW w:w="2262" w:type="dxa"/>
                  <w:vMerge w:val="restart"/>
                  <w:tcBorders>
                    <w:tl2br w:val="nil"/>
                    <w:tr2bl w:val="nil"/>
                  </w:tcBorders>
                  <w:vAlign w:val="center"/>
                </w:tcPr>
                <w:p w14:paraId="3B9ADC9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注射准备室</w:t>
                  </w:r>
                </w:p>
              </w:tc>
              <w:tc>
                <w:tcPr>
                  <w:tcW w:w="3164" w:type="dxa"/>
                  <w:gridSpan w:val="3"/>
                  <w:tcBorders>
                    <w:tl2br w:val="nil"/>
                    <w:tr2bl w:val="nil"/>
                  </w:tcBorders>
                  <w:vAlign w:val="center"/>
                </w:tcPr>
                <w:p w14:paraId="0EAE971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65998B2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370mm 实心砖</w:t>
                  </w:r>
                </w:p>
              </w:tc>
            </w:tr>
            <w:tr w14:paraId="262AC3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1DA52BD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795329B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16E8955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038B75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52D73FD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4585EF6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2C3529A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26D8AE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1C7F3E1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41D4ECC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0712840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10mm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3B8835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62" w:type="dxa"/>
                  <w:vMerge w:val="restart"/>
                  <w:tcBorders>
                    <w:tl2br w:val="nil"/>
                    <w:tr2bl w:val="nil"/>
                  </w:tcBorders>
                  <w:vAlign w:val="center"/>
                </w:tcPr>
                <w:p w14:paraId="0441141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注射室</w:t>
                  </w:r>
                </w:p>
              </w:tc>
              <w:tc>
                <w:tcPr>
                  <w:tcW w:w="3164" w:type="dxa"/>
                  <w:gridSpan w:val="3"/>
                  <w:tcBorders>
                    <w:tl2br w:val="nil"/>
                    <w:tr2bl w:val="nil"/>
                  </w:tcBorders>
                  <w:vAlign w:val="center"/>
                </w:tcPr>
                <w:p w14:paraId="157C305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38C4D68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370mm 实心砖</w:t>
                  </w:r>
                </w:p>
              </w:tc>
            </w:tr>
            <w:tr w14:paraId="5018A5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076F1E9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2D14BF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3270047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537BA6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2D35B34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152DAB7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注射窗</w:t>
                  </w:r>
                </w:p>
              </w:tc>
              <w:tc>
                <w:tcPr>
                  <w:tcW w:w="3598" w:type="dxa"/>
                  <w:gridSpan w:val="2"/>
                  <w:tcBorders>
                    <w:tl2br w:val="nil"/>
                    <w:tr2bl w:val="nil"/>
                  </w:tcBorders>
                  <w:vAlign w:val="center"/>
                </w:tcPr>
                <w:p w14:paraId="642E2C0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40mm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玻璃</w:t>
                  </w:r>
                </w:p>
              </w:tc>
            </w:tr>
            <w:tr w14:paraId="1EC807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62" w:type="dxa"/>
                  <w:vMerge w:val="continue"/>
                  <w:tcBorders>
                    <w:tl2br w:val="nil"/>
                    <w:tr2bl w:val="nil"/>
                  </w:tcBorders>
                  <w:vAlign w:val="center"/>
                </w:tcPr>
                <w:p w14:paraId="1D0F1E2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31F7E9A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12EB832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5394F6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2262" w:type="dxa"/>
                  <w:vMerge w:val="continue"/>
                  <w:tcBorders>
                    <w:tl2br w:val="nil"/>
                    <w:tr2bl w:val="nil"/>
                  </w:tcBorders>
                  <w:vAlign w:val="center"/>
                </w:tcPr>
                <w:p w14:paraId="4F46B5F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3237322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29DA79C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10mm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683121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2262" w:type="dxa"/>
                  <w:vMerge w:val="restart"/>
                  <w:tcBorders>
                    <w:tl2br w:val="nil"/>
                    <w:tr2bl w:val="nil"/>
                  </w:tcBorders>
                  <w:vAlign w:val="center"/>
                </w:tcPr>
                <w:p w14:paraId="184E7D9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放废库</w:t>
                  </w:r>
                </w:p>
              </w:tc>
              <w:tc>
                <w:tcPr>
                  <w:tcW w:w="3164" w:type="dxa"/>
                  <w:gridSpan w:val="3"/>
                  <w:tcBorders>
                    <w:tl2br w:val="nil"/>
                    <w:tr2bl w:val="nil"/>
                  </w:tcBorders>
                  <w:vAlign w:val="center"/>
                </w:tcPr>
                <w:p w14:paraId="730502E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469D148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370mm 实心砖</w:t>
                  </w:r>
                </w:p>
              </w:tc>
            </w:tr>
            <w:tr w14:paraId="2D29A6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62" w:type="dxa"/>
                  <w:vMerge w:val="continue"/>
                  <w:tcBorders>
                    <w:tl2br w:val="nil"/>
                    <w:tr2bl w:val="nil"/>
                  </w:tcBorders>
                  <w:vAlign w:val="center"/>
                </w:tcPr>
                <w:p w14:paraId="040CC47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6BD3048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7B86687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532BA7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627E8B0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3AB4966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4A7DDE3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0C8D26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2262" w:type="dxa"/>
                  <w:vMerge w:val="continue"/>
                  <w:tcBorders>
                    <w:tl2br w:val="nil"/>
                    <w:tr2bl w:val="nil"/>
                  </w:tcBorders>
                  <w:vAlign w:val="center"/>
                </w:tcPr>
                <w:p w14:paraId="428E0B8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395AE47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6EF5BA6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10mm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268A02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262" w:type="dxa"/>
                  <w:vMerge w:val="restart"/>
                  <w:tcBorders>
                    <w:tl2br w:val="nil"/>
                    <w:tr2bl w:val="nil"/>
                  </w:tcBorders>
                  <w:vAlign w:val="center"/>
                </w:tcPr>
                <w:p w14:paraId="1F6D3B4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PET-CT 机房</w:t>
                  </w:r>
                </w:p>
              </w:tc>
              <w:tc>
                <w:tcPr>
                  <w:tcW w:w="3164" w:type="dxa"/>
                  <w:gridSpan w:val="3"/>
                  <w:tcBorders>
                    <w:tl2br w:val="nil"/>
                    <w:tr2bl w:val="nil"/>
                  </w:tcBorders>
                  <w:vAlign w:val="center"/>
                </w:tcPr>
                <w:p w14:paraId="6844E8E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2452BA5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370mm 实心砖</w:t>
                  </w:r>
                </w:p>
              </w:tc>
            </w:tr>
            <w:tr w14:paraId="6D20C9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0D18663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432232A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5A21CF0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0D6BE3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275FDA9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74351FB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2B60188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553FDA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26D5C09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106ADD8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14A0BE3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10mm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77AC1E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2262" w:type="dxa"/>
                  <w:vMerge w:val="continue"/>
                  <w:tcBorders>
                    <w:tl2br w:val="nil"/>
                    <w:tr2bl w:val="nil"/>
                  </w:tcBorders>
                  <w:vAlign w:val="center"/>
                </w:tcPr>
                <w:p w14:paraId="41FF694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5DDA673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观察窗</w:t>
                  </w:r>
                </w:p>
              </w:tc>
              <w:tc>
                <w:tcPr>
                  <w:tcW w:w="3598" w:type="dxa"/>
                  <w:gridSpan w:val="2"/>
                  <w:tcBorders>
                    <w:tl2br w:val="nil"/>
                    <w:tr2bl w:val="nil"/>
                  </w:tcBorders>
                  <w:vAlign w:val="center"/>
                </w:tcPr>
                <w:p w14:paraId="51307D6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10mm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玻璃</w:t>
                  </w:r>
                </w:p>
              </w:tc>
            </w:tr>
            <w:tr w14:paraId="48CBAD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2262" w:type="dxa"/>
                  <w:vMerge w:val="restart"/>
                  <w:tcBorders>
                    <w:tl2br w:val="nil"/>
                    <w:tr2bl w:val="nil"/>
                  </w:tcBorders>
                  <w:vAlign w:val="center"/>
                </w:tcPr>
                <w:p w14:paraId="7A536A9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留观室</w:t>
                  </w:r>
                </w:p>
              </w:tc>
              <w:tc>
                <w:tcPr>
                  <w:tcW w:w="3164" w:type="dxa"/>
                  <w:gridSpan w:val="3"/>
                  <w:tcBorders>
                    <w:tl2br w:val="nil"/>
                    <w:tr2bl w:val="nil"/>
                  </w:tcBorders>
                  <w:vAlign w:val="center"/>
                </w:tcPr>
                <w:p w14:paraId="6A6298B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3E03367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370mm 实心砖</w:t>
                  </w:r>
                </w:p>
              </w:tc>
            </w:tr>
            <w:tr w14:paraId="6B76B2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159E620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1223ABF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6003295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5A1A34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62" w:type="dxa"/>
                  <w:vMerge w:val="continue"/>
                  <w:tcBorders>
                    <w:tl2br w:val="nil"/>
                    <w:tr2bl w:val="nil"/>
                  </w:tcBorders>
                  <w:vAlign w:val="center"/>
                </w:tcPr>
                <w:p w14:paraId="6154741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C7341E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647300B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67043C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2262" w:type="dxa"/>
                  <w:vMerge w:val="continue"/>
                  <w:tcBorders>
                    <w:tl2br w:val="nil"/>
                    <w:tr2bl w:val="nil"/>
                  </w:tcBorders>
                  <w:vAlign w:val="center"/>
                </w:tcPr>
                <w:p w14:paraId="4E07B44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012AD39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49A6D05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10mm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3428B03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024" w:type="dxa"/>
                  <w:gridSpan w:val="6"/>
                  <w:tcBorders>
                    <w:tl2br w:val="nil"/>
                    <w:tr2bl w:val="nil"/>
                  </w:tcBorders>
                  <w:vAlign w:val="center"/>
                </w:tcPr>
                <w:p w14:paraId="25C9AFC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一层单光子放射性药物显像检查区</w:t>
                  </w:r>
                </w:p>
              </w:tc>
            </w:tr>
            <w:tr w14:paraId="6B29F7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262" w:type="dxa"/>
                  <w:vMerge w:val="restart"/>
                  <w:tcBorders>
                    <w:tl2br w:val="nil"/>
                    <w:tr2bl w:val="nil"/>
                  </w:tcBorders>
                  <w:vAlign w:val="center"/>
                </w:tcPr>
                <w:p w14:paraId="7CB4F07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抢救室</w:t>
                  </w:r>
                </w:p>
              </w:tc>
              <w:tc>
                <w:tcPr>
                  <w:tcW w:w="3164" w:type="dxa"/>
                  <w:gridSpan w:val="3"/>
                  <w:tcBorders>
                    <w:tl2br w:val="nil"/>
                    <w:tr2bl w:val="nil"/>
                  </w:tcBorders>
                  <w:vAlign w:val="center"/>
                </w:tcPr>
                <w:p w14:paraId="4BDED1B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北墙</w:t>
                  </w:r>
                </w:p>
              </w:tc>
              <w:tc>
                <w:tcPr>
                  <w:tcW w:w="3598" w:type="dxa"/>
                  <w:gridSpan w:val="2"/>
                  <w:tcBorders>
                    <w:tl2br w:val="nil"/>
                    <w:tr2bl w:val="nil"/>
                  </w:tcBorders>
                  <w:vAlign w:val="center"/>
                </w:tcPr>
                <w:p w14:paraId="640025A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150mm 实心砖+140m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444C55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44400D6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14D2F18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其余墙体</w:t>
                  </w:r>
                </w:p>
              </w:tc>
              <w:tc>
                <w:tcPr>
                  <w:tcW w:w="3598" w:type="dxa"/>
                  <w:gridSpan w:val="2"/>
                  <w:tcBorders>
                    <w:tl2br w:val="nil"/>
                    <w:tr2bl w:val="nil"/>
                  </w:tcBorders>
                  <w:vAlign w:val="center"/>
                </w:tcPr>
                <w:p w14:paraId="39E1887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240mm实心砖</w:t>
                  </w:r>
                </w:p>
              </w:tc>
            </w:tr>
            <w:tr w14:paraId="3F5D76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6B03DB8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66AFBF4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3C6C0E0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070AD3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3B014CF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160D0DA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7B13B54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6E7885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2262" w:type="dxa"/>
                  <w:vMerge w:val="continue"/>
                  <w:tcBorders>
                    <w:tl2br w:val="nil"/>
                    <w:tr2bl w:val="nil"/>
                  </w:tcBorders>
                  <w:vAlign w:val="center"/>
                </w:tcPr>
                <w:p w14:paraId="7E6D564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1640E59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6269062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464001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2262" w:type="dxa"/>
                  <w:vMerge w:val="restart"/>
                  <w:tcBorders>
                    <w:tl2br w:val="nil"/>
                    <w:tr2bl w:val="nil"/>
                  </w:tcBorders>
                  <w:vAlign w:val="center"/>
                </w:tcPr>
                <w:p w14:paraId="241606B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注射后休息室</w:t>
                  </w:r>
                </w:p>
              </w:tc>
              <w:tc>
                <w:tcPr>
                  <w:tcW w:w="3164" w:type="dxa"/>
                  <w:gridSpan w:val="3"/>
                  <w:tcBorders>
                    <w:tl2br w:val="nil"/>
                    <w:tr2bl w:val="nil"/>
                  </w:tcBorders>
                  <w:vAlign w:val="center"/>
                </w:tcPr>
                <w:p w14:paraId="495E9F8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北墙</w:t>
                  </w:r>
                </w:p>
              </w:tc>
              <w:tc>
                <w:tcPr>
                  <w:tcW w:w="3598" w:type="dxa"/>
                  <w:gridSpan w:val="2"/>
                  <w:tcBorders>
                    <w:tl2br w:val="nil"/>
                    <w:tr2bl w:val="nil"/>
                  </w:tcBorders>
                  <w:vAlign w:val="center"/>
                </w:tcPr>
                <w:p w14:paraId="1ED534C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北墙 150mm 实心砖+140m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051FDE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2702671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041B81C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其余墙体</w:t>
                  </w:r>
                </w:p>
              </w:tc>
              <w:tc>
                <w:tcPr>
                  <w:tcW w:w="3598" w:type="dxa"/>
                  <w:gridSpan w:val="2"/>
                  <w:tcBorders>
                    <w:tl2br w:val="nil"/>
                    <w:tr2bl w:val="nil"/>
                  </w:tcBorders>
                  <w:vAlign w:val="center"/>
                </w:tcPr>
                <w:p w14:paraId="1D8882F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240mm实心砖</w:t>
                  </w:r>
                </w:p>
              </w:tc>
            </w:tr>
            <w:tr w14:paraId="4BAF99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62" w:type="dxa"/>
                  <w:vMerge w:val="continue"/>
                  <w:tcBorders>
                    <w:tl2br w:val="nil"/>
                    <w:tr2bl w:val="nil"/>
                  </w:tcBorders>
                  <w:vAlign w:val="center"/>
                </w:tcPr>
                <w:p w14:paraId="4A27BF3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535EFB0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71D57F8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193F57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4387279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A16D6A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37D95A9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1170B6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2262" w:type="dxa"/>
                  <w:vMerge w:val="continue"/>
                  <w:tcBorders>
                    <w:tl2br w:val="nil"/>
                    <w:tr2bl w:val="nil"/>
                  </w:tcBorders>
                  <w:vAlign w:val="center"/>
                </w:tcPr>
                <w:p w14:paraId="1878020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51C738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5B886A1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5B99F2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2262" w:type="dxa"/>
                  <w:vMerge w:val="restart"/>
                  <w:tcBorders>
                    <w:tl2br w:val="nil"/>
                    <w:tr2bl w:val="nil"/>
                  </w:tcBorders>
                  <w:vAlign w:val="center"/>
                </w:tcPr>
                <w:p w14:paraId="4124CEE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留观室</w:t>
                  </w:r>
                </w:p>
              </w:tc>
              <w:tc>
                <w:tcPr>
                  <w:tcW w:w="3164" w:type="dxa"/>
                  <w:gridSpan w:val="3"/>
                  <w:tcBorders>
                    <w:tl2br w:val="nil"/>
                    <w:tr2bl w:val="nil"/>
                  </w:tcBorders>
                  <w:vAlign w:val="center"/>
                </w:tcPr>
                <w:p w14:paraId="330E44C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北墙东段</w:t>
                  </w:r>
                </w:p>
              </w:tc>
              <w:tc>
                <w:tcPr>
                  <w:tcW w:w="3598" w:type="dxa"/>
                  <w:gridSpan w:val="2"/>
                  <w:tcBorders>
                    <w:tl2br w:val="nil"/>
                    <w:tr2bl w:val="nil"/>
                  </w:tcBorders>
                  <w:vAlign w:val="center"/>
                </w:tcPr>
                <w:p w14:paraId="7B1794B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150mm 实心砖+140m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79DC19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1D0B0B9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D3A55D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其余墙体</w:t>
                  </w:r>
                </w:p>
              </w:tc>
              <w:tc>
                <w:tcPr>
                  <w:tcW w:w="3598" w:type="dxa"/>
                  <w:gridSpan w:val="2"/>
                  <w:tcBorders>
                    <w:tl2br w:val="nil"/>
                    <w:tr2bl w:val="nil"/>
                  </w:tcBorders>
                  <w:vAlign w:val="center"/>
                </w:tcPr>
                <w:p w14:paraId="4A0522A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240mm实心砖</w:t>
                  </w:r>
                </w:p>
              </w:tc>
            </w:tr>
            <w:tr w14:paraId="47DDC2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6AE9D27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61B5657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23D9DE0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51E462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2A66EA7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419A152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366DAAB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208EAD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2262" w:type="dxa"/>
                  <w:vMerge w:val="continue"/>
                  <w:tcBorders>
                    <w:tl2br w:val="nil"/>
                    <w:tr2bl w:val="nil"/>
                  </w:tcBorders>
                  <w:vAlign w:val="center"/>
                </w:tcPr>
                <w:p w14:paraId="3C31232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1D26270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613B1FF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2C84F8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2262" w:type="dxa"/>
                  <w:vMerge w:val="restart"/>
                  <w:tcBorders>
                    <w:tl2br w:val="nil"/>
                    <w:tr2bl w:val="nil"/>
                  </w:tcBorders>
                  <w:vAlign w:val="center"/>
                </w:tcPr>
                <w:p w14:paraId="2F53B1A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储源室</w:t>
                  </w:r>
                </w:p>
              </w:tc>
              <w:tc>
                <w:tcPr>
                  <w:tcW w:w="3164" w:type="dxa"/>
                  <w:gridSpan w:val="3"/>
                  <w:tcBorders>
                    <w:tl2br w:val="nil"/>
                    <w:tr2bl w:val="nil"/>
                  </w:tcBorders>
                  <w:vAlign w:val="center"/>
                </w:tcPr>
                <w:p w14:paraId="22E8ECA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4B3E3F3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240mm实心砖</w:t>
                  </w:r>
                </w:p>
              </w:tc>
            </w:tr>
            <w:tr w14:paraId="013815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558545E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04C5BC2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5B5F0BC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11C01C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1827987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38EF3AA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1D6A3FB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355D7E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262" w:type="dxa"/>
                  <w:vMerge w:val="continue"/>
                  <w:tcBorders>
                    <w:tl2br w:val="nil"/>
                    <w:tr2bl w:val="nil"/>
                  </w:tcBorders>
                  <w:vAlign w:val="center"/>
                </w:tcPr>
                <w:p w14:paraId="206BE99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0789950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336C256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5A209A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2262" w:type="dxa"/>
                  <w:vMerge w:val="restart"/>
                  <w:tcBorders>
                    <w:tl2br w:val="nil"/>
                    <w:tr2bl w:val="nil"/>
                  </w:tcBorders>
                  <w:vAlign w:val="center"/>
                </w:tcPr>
                <w:p w14:paraId="4B7D665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注射室</w:t>
                  </w:r>
                </w:p>
              </w:tc>
              <w:tc>
                <w:tcPr>
                  <w:tcW w:w="3164" w:type="dxa"/>
                  <w:gridSpan w:val="3"/>
                  <w:tcBorders>
                    <w:tl2br w:val="nil"/>
                    <w:tr2bl w:val="nil"/>
                  </w:tcBorders>
                  <w:vAlign w:val="center"/>
                </w:tcPr>
                <w:p w14:paraId="331C09C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3F40024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240mm实心砖</w:t>
                  </w:r>
                </w:p>
              </w:tc>
            </w:tr>
            <w:tr w14:paraId="04204A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5161D9A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147CB93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6EA5180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378EB8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514F75A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771548C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11E44B1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345453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62" w:type="dxa"/>
                  <w:vMerge w:val="continue"/>
                  <w:tcBorders>
                    <w:tl2br w:val="nil"/>
                    <w:tr2bl w:val="nil"/>
                  </w:tcBorders>
                  <w:vAlign w:val="center"/>
                </w:tcPr>
                <w:p w14:paraId="612BF57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4272C15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67A423C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1C58C3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2262" w:type="dxa"/>
                  <w:vMerge w:val="continue"/>
                  <w:tcBorders>
                    <w:tl2br w:val="nil"/>
                    <w:tr2bl w:val="nil"/>
                  </w:tcBorders>
                  <w:vAlign w:val="center"/>
                </w:tcPr>
                <w:p w14:paraId="1FDC80D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4E15C6A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注射窗</w:t>
                  </w:r>
                </w:p>
              </w:tc>
              <w:tc>
                <w:tcPr>
                  <w:tcW w:w="3598" w:type="dxa"/>
                  <w:gridSpan w:val="2"/>
                  <w:tcBorders>
                    <w:tl2br w:val="nil"/>
                    <w:tr2bl w:val="nil"/>
                  </w:tcBorders>
                  <w:vAlign w:val="center"/>
                </w:tcPr>
                <w:p w14:paraId="178B2C4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玻璃</w:t>
                  </w:r>
                </w:p>
              </w:tc>
            </w:tr>
            <w:tr w14:paraId="4EB0E0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2262" w:type="dxa"/>
                  <w:vMerge w:val="restart"/>
                  <w:tcBorders>
                    <w:tl2br w:val="nil"/>
                    <w:tr2bl w:val="nil"/>
                  </w:tcBorders>
                  <w:vAlign w:val="center"/>
                </w:tcPr>
                <w:p w14:paraId="539D4E6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注射准备室</w:t>
                  </w:r>
                </w:p>
              </w:tc>
              <w:tc>
                <w:tcPr>
                  <w:tcW w:w="3164" w:type="dxa"/>
                  <w:gridSpan w:val="3"/>
                  <w:tcBorders>
                    <w:tl2br w:val="nil"/>
                    <w:tr2bl w:val="nil"/>
                  </w:tcBorders>
                  <w:vAlign w:val="center"/>
                </w:tcPr>
                <w:p w14:paraId="296DD56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4DD0160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240mm实心砖</w:t>
                  </w:r>
                </w:p>
              </w:tc>
            </w:tr>
            <w:tr w14:paraId="3187F6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62" w:type="dxa"/>
                  <w:vMerge w:val="continue"/>
                  <w:tcBorders>
                    <w:tl2br w:val="nil"/>
                    <w:tr2bl w:val="nil"/>
                  </w:tcBorders>
                  <w:vAlign w:val="center"/>
                </w:tcPr>
                <w:p w14:paraId="0F6E78C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348B1FD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197E1D9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43276F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6D68982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71C389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4260366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606A28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2262" w:type="dxa"/>
                  <w:vMerge w:val="continue"/>
                  <w:tcBorders>
                    <w:tl2br w:val="nil"/>
                    <w:tr2bl w:val="nil"/>
                  </w:tcBorders>
                  <w:vAlign w:val="center"/>
                </w:tcPr>
                <w:p w14:paraId="1C06662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1768926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50FCFA6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5DF642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62" w:type="dxa"/>
                  <w:vMerge w:val="restart"/>
                  <w:tcBorders>
                    <w:tl2br w:val="nil"/>
                    <w:tr2bl w:val="nil"/>
                  </w:tcBorders>
                  <w:vAlign w:val="center"/>
                </w:tcPr>
                <w:p w14:paraId="22F1F99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放废库</w:t>
                  </w:r>
                </w:p>
              </w:tc>
              <w:tc>
                <w:tcPr>
                  <w:tcW w:w="3164" w:type="dxa"/>
                  <w:gridSpan w:val="3"/>
                  <w:tcBorders>
                    <w:tl2br w:val="nil"/>
                    <w:tr2bl w:val="nil"/>
                  </w:tcBorders>
                  <w:vAlign w:val="center"/>
                </w:tcPr>
                <w:p w14:paraId="5D818C8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44B9EA7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240mm实心砖</w:t>
                  </w:r>
                </w:p>
              </w:tc>
            </w:tr>
            <w:tr w14:paraId="210CC2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62" w:type="dxa"/>
                  <w:vMerge w:val="continue"/>
                  <w:tcBorders>
                    <w:tl2br w:val="nil"/>
                    <w:tr2bl w:val="nil"/>
                  </w:tcBorders>
                  <w:vAlign w:val="center"/>
                </w:tcPr>
                <w:p w14:paraId="565B8DB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F38A8B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513915A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0DE2A4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262" w:type="dxa"/>
                  <w:vMerge w:val="continue"/>
                  <w:tcBorders>
                    <w:tl2br w:val="nil"/>
                    <w:tr2bl w:val="nil"/>
                  </w:tcBorders>
                  <w:vAlign w:val="center"/>
                </w:tcPr>
                <w:p w14:paraId="2D57B1C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446C795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0F779D0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59AFDF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2262" w:type="dxa"/>
                  <w:vMerge w:val="continue"/>
                  <w:tcBorders>
                    <w:tl2br w:val="nil"/>
                    <w:tr2bl w:val="nil"/>
                  </w:tcBorders>
                  <w:vAlign w:val="center"/>
                </w:tcPr>
                <w:p w14:paraId="661922D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3DC7525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6B6CBB6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3B1F45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2262" w:type="dxa"/>
                  <w:vMerge w:val="restart"/>
                  <w:tcBorders>
                    <w:tl2br w:val="nil"/>
                    <w:tr2bl w:val="nil"/>
                  </w:tcBorders>
                  <w:vAlign w:val="center"/>
                </w:tcPr>
                <w:p w14:paraId="691B8CD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SPECT-CT 机房</w:t>
                  </w:r>
                </w:p>
              </w:tc>
              <w:tc>
                <w:tcPr>
                  <w:tcW w:w="3164" w:type="dxa"/>
                  <w:gridSpan w:val="3"/>
                  <w:tcBorders>
                    <w:tl2br w:val="nil"/>
                    <w:tr2bl w:val="nil"/>
                  </w:tcBorders>
                  <w:vAlign w:val="center"/>
                </w:tcPr>
                <w:p w14:paraId="2944DD8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0022FFB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370mm 实心砖</w:t>
                  </w:r>
                </w:p>
              </w:tc>
            </w:tr>
            <w:tr w14:paraId="16984A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3A0953F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2345CB3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vAlign w:val="center"/>
                </w:tcPr>
                <w:p w14:paraId="58B3429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739A02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62" w:type="dxa"/>
                  <w:vMerge w:val="continue"/>
                  <w:tcBorders>
                    <w:tl2br w:val="nil"/>
                    <w:tr2bl w:val="nil"/>
                  </w:tcBorders>
                  <w:vAlign w:val="center"/>
                </w:tcPr>
                <w:p w14:paraId="12589EE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3145CB6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02DEAAB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369516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62" w:type="dxa"/>
                  <w:vMerge w:val="continue"/>
                  <w:tcBorders>
                    <w:tl2br w:val="nil"/>
                    <w:tr2bl w:val="nil"/>
                  </w:tcBorders>
                  <w:vAlign w:val="center"/>
                </w:tcPr>
                <w:p w14:paraId="4A1B2EF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645E91A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618B3BD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706132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2262" w:type="dxa"/>
                  <w:vMerge w:val="continue"/>
                  <w:tcBorders>
                    <w:tl2br w:val="nil"/>
                    <w:tr2bl w:val="nil"/>
                  </w:tcBorders>
                  <w:vAlign w:val="center"/>
                </w:tcPr>
                <w:p w14:paraId="7F4F804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64" w:type="dxa"/>
                  <w:gridSpan w:val="3"/>
                  <w:tcBorders>
                    <w:tl2br w:val="nil"/>
                    <w:tr2bl w:val="nil"/>
                  </w:tcBorders>
                  <w:vAlign w:val="center"/>
                </w:tcPr>
                <w:p w14:paraId="4F9D1E8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观察窗</w:t>
                  </w:r>
                </w:p>
              </w:tc>
              <w:tc>
                <w:tcPr>
                  <w:tcW w:w="3598" w:type="dxa"/>
                  <w:gridSpan w:val="2"/>
                  <w:tcBorders>
                    <w:tl2br w:val="nil"/>
                    <w:tr2bl w:val="nil"/>
                  </w:tcBorders>
                  <w:vAlign w:val="center"/>
                </w:tcPr>
                <w:p w14:paraId="698D73C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玻璃</w:t>
                  </w:r>
                </w:p>
              </w:tc>
            </w:tr>
            <w:tr w14:paraId="0FF3D5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024" w:type="dxa"/>
                  <w:gridSpan w:val="6"/>
                  <w:tcBorders>
                    <w:tl2br w:val="nil"/>
                    <w:tr2bl w:val="nil"/>
                  </w:tcBorders>
                  <w:vAlign w:val="center"/>
                </w:tcPr>
                <w:p w14:paraId="35F2349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负一层制药区域</w:t>
                  </w:r>
                </w:p>
              </w:tc>
            </w:tr>
            <w:tr w14:paraId="205A4D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75" w:type="dxa"/>
                  <w:gridSpan w:val="2"/>
                  <w:vMerge w:val="restart"/>
                  <w:tcBorders>
                    <w:tl2br w:val="nil"/>
                    <w:tr2bl w:val="nil"/>
                  </w:tcBorders>
                  <w:vAlign w:val="center"/>
                </w:tcPr>
                <w:p w14:paraId="3420E98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标记/分装室（单光子药物生产车间）</w:t>
                  </w:r>
                </w:p>
              </w:tc>
              <w:tc>
                <w:tcPr>
                  <w:tcW w:w="3151" w:type="dxa"/>
                  <w:gridSpan w:val="2"/>
                  <w:tcBorders>
                    <w:tl2br w:val="nil"/>
                    <w:tr2bl w:val="nil"/>
                  </w:tcBorders>
                  <w:vAlign w:val="center"/>
                </w:tcPr>
                <w:p w14:paraId="0818D76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6AA804F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480D42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75" w:type="dxa"/>
                  <w:gridSpan w:val="2"/>
                  <w:vMerge w:val="continue"/>
                  <w:tcBorders>
                    <w:tl2br w:val="nil"/>
                    <w:tr2bl w:val="nil"/>
                  </w:tcBorders>
                  <w:vAlign w:val="center"/>
                </w:tcPr>
                <w:p w14:paraId="4D0EAAB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5B0468A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4ACEB32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0FA7E4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75" w:type="dxa"/>
                  <w:gridSpan w:val="2"/>
                  <w:vMerge w:val="continue"/>
                  <w:tcBorders>
                    <w:tl2br w:val="nil"/>
                    <w:tr2bl w:val="nil"/>
                  </w:tcBorders>
                  <w:vAlign w:val="center"/>
                </w:tcPr>
                <w:p w14:paraId="5E10BEB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7A33D8E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地坪</w:t>
                  </w:r>
                </w:p>
              </w:tc>
              <w:tc>
                <w:tcPr>
                  <w:tcW w:w="3598" w:type="dxa"/>
                  <w:gridSpan w:val="2"/>
                  <w:tcBorders>
                    <w:tl2br w:val="nil"/>
                    <w:tr2bl w:val="nil"/>
                  </w:tcBorders>
                  <w:vAlign w:val="center"/>
                </w:tcPr>
                <w:p w14:paraId="5A49121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70C323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75" w:type="dxa"/>
                  <w:gridSpan w:val="2"/>
                  <w:vMerge w:val="continue"/>
                  <w:tcBorders>
                    <w:tl2br w:val="nil"/>
                    <w:tr2bl w:val="nil"/>
                  </w:tcBorders>
                  <w:vAlign w:val="center"/>
                </w:tcPr>
                <w:p w14:paraId="76CDB39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257935F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传递窗</w:t>
                  </w:r>
                </w:p>
              </w:tc>
              <w:tc>
                <w:tcPr>
                  <w:tcW w:w="3598" w:type="dxa"/>
                  <w:gridSpan w:val="2"/>
                  <w:tcBorders>
                    <w:tl2br w:val="nil"/>
                    <w:tr2bl w:val="nil"/>
                  </w:tcBorders>
                  <w:vAlign w:val="center"/>
                </w:tcPr>
                <w:p w14:paraId="2378637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玻璃</w:t>
                  </w:r>
                </w:p>
              </w:tc>
            </w:tr>
            <w:tr w14:paraId="66E521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2275" w:type="dxa"/>
                  <w:gridSpan w:val="2"/>
                  <w:vMerge w:val="continue"/>
                  <w:tcBorders>
                    <w:tl2br w:val="nil"/>
                    <w:tr2bl w:val="nil"/>
                  </w:tcBorders>
                  <w:vAlign w:val="center"/>
                </w:tcPr>
                <w:p w14:paraId="0474E94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079253B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5C2B1CD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702CD3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2275" w:type="dxa"/>
                  <w:gridSpan w:val="2"/>
                  <w:vMerge w:val="continue"/>
                  <w:tcBorders>
                    <w:tl2br w:val="nil"/>
                    <w:tr2bl w:val="nil"/>
                  </w:tcBorders>
                  <w:vAlign w:val="center"/>
                </w:tcPr>
                <w:p w14:paraId="7248A46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5F4E6CD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分装柜</w:t>
                  </w:r>
                </w:p>
              </w:tc>
              <w:tc>
                <w:tcPr>
                  <w:tcW w:w="3598" w:type="dxa"/>
                  <w:gridSpan w:val="2"/>
                  <w:tcBorders>
                    <w:tl2br w:val="nil"/>
                    <w:tr2bl w:val="nil"/>
                  </w:tcBorders>
                  <w:vAlign w:val="center"/>
                </w:tcPr>
                <w:p w14:paraId="0E2F7CF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20mmPb铅板</w:t>
                  </w:r>
                </w:p>
              </w:tc>
            </w:tr>
            <w:tr w14:paraId="5D15A8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1" w:hRule="atLeast"/>
              </w:trPr>
              <w:tc>
                <w:tcPr>
                  <w:tcW w:w="2275" w:type="dxa"/>
                  <w:gridSpan w:val="2"/>
                  <w:vMerge w:val="restart"/>
                  <w:tcBorders>
                    <w:tl2br w:val="nil"/>
                    <w:tr2bl w:val="nil"/>
                  </w:tcBorders>
                  <w:vAlign w:val="center"/>
                </w:tcPr>
                <w:p w14:paraId="2624422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回旋加速器机房</w:t>
                  </w:r>
                </w:p>
              </w:tc>
              <w:tc>
                <w:tcPr>
                  <w:tcW w:w="3151" w:type="dxa"/>
                  <w:gridSpan w:val="2"/>
                  <w:tcBorders>
                    <w:tl2br w:val="nil"/>
                    <w:tr2bl w:val="nil"/>
                  </w:tcBorders>
                  <w:vAlign w:val="center"/>
                </w:tcPr>
                <w:p w14:paraId="33C29BD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东西南侧墙体</w:t>
                  </w:r>
                </w:p>
              </w:tc>
              <w:tc>
                <w:tcPr>
                  <w:tcW w:w="3598" w:type="dxa"/>
                  <w:gridSpan w:val="2"/>
                  <w:tcBorders>
                    <w:tl2br w:val="nil"/>
                    <w:tr2bl w:val="nil"/>
                  </w:tcBorders>
                  <w:vAlign w:val="center"/>
                </w:tcPr>
                <w:p w14:paraId="5D0228C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800m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0C505C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75" w:type="dxa"/>
                  <w:gridSpan w:val="2"/>
                  <w:vMerge w:val="continue"/>
                  <w:tcBorders>
                    <w:tl2br w:val="nil"/>
                    <w:tr2bl w:val="nil"/>
                  </w:tcBorders>
                  <w:vAlign w:val="center"/>
                </w:tcPr>
                <w:p w14:paraId="39C8753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5FAF9CB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迷道内墙</w:t>
                  </w:r>
                </w:p>
              </w:tc>
              <w:tc>
                <w:tcPr>
                  <w:tcW w:w="3598" w:type="dxa"/>
                  <w:gridSpan w:val="2"/>
                  <w:tcBorders>
                    <w:tl2br w:val="nil"/>
                    <w:tr2bl w:val="nil"/>
                  </w:tcBorders>
                  <w:vAlign w:val="center"/>
                </w:tcPr>
                <w:p w14:paraId="2F0B5AF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500m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45EC83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75" w:type="dxa"/>
                  <w:gridSpan w:val="2"/>
                  <w:vMerge w:val="continue"/>
                  <w:tcBorders>
                    <w:tl2br w:val="nil"/>
                    <w:tr2bl w:val="nil"/>
                  </w:tcBorders>
                  <w:vAlign w:val="center"/>
                </w:tcPr>
                <w:p w14:paraId="1852C4C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1B70768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迷道外墙</w:t>
                  </w:r>
                </w:p>
              </w:tc>
              <w:tc>
                <w:tcPr>
                  <w:tcW w:w="3598" w:type="dxa"/>
                  <w:gridSpan w:val="2"/>
                  <w:tcBorders>
                    <w:tl2br w:val="nil"/>
                    <w:tr2bl w:val="nil"/>
                  </w:tcBorders>
                  <w:vAlign w:val="center"/>
                </w:tcPr>
                <w:p w14:paraId="49901B2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700m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18EF9F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75" w:type="dxa"/>
                  <w:gridSpan w:val="2"/>
                  <w:vMerge w:val="continue"/>
                  <w:tcBorders>
                    <w:tl2br w:val="nil"/>
                    <w:tr2bl w:val="nil"/>
                  </w:tcBorders>
                  <w:vAlign w:val="center"/>
                </w:tcPr>
                <w:p w14:paraId="1CEB01E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6FB55AF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4A43BF6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10mmPb+150mm 聚乙烯</w:t>
                  </w:r>
                </w:p>
              </w:tc>
            </w:tr>
            <w:tr w14:paraId="600E79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75" w:type="dxa"/>
                  <w:gridSpan w:val="2"/>
                  <w:vMerge w:val="continue"/>
                  <w:tcBorders>
                    <w:tl2br w:val="nil"/>
                    <w:tr2bl w:val="nil"/>
                  </w:tcBorders>
                  <w:vAlign w:val="center"/>
                </w:tcPr>
                <w:p w14:paraId="36D84DB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49E6707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2A886C7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800m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7EA7D3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2275" w:type="dxa"/>
                  <w:gridSpan w:val="2"/>
                  <w:vMerge w:val="continue"/>
                  <w:tcBorders>
                    <w:tl2br w:val="nil"/>
                    <w:tr2bl w:val="nil"/>
                  </w:tcBorders>
                  <w:vAlign w:val="center"/>
                </w:tcPr>
                <w:p w14:paraId="1CB24EC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0FC1601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地坪</w:t>
                  </w:r>
                </w:p>
              </w:tc>
              <w:tc>
                <w:tcPr>
                  <w:tcW w:w="3598" w:type="dxa"/>
                  <w:gridSpan w:val="2"/>
                  <w:tcBorders>
                    <w:tl2br w:val="nil"/>
                    <w:tr2bl w:val="nil"/>
                  </w:tcBorders>
                  <w:vAlign w:val="center"/>
                </w:tcPr>
                <w:p w14:paraId="4001881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1900m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 回填土</w:t>
                  </w:r>
                </w:p>
              </w:tc>
            </w:tr>
            <w:tr w14:paraId="59D9EA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2275" w:type="dxa"/>
                  <w:gridSpan w:val="2"/>
                  <w:vMerge w:val="restart"/>
                  <w:tcBorders>
                    <w:tl2br w:val="nil"/>
                    <w:tr2bl w:val="nil"/>
                  </w:tcBorders>
                  <w:vAlign w:val="center"/>
                </w:tcPr>
                <w:p w14:paraId="04178E9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标记/分装室（正电子药物生产车间）</w:t>
                  </w:r>
                </w:p>
              </w:tc>
              <w:tc>
                <w:tcPr>
                  <w:tcW w:w="3151" w:type="dxa"/>
                  <w:gridSpan w:val="2"/>
                  <w:tcBorders>
                    <w:tl2br w:val="nil"/>
                    <w:tr2bl w:val="nil"/>
                  </w:tcBorders>
                  <w:vAlign w:val="center"/>
                </w:tcPr>
                <w:p w14:paraId="274D8C8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zh-CN"/>
                    </w:rPr>
                    <w:t>合成柜</w:t>
                  </w:r>
                </w:p>
              </w:tc>
              <w:tc>
                <w:tcPr>
                  <w:tcW w:w="3598" w:type="dxa"/>
                  <w:gridSpan w:val="2"/>
                  <w:tcBorders>
                    <w:tl2br w:val="nil"/>
                    <w:tr2bl w:val="nil"/>
                  </w:tcBorders>
                  <w:vAlign w:val="center"/>
                </w:tcPr>
                <w:p w14:paraId="3B3C03E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zh-CN"/>
                    </w:rPr>
                    <w:t>70mmPb</w:t>
                  </w:r>
                </w:p>
              </w:tc>
            </w:tr>
            <w:tr w14:paraId="46F299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2275" w:type="dxa"/>
                  <w:gridSpan w:val="2"/>
                  <w:vMerge w:val="continue"/>
                  <w:tcBorders>
                    <w:tl2br w:val="nil"/>
                    <w:tr2bl w:val="nil"/>
                  </w:tcBorders>
                  <w:vAlign w:val="center"/>
                </w:tcPr>
                <w:p w14:paraId="1E786CA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shd w:val="clear" w:color="auto" w:fill="auto"/>
                  <w:vAlign w:val="center"/>
                </w:tcPr>
                <w:p w14:paraId="5CF7A64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16"/>
                      <w:highlight w:val="none"/>
                      <w:lang w:val="en-US" w:eastAsia="en-US" w:bidi="ar-SA"/>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shd w:val="clear" w:color="auto" w:fill="auto"/>
                  <w:vAlign w:val="center"/>
                </w:tcPr>
                <w:p w14:paraId="3E3E326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16"/>
                      <w:highlight w:val="none"/>
                      <w:lang w:val="en-US" w:eastAsia="en-US" w:bidi="ar-SA"/>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52A3FC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75" w:type="dxa"/>
                  <w:gridSpan w:val="2"/>
                  <w:vMerge w:val="continue"/>
                  <w:tcBorders>
                    <w:tl2br w:val="nil"/>
                    <w:tr2bl w:val="nil"/>
                  </w:tcBorders>
                  <w:vAlign w:val="center"/>
                </w:tcPr>
                <w:p w14:paraId="253E42D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6EEA40D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2559872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44910F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75" w:type="dxa"/>
                  <w:gridSpan w:val="2"/>
                  <w:vMerge w:val="continue"/>
                  <w:tcBorders>
                    <w:tl2br w:val="nil"/>
                    <w:tr2bl w:val="nil"/>
                  </w:tcBorders>
                  <w:vAlign w:val="center"/>
                </w:tcPr>
                <w:p w14:paraId="0F154A9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4B43DDE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地坪</w:t>
                  </w:r>
                </w:p>
              </w:tc>
              <w:tc>
                <w:tcPr>
                  <w:tcW w:w="3598" w:type="dxa"/>
                  <w:gridSpan w:val="2"/>
                  <w:tcBorders>
                    <w:tl2br w:val="nil"/>
                    <w:tr2bl w:val="nil"/>
                  </w:tcBorders>
                  <w:vAlign w:val="center"/>
                </w:tcPr>
                <w:p w14:paraId="02365B7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4FD329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75" w:type="dxa"/>
                  <w:gridSpan w:val="2"/>
                  <w:vMerge w:val="continue"/>
                  <w:tcBorders>
                    <w:tl2br w:val="nil"/>
                    <w:tr2bl w:val="nil"/>
                  </w:tcBorders>
                  <w:vAlign w:val="center"/>
                </w:tcPr>
                <w:p w14:paraId="22709AC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6156C41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传递窗</w:t>
                  </w:r>
                </w:p>
              </w:tc>
              <w:tc>
                <w:tcPr>
                  <w:tcW w:w="3598" w:type="dxa"/>
                  <w:gridSpan w:val="2"/>
                  <w:tcBorders>
                    <w:tl2br w:val="nil"/>
                    <w:tr2bl w:val="nil"/>
                  </w:tcBorders>
                  <w:vAlign w:val="center"/>
                </w:tcPr>
                <w:p w14:paraId="5531F2D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6mm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玻璃</w:t>
                  </w:r>
                </w:p>
              </w:tc>
            </w:tr>
            <w:tr w14:paraId="06619E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2275" w:type="dxa"/>
                  <w:gridSpan w:val="2"/>
                  <w:vMerge w:val="continue"/>
                  <w:tcBorders>
                    <w:tl2br w:val="nil"/>
                    <w:tr2bl w:val="nil"/>
                  </w:tcBorders>
                  <w:vAlign w:val="center"/>
                </w:tcPr>
                <w:p w14:paraId="6988955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10B5640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0400DB5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6mm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2142B7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275" w:type="dxa"/>
                  <w:gridSpan w:val="2"/>
                  <w:vMerge w:val="restart"/>
                  <w:tcBorders>
                    <w:tl2br w:val="nil"/>
                    <w:tr2bl w:val="nil"/>
                  </w:tcBorders>
                  <w:vAlign w:val="center"/>
                </w:tcPr>
                <w:p w14:paraId="66D7FE1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质控室</w:t>
                  </w:r>
                </w:p>
              </w:tc>
              <w:tc>
                <w:tcPr>
                  <w:tcW w:w="3151" w:type="dxa"/>
                  <w:gridSpan w:val="2"/>
                  <w:tcBorders>
                    <w:tl2br w:val="nil"/>
                    <w:tr2bl w:val="nil"/>
                  </w:tcBorders>
                  <w:shd w:val="clear" w:color="auto" w:fill="auto"/>
                  <w:vAlign w:val="center"/>
                </w:tcPr>
                <w:p w14:paraId="2E90A94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16"/>
                      <w:highlight w:val="none"/>
                      <w:lang w:val="en-US" w:eastAsia="en-US" w:bidi="ar-SA"/>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shd w:val="clear" w:color="auto" w:fill="auto"/>
                  <w:vAlign w:val="center"/>
                </w:tcPr>
                <w:p w14:paraId="629A6CC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16"/>
                      <w:highlight w:val="none"/>
                      <w:lang w:val="en-US" w:eastAsia="zh-CN" w:bidi="ar-SA"/>
                    </w:rPr>
                  </w:pPr>
                  <w:r>
                    <w:rPr>
                      <w:rFonts w:hint="default" w:ascii="Times New Roman" w:hAnsi="Times New Roman" w:cs="Times New Roman"/>
                      <w:color w:val="auto"/>
                      <w:kern w:val="0"/>
                      <w:sz w:val="21"/>
                      <w:szCs w:val="16"/>
                      <w:highlight w:val="none"/>
                      <w:lang w:val="en-US" w:eastAsia="zh-CN"/>
                    </w:rPr>
                    <w:t>240mm实心砖</w:t>
                  </w:r>
                  <w:r>
                    <w:rPr>
                      <w:rFonts w:hint="default" w:ascii="Times New Roman" w:hAnsi="Times New Roman" w:eastAsia="宋体" w:cs="Times New Roman"/>
                      <w:color w:val="auto"/>
                      <w:kern w:val="0"/>
                      <w:sz w:val="21"/>
                      <w:szCs w:val="16"/>
                      <w:highlight w:val="none"/>
                      <w:lang w:val="en-US" w:eastAsia="en-US"/>
                    </w:rPr>
                    <w:t>+</w:t>
                  </w:r>
                  <w:r>
                    <w:rPr>
                      <w:rFonts w:hint="default" w:ascii="Times New Roman" w:hAnsi="Times New Roman" w:cs="Times New Roman"/>
                      <w:color w:val="auto"/>
                      <w:kern w:val="0"/>
                      <w:sz w:val="21"/>
                      <w:szCs w:val="16"/>
                      <w:highlight w:val="none"/>
                      <w:lang w:val="en-US" w:eastAsia="zh-CN"/>
                    </w:rPr>
                    <w:t>20mm硫酸钡</w:t>
                  </w:r>
                </w:p>
              </w:tc>
            </w:tr>
            <w:tr w14:paraId="3B0985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275" w:type="dxa"/>
                  <w:gridSpan w:val="2"/>
                  <w:vMerge w:val="continue"/>
                  <w:tcBorders>
                    <w:tl2br w:val="nil"/>
                    <w:tr2bl w:val="nil"/>
                  </w:tcBorders>
                  <w:vAlign w:val="center"/>
                </w:tcPr>
                <w:p w14:paraId="606C346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shd w:val="clear" w:color="auto" w:fill="auto"/>
                  <w:vAlign w:val="center"/>
                </w:tcPr>
                <w:p w14:paraId="4874C59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16"/>
                      <w:highlight w:val="none"/>
                      <w:lang w:val="en-US" w:eastAsia="en-US" w:bidi="ar-SA"/>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shd w:val="clear" w:color="auto" w:fill="auto"/>
                  <w:vAlign w:val="center"/>
                </w:tcPr>
                <w:p w14:paraId="0618A68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16"/>
                      <w:highlight w:val="none"/>
                      <w:lang w:val="en-US" w:eastAsia="en-US" w:bidi="ar-SA"/>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35F765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275" w:type="dxa"/>
                  <w:gridSpan w:val="2"/>
                  <w:vMerge w:val="continue"/>
                  <w:tcBorders>
                    <w:tl2br w:val="nil"/>
                    <w:tr2bl w:val="nil"/>
                  </w:tcBorders>
                  <w:vAlign w:val="center"/>
                </w:tcPr>
                <w:p w14:paraId="54C8694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shd w:val="clear" w:color="auto" w:fill="auto"/>
                  <w:vAlign w:val="center"/>
                </w:tcPr>
                <w:p w14:paraId="06CDF97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16"/>
                      <w:highlight w:val="none"/>
                      <w:lang w:val="en-US" w:eastAsia="en-US" w:bidi="ar-SA"/>
                    </w:rPr>
                  </w:pPr>
                  <w:r>
                    <w:rPr>
                      <w:rFonts w:hint="default" w:ascii="Times New Roman" w:hAnsi="Times New Roman" w:eastAsia="宋体" w:cs="Times New Roman"/>
                      <w:color w:val="auto"/>
                      <w:kern w:val="0"/>
                      <w:sz w:val="21"/>
                      <w:szCs w:val="16"/>
                      <w:highlight w:val="none"/>
                      <w:lang w:val="en-US" w:eastAsia="en-US"/>
                    </w:rPr>
                    <w:t>地坪</w:t>
                  </w:r>
                </w:p>
              </w:tc>
              <w:tc>
                <w:tcPr>
                  <w:tcW w:w="3598" w:type="dxa"/>
                  <w:gridSpan w:val="2"/>
                  <w:tcBorders>
                    <w:tl2br w:val="nil"/>
                    <w:tr2bl w:val="nil"/>
                  </w:tcBorders>
                  <w:shd w:val="clear" w:color="auto" w:fill="auto"/>
                  <w:vAlign w:val="center"/>
                </w:tcPr>
                <w:p w14:paraId="09EE074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16"/>
                      <w:highlight w:val="none"/>
                      <w:lang w:val="en-US" w:eastAsia="en-US" w:bidi="ar-SA"/>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737207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275" w:type="dxa"/>
                  <w:gridSpan w:val="2"/>
                  <w:vMerge w:val="continue"/>
                  <w:tcBorders>
                    <w:tl2br w:val="nil"/>
                    <w:tr2bl w:val="nil"/>
                  </w:tcBorders>
                  <w:vAlign w:val="center"/>
                </w:tcPr>
                <w:p w14:paraId="6965DF6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shd w:val="clear" w:color="auto" w:fill="auto"/>
                  <w:vAlign w:val="center"/>
                </w:tcPr>
                <w:p w14:paraId="2D7407C4">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16"/>
                      <w:highlight w:val="none"/>
                      <w:lang w:val="en-US" w:eastAsia="en-US" w:bidi="ar-SA"/>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shd w:val="clear" w:color="auto" w:fill="auto"/>
                  <w:vAlign w:val="center"/>
                </w:tcPr>
                <w:p w14:paraId="3E39AFFC">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21"/>
                      <w:szCs w:val="16"/>
                      <w:highlight w:val="none"/>
                      <w:lang w:val="en-US" w:eastAsia="en-US" w:bidi="ar-SA"/>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79B8FE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275" w:type="dxa"/>
                  <w:gridSpan w:val="2"/>
                  <w:vMerge w:val="restart"/>
                  <w:tcBorders>
                    <w:tl2br w:val="nil"/>
                    <w:tr2bl w:val="nil"/>
                  </w:tcBorders>
                  <w:vAlign w:val="center"/>
                </w:tcPr>
                <w:p w14:paraId="7886B86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放射性原料库</w:t>
                  </w:r>
                </w:p>
              </w:tc>
              <w:tc>
                <w:tcPr>
                  <w:tcW w:w="3151" w:type="dxa"/>
                  <w:gridSpan w:val="2"/>
                  <w:tcBorders>
                    <w:tl2br w:val="nil"/>
                    <w:tr2bl w:val="nil"/>
                  </w:tcBorders>
                  <w:vAlign w:val="center"/>
                </w:tcPr>
                <w:p w14:paraId="0707077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3A9AAA4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240mm实心砖</w:t>
                  </w:r>
                  <w:r>
                    <w:rPr>
                      <w:rFonts w:hint="default" w:ascii="Times New Roman" w:hAnsi="Times New Roman" w:eastAsia="宋体" w:cs="Times New Roman"/>
                      <w:color w:val="auto"/>
                      <w:kern w:val="0"/>
                      <w:sz w:val="21"/>
                      <w:szCs w:val="16"/>
                      <w:highlight w:val="none"/>
                      <w:lang w:val="en-US" w:eastAsia="en-US"/>
                    </w:rPr>
                    <w:t>+</w:t>
                  </w:r>
                  <w:r>
                    <w:rPr>
                      <w:rFonts w:hint="default" w:ascii="Times New Roman" w:hAnsi="Times New Roman" w:cs="Times New Roman"/>
                      <w:color w:val="auto"/>
                      <w:kern w:val="0"/>
                      <w:sz w:val="21"/>
                      <w:szCs w:val="16"/>
                      <w:highlight w:val="none"/>
                      <w:lang w:val="en-US" w:eastAsia="zh-CN"/>
                    </w:rPr>
                    <w:t>20mm硫酸钡</w:t>
                  </w:r>
                </w:p>
              </w:tc>
            </w:tr>
            <w:tr w14:paraId="6B5BC0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75" w:type="dxa"/>
                  <w:gridSpan w:val="2"/>
                  <w:vMerge w:val="continue"/>
                  <w:tcBorders>
                    <w:tl2br w:val="nil"/>
                    <w:tr2bl w:val="nil"/>
                  </w:tcBorders>
                  <w:vAlign w:val="center"/>
                </w:tcPr>
                <w:p w14:paraId="1743022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5091FDE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2FC05B1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377012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2275" w:type="dxa"/>
                  <w:gridSpan w:val="2"/>
                  <w:vMerge w:val="continue"/>
                  <w:tcBorders>
                    <w:tl2br w:val="nil"/>
                    <w:tr2bl w:val="nil"/>
                  </w:tcBorders>
                  <w:vAlign w:val="center"/>
                </w:tcPr>
                <w:p w14:paraId="5D93F86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06E9040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地坪</w:t>
                  </w:r>
                </w:p>
              </w:tc>
              <w:tc>
                <w:tcPr>
                  <w:tcW w:w="3598" w:type="dxa"/>
                  <w:gridSpan w:val="2"/>
                  <w:tcBorders>
                    <w:tl2br w:val="nil"/>
                    <w:tr2bl w:val="nil"/>
                  </w:tcBorders>
                  <w:vAlign w:val="center"/>
                </w:tcPr>
                <w:p w14:paraId="7B36E6C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67B208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2275" w:type="dxa"/>
                  <w:gridSpan w:val="2"/>
                  <w:vMerge w:val="continue"/>
                  <w:tcBorders>
                    <w:tl2br w:val="nil"/>
                    <w:tr2bl w:val="nil"/>
                  </w:tcBorders>
                  <w:vAlign w:val="center"/>
                </w:tcPr>
                <w:p w14:paraId="66E174F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73B71E6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vAlign w:val="center"/>
                </w:tcPr>
                <w:p w14:paraId="2A620BA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4BF1A9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2275" w:type="dxa"/>
                  <w:gridSpan w:val="2"/>
                  <w:vMerge w:val="restart"/>
                  <w:tcBorders>
                    <w:tl2br w:val="nil"/>
                    <w:tr2bl w:val="nil"/>
                  </w:tcBorders>
                  <w:vAlign w:val="center"/>
                </w:tcPr>
                <w:p w14:paraId="32A3C1E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放射性废物库</w:t>
                  </w:r>
                </w:p>
              </w:tc>
              <w:tc>
                <w:tcPr>
                  <w:tcW w:w="3151" w:type="dxa"/>
                  <w:gridSpan w:val="2"/>
                  <w:tcBorders>
                    <w:tl2br w:val="nil"/>
                    <w:tr2bl w:val="nil"/>
                  </w:tcBorders>
                  <w:vAlign w:val="center"/>
                </w:tcPr>
                <w:p w14:paraId="369709A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四周墙体</w:t>
                  </w:r>
                </w:p>
              </w:tc>
              <w:tc>
                <w:tcPr>
                  <w:tcW w:w="3598" w:type="dxa"/>
                  <w:gridSpan w:val="2"/>
                  <w:tcBorders>
                    <w:tl2br w:val="nil"/>
                    <w:tr2bl w:val="nil"/>
                  </w:tcBorders>
                  <w:vAlign w:val="center"/>
                </w:tcPr>
                <w:p w14:paraId="16A5780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240mm实心砖</w:t>
                  </w:r>
                  <w:r>
                    <w:rPr>
                      <w:rFonts w:hint="default" w:ascii="Times New Roman" w:hAnsi="Times New Roman" w:eastAsia="宋体" w:cs="Times New Roman"/>
                      <w:color w:val="auto"/>
                      <w:kern w:val="0"/>
                      <w:sz w:val="21"/>
                      <w:szCs w:val="16"/>
                      <w:highlight w:val="none"/>
                      <w:lang w:val="en-US" w:eastAsia="en-US"/>
                    </w:rPr>
                    <w:t>+</w:t>
                  </w:r>
                  <w:r>
                    <w:rPr>
                      <w:rFonts w:hint="default" w:ascii="Times New Roman" w:hAnsi="Times New Roman" w:cs="Times New Roman"/>
                      <w:color w:val="auto"/>
                      <w:kern w:val="0"/>
                      <w:sz w:val="21"/>
                      <w:szCs w:val="16"/>
                      <w:highlight w:val="none"/>
                      <w:lang w:val="en-US" w:eastAsia="zh-CN"/>
                    </w:rPr>
                    <w:t>20mm硫酸钡</w:t>
                  </w:r>
                </w:p>
              </w:tc>
            </w:tr>
            <w:tr w14:paraId="08B087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275" w:type="dxa"/>
                  <w:gridSpan w:val="2"/>
                  <w:vMerge w:val="continue"/>
                  <w:tcBorders>
                    <w:tl2br w:val="nil"/>
                    <w:tr2bl w:val="nil"/>
                  </w:tcBorders>
                  <w:vAlign w:val="center"/>
                </w:tcPr>
                <w:p w14:paraId="4ABE98B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15B3D97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vAlign w:val="center"/>
                </w:tcPr>
                <w:p w14:paraId="6989510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6F1477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275" w:type="dxa"/>
                  <w:gridSpan w:val="2"/>
                  <w:vMerge w:val="continue"/>
                  <w:tcBorders>
                    <w:tl2br w:val="nil"/>
                    <w:tr2bl w:val="nil"/>
                  </w:tcBorders>
                  <w:vAlign w:val="center"/>
                </w:tcPr>
                <w:p w14:paraId="2D69269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vAlign w:val="center"/>
                </w:tcPr>
                <w:p w14:paraId="171F065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地坪</w:t>
                  </w:r>
                </w:p>
              </w:tc>
              <w:tc>
                <w:tcPr>
                  <w:tcW w:w="3598" w:type="dxa"/>
                  <w:gridSpan w:val="2"/>
                  <w:tcBorders>
                    <w:tl2br w:val="nil"/>
                    <w:tr2bl w:val="nil"/>
                  </w:tcBorders>
                  <w:vAlign w:val="center"/>
                </w:tcPr>
                <w:p w14:paraId="59C2DD2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300m</w:t>
                  </w:r>
                  <w:r>
                    <w:rPr>
                      <w:rFonts w:hint="default" w:ascii="Times New Roman" w:hAnsi="Times New Roman" w:cs="Times New Roman"/>
                      <w:color w:val="auto"/>
                      <w:kern w:val="0"/>
                      <w:sz w:val="21"/>
                      <w:szCs w:val="16"/>
                      <w:highlight w:val="none"/>
                      <w:lang w:val="en-US" w:eastAsia="zh-CN"/>
                    </w:rPr>
                    <w:t>m混</w:t>
                  </w:r>
                  <w:r>
                    <w:rPr>
                      <w:rFonts w:hint="default" w:ascii="Times New Roman" w:hAnsi="Times New Roman" w:eastAsia="宋体" w:cs="Times New Roman"/>
                      <w:color w:val="auto"/>
                      <w:kern w:val="0"/>
                      <w:sz w:val="21"/>
                      <w:szCs w:val="16"/>
                      <w:highlight w:val="none"/>
                      <w:lang w:val="en-US" w:eastAsia="en-US"/>
                    </w:rPr>
                    <w:t>凝土</w:t>
                  </w:r>
                </w:p>
              </w:tc>
            </w:tr>
            <w:tr w14:paraId="70CC67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275" w:type="dxa"/>
                  <w:gridSpan w:val="2"/>
                  <w:vMerge w:val="continue"/>
                  <w:tcBorders>
                    <w:tl2br w:val="nil"/>
                    <w:tr2bl w:val="nil"/>
                  </w:tcBorders>
                  <w:vAlign w:val="center"/>
                </w:tcPr>
                <w:p w14:paraId="63C9E38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shd w:val="clear" w:color="auto" w:fill="auto"/>
                  <w:vAlign w:val="center"/>
                </w:tcPr>
                <w:p w14:paraId="23D22AF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防护门</w:t>
                  </w:r>
                </w:p>
              </w:tc>
              <w:tc>
                <w:tcPr>
                  <w:tcW w:w="3598" w:type="dxa"/>
                  <w:gridSpan w:val="2"/>
                  <w:tcBorders>
                    <w:tl2br w:val="nil"/>
                    <w:tr2bl w:val="nil"/>
                  </w:tcBorders>
                  <w:shd w:val="clear" w:color="auto" w:fill="auto"/>
                  <w:vAlign w:val="center"/>
                </w:tcPr>
                <w:p w14:paraId="7A7B39D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w:t>
                  </w:r>
                  <w:r>
                    <w:rPr>
                      <w:rFonts w:hint="default" w:ascii="Times New Roman" w:hAnsi="Times New Roman" w:cs="Times New Roman"/>
                      <w:color w:val="auto"/>
                      <w:kern w:val="0"/>
                      <w:sz w:val="21"/>
                      <w:szCs w:val="16"/>
                      <w:highlight w:val="none"/>
                      <w:lang w:val="en-US" w:eastAsia="zh-CN"/>
                    </w:rPr>
                    <w:t>Pb铅</w:t>
                  </w:r>
                  <w:r>
                    <w:rPr>
                      <w:rFonts w:hint="default" w:ascii="Times New Roman" w:hAnsi="Times New Roman" w:eastAsia="宋体" w:cs="Times New Roman"/>
                      <w:color w:val="auto"/>
                      <w:kern w:val="0"/>
                      <w:sz w:val="21"/>
                      <w:szCs w:val="16"/>
                      <w:highlight w:val="none"/>
                      <w:lang w:val="en-US" w:eastAsia="en-US"/>
                    </w:rPr>
                    <w:t>板</w:t>
                  </w:r>
                </w:p>
              </w:tc>
            </w:tr>
            <w:tr w14:paraId="698A04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024" w:type="dxa"/>
                  <w:gridSpan w:val="6"/>
                  <w:tcBorders>
                    <w:tl2br w:val="nil"/>
                    <w:tr2bl w:val="nil"/>
                  </w:tcBorders>
                  <w:vAlign w:val="center"/>
                </w:tcPr>
                <w:p w14:paraId="1C9BE28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eastAsia="宋体" w:cs="Times New Roman"/>
                      <w:color w:val="auto"/>
                      <w:kern w:val="0"/>
                      <w:sz w:val="21"/>
                      <w:szCs w:val="16"/>
                      <w:highlight w:val="none"/>
                      <w:lang w:val="en-US" w:eastAsia="zh-CN"/>
                    </w:rPr>
                    <w:t>综合楼一层介入手术2室</w:t>
                  </w:r>
                </w:p>
              </w:tc>
            </w:tr>
            <w:tr w14:paraId="2856A0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275" w:type="dxa"/>
                  <w:gridSpan w:val="2"/>
                  <w:vMerge w:val="restart"/>
                  <w:tcBorders>
                    <w:tl2br w:val="nil"/>
                    <w:tr2bl w:val="nil"/>
                  </w:tcBorders>
                  <w:vAlign w:val="center"/>
                </w:tcPr>
                <w:p w14:paraId="6B1DCC2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介入手术2室</w:t>
                  </w:r>
                </w:p>
              </w:tc>
              <w:tc>
                <w:tcPr>
                  <w:tcW w:w="3151" w:type="dxa"/>
                  <w:gridSpan w:val="2"/>
                  <w:tcBorders>
                    <w:tl2br w:val="nil"/>
                    <w:tr2bl w:val="nil"/>
                  </w:tcBorders>
                  <w:shd w:val="clear" w:color="auto" w:fill="auto"/>
                  <w:vAlign w:val="center"/>
                </w:tcPr>
                <w:p w14:paraId="213E80C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zh-CN"/>
                    </w:rPr>
                  </w:pPr>
                  <w:r>
                    <w:rPr>
                      <w:rFonts w:hint="default" w:ascii="Times New Roman" w:hAnsi="Times New Roman" w:cs="Times New Roman"/>
                      <w:color w:val="auto"/>
                      <w:kern w:val="0"/>
                      <w:sz w:val="21"/>
                      <w:szCs w:val="16"/>
                      <w:highlight w:val="none"/>
                      <w:lang w:val="en-US" w:eastAsia="zh-CN"/>
                    </w:rPr>
                    <w:t>四周墙体</w:t>
                  </w:r>
                </w:p>
              </w:tc>
              <w:tc>
                <w:tcPr>
                  <w:tcW w:w="3598" w:type="dxa"/>
                  <w:gridSpan w:val="2"/>
                  <w:tcBorders>
                    <w:tl2br w:val="nil"/>
                    <w:tr2bl w:val="nil"/>
                  </w:tcBorders>
                  <w:shd w:val="clear" w:color="auto" w:fill="auto"/>
                  <w:vAlign w:val="center"/>
                </w:tcPr>
                <w:p w14:paraId="377473F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18cm现浇混凝土砌块＋20mm</w:t>
                  </w:r>
                </w:p>
                <w:p w14:paraId="67B3043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硫酸钡水泥</w:t>
                  </w:r>
                </w:p>
              </w:tc>
            </w:tr>
            <w:tr w14:paraId="2E02A3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275" w:type="dxa"/>
                  <w:gridSpan w:val="2"/>
                  <w:vMerge w:val="continue"/>
                  <w:tcBorders>
                    <w:tl2br w:val="nil"/>
                    <w:tr2bl w:val="nil"/>
                  </w:tcBorders>
                  <w:vAlign w:val="center"/>
                </w:tcPr>
                <w:p w14:paraId="6E23C71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shd w:val="clear" w:color="auto" w:fill="auto"/>
                  <w:vAlign w:val="center"/>
                </w:tcPr>
                <w:p w14:paraId="1203A99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顶棚</w:t>
                  </w:r>
                </w:p>
              </w:tc>
              <w:tc>
                <w:tcPr>
                  <w:tcW w:w="3598" w:type="dxa"/>
                  <w:gridSpan w:val="2"/>
                  <w:tcBorders>
                    <w:tl2br w:val="nil"/>
                    <w:tr2bl w:val="nil"/>
                  </w:tcBorders>
                  <w:shd w:val="clear" w:color="auto" w:fill="auto"/>
                  <w:vAlign w:val="center"/>
                </w:tcPr>
                <w:p w14:paraId="7D174D6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24cm浇筑钢筋混凝土＋20mm</w:t>
                  </w:r>
                </w:p>
                <w:p w14:paraId="050352E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硫酸钡板</w:t>
                  </w:r>
                </w:p>
              </w:tc>
            </w:tr>
            <w:tr w14:paraId="160060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275" w:type="dxa"/>
                  <w:gridSpan w:val="2"/>
                  <w:vMerge w:val="continue"/>
                  <w:tcBorders>
                    <w:tl2br w:val="nil"/>
                    <w:tr2bl w:val="nil"/>
                  </w:tcBorders>
                  <w:vAlign w:val="center"/>
                </w:tcPr>
                <w:p w14:paraId="26D38C0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shd w:val="clear" w:color="auto" w:fill="auto"/>
                  <w:vAlign w:val="center"/>
                </w:tcPr>
                <w:p w14:paraId="237C1CC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地面</w:t>
                  </w:r>
                </w:p>
              </w:tc>
              <w:tc>
                <w:tcPr>
                  <w:tcW w:w="3598" w:type="dxa"/>
                  <w:gridSpan w:val="2"/>
                  <w:tcBorders>
                    <w:tl2br w:val="nil"/>
                    <w:tr2bl w:val="nil"/>
                  </w:tcBorders>
                  <w:shd w:val="clear" w:color="auto" w:fill="auto"/>
                  <w:vAlign w:val="center"/>
                </w:tcPr>
                <w:p w14:paraId="2744A6D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24cm浇筑钢筋混凝土＋50mm</w:t>
                  </w:r>
                </w:p>
                <w:p w14:paraId="3CB2087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硫酸钡水泥</w:t>
                  </w:r>
                </w:p>
              </w:tc>
            </w:tr>
            <w:tr w14:paraId="682B9E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275" w:type="dxa"/>
                  <w:gridSpan w:val="2"/>
                  <w:vMerge w:val="continue"/>
                  <w:tcBorders>
                    <w:tl2br w:val="nil"/>
                    <w:tr2bl w:val="nil"/>
                  </w:tcBorders>
                  <w:vAlign w:val="center"/>
                </w:tcPr>
                <w:p w14:paraId="46C7DBC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shd w:val="clear" w:color="auto" w:fill="auto"/>
                  <w:vAlign w:val="center"/>
                </w:tcPr>
                <w:p w14:paraId="36EBABB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受检者通道防护门</w:t>
                  </w:r>
                </w:p>
              </w:tc>
              <w:tc>
                <w:tcPr>
                  <w:tcW w:w="3598" w:type="dxa"/>
                  <w:gridSpan w:val="2"/>
                  <w:tcBorders>
                    <w:tl2br w:val="nil"/>
                    <w:tr2bl w:val="nil"/>
                  </w:tcBorders>
                  <w:shd w:val="clear" w:color="auto" w:fill="auto"/>
                  <w:vAlign w:val="center"/>
                </w:tcPr>
                <w:p w14:paraId="0772A51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3mmPb铅板</w:t>
                  </w:r>
                </w:p>
              </w:tc>
            </w:tr>
            <w:tr w14:paraId="10EBBF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275" w:type="dxa"/>
                  <w:gridSpan w:val="2"/>
                  <w:vMerge w:val="continue"/>
                  <w:tcBorders>
                    <w:tl2br w:val="nil"/>
                    <w:tr2bl w:val="nil"/>
                  </w:tcBorders>
                  <w:vAlign w:val="center"/>
                </w:tcPr>
                <w:p w14:paraId="4DE477B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shd w:val="clear" w:color="auto" w:fill="auto"/>
                  <w:vAlign w:val="center"/>
                </w:tcPr>
                <w:p w14:paraId="42E0F52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控制室铅门</w:t>
                  </w:r>
                </w:p>
              </w:tc>
              <w:tc>
                <w:tcPr>
                  <w:tcW w:w="3598" w:type="dxa"/>
                  <w:gridSpan w:val="2"/>
                  <w:tcBorders>
                    <w:tl2br w:val="nil"/>
                    <w:tr2bl w:val="nil"/>
                  </w:tcBorders>
                  <w:shd w:val="clear" w:color="auto" w:fill="auto"/>
                  <w:vAlign w:val="center"/>
                </w:tcPr>
                <w:p w14:paraId="1B58259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3mmPb铅板</w:t>
                  </w:r>
                </w:p>
              </w:tc>
            </w:tr>
            <w:tr w14:paraId="35757B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2275" w:type="dxa"/>
                  <w:gridSpan w:val="2"/>
                  <w:vMerge w:val="continue"/>
                  <w:tcBorders>
                    <w:tl2br w:val="nil"/>
                    <w:tr2bl w:val="nil"/>
                  </w:tcBorders>
                  <w:vAlign w:val="center"/>
                </w:tcPr>
                <w:p w14:paraId="79A24D5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p>
              </w:tc>
              <w:tc>
                <w:tcPr>
                  <w:tcW w:w="3151" w:type="dxa"/>
                  <w:gridSpan w:val="2"/>
                  <w:tcBorders>
                    <w:tl2br w:val="nil"/>
                    <w:tr2bl w:val="nil"/>
                  </w:tcBorders>
                  <w:shd w:val="clear" w:color="auto" w:fill="auto"/>
                  <w:vAlign w:val="center"/>
                </w:tcPr>
                <w:p w14:paraId="518B4C5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观察窗</w:t>
                  </w:r>
                </w:p>
              </w:tc>
              <w:tc>
                <w:tcPr>
                  <w:tcW w:w="3598" w:type="dxa"/>
                  <w:gridSpan w:val="2"/>
                  <w:tcBorders>
                    <w:tl2br w:val="nil"/>
                    <w:tr2bl w:val="nil"/>
                  </w:tcBorders>
                  <w:shd w:val="clear" w:color="auto" w:fill="auto"/>
                  <w:vAlign w:val="center"/>
                </w:tcPr>
                <w:p w14:paraId="5817B2F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color w:val="auto"/>
                      <w:kern w:val="0"/>
                      <w:sz w:val="21"/>
                      <w:szCs w:val="16"/>
                      <w:highlight w:val="none"/>
                      <w:lang w:val="en-US" w:eastAsia="en-US"/>
                    </w:rPr>
                    <w:t>3mmPb铅玻璃观察窗</w:t>
                  </w:r>
                </w:p>
              </w:tc>
            </w:tr>
            <w:tr w14:paraId="43DDD8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1" w:hRule="atLeast"/>
              </w:trPr>
              <w:tc>
                <w:tcPr>
                  <w:tcW w:w="9024" w:type="dxa"/>
                  <w:gridSpan w:val="6"/>
                  <w:tcBorders>
                    <w:tl2br w:val="nil"/>
                    <w:tr2bl w:val="nil"/>
                  </w:tcBorders>
                  <w:vAlign w:val="center"/>
                </w:tcPr>
                <w:p w14:paraId="201D04F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21"/>
                      <w:szCs w:val="16"/>
                      <w:highlight w:val="none"/>
                      <w:lang w:val="en-US" w:eastAsia="en-US"/>
                    </w:rPr>
                  </w:pPr>
                  <w:r>
                    <w:rPr>
                      <w:rFonts w:hint="default" w:ascii="Times New Roman" w:hAnsi="Times New Roman" w:eastAsia="宋体" w:cs="Times New Roman"/>
                      <w:i w:val="0"/>
                      <w:iCs w:val="0"/>
                      <w:color w:val="auto"/>
                      <w:kern w:val="0"/>
                      <w:sz w:val="18"/>
                      <w:szCs w:val="18"/>
                      <w:highlight w:val="none"/>
                      <w:u w:val="none"/>
                      <w:lang w:val="en-US" w:eastAsia="zh-CN" w:bidi="ar"/>
                    </w:rPr>
                    <w:t>注：防护材料密度不低于以下标准：铅11.3g/cm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r>
                    <w:rPr>
                      <w:rFonts w:hint="default" w:ascii="Times New Roman" w:hAnsi="Times New Roman" w:eastAsia="宋体" w:cs="Times New Roman"/>
                      <w:i w:val="0"/>
                      <w:iCs w:val="0"/>
                      <w:color w:val="auto"/>
                      <w:kern w:val="0"/>
                      <w:sz w:val="18"/>
                      <w:szCs w:val="18"/>
                      <w:highlight w:val="none"/>
                      <w:u w:val="none"/>
                      <w:lang w:val="en-US" w:eastAsia="zh-CN" w:bidi="ar"/>
                    </w:rPr>
                    <w:t>、实心砖1.65g/cm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r>
                    <w:rPr>
                      <w:rFonts w:hint="default" w:ascii="Times New Roman" w:hAnsi="Times New Roman" w:eastAsia="宋体" w:cs="Times New Roman"/>
                      <w:i w:val="0"/>
                      <w:iCs w:val="0"/>
                      <w:color w:val="auto"/>
                      <w:kern w:val="0"/>
                      <w:sz w:val="18"/>
                      <w:szCs w:val="18"/>
                      <w:highlight w:val="none"/>
                      <w:u w:val="none"/>
                      <w:lang w:val="en-US" w:eastAsia="zh-CN" w:bidi="ar"/>
                    </w:rPr>
                    <w:t>、混凝土2.35g/cm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r>
                    <w:rPr>
                      <w:rFonts w:hint="default" w:ascii="Times New Roman" w:hAnsi="Times New Roman" w:eastAsia="宋体" w:cs="Times New Roman"/>
                      <w:i w:val="0"/>
                      <w:iCs w:val="0"/>
                      <w:color w:val="auto"/>
                      <w:kern w:val="0"/>
                      <w:sz w:val="18"/>
                      <w:szCs w:val="18"/>
                      <w:highlight w:val="none"/>
                      <w:u w:val="none"/>
                      <w:lang w:val="en-US" w:eastAsia="zh-CN" w:bidi="ar"/>
                    </w:rPr>
                    <w:t>、钡水泥3.2g/cm</w:t>
                  </w:r>
                  <w:r>
                    <w:rPr>
                      <w:rFonts w:hint="default" w:ascii="Times New Roman" w:hAnsi="Times New Roman" w:eastAsia="宋体" w:cs="Times New Roman"/>
                      <w:i w:val="0"/>
                      <w:iCs w:val="0"/>
                      <w:color w:val="auto"/>
                      <w:kern w:val="0"/>
                      <w:sz w:val="18"/>
                      <w:szCs w:val="18"/>
                      <w:highlight w:val="none"/>
                      <w:u w:val="none"/>
                      <w:vertAlign w:val="superscript"/>
                      <w:lang w:val="en-US" w:eastAsia="zh-CN" w:bidi="ar"/>
                    </w:rPr>
                    <w:t>3</w:t>
                  </w:r>
                </w:p>
              </w:tc>
            </w:tr>
          </w:tbl>
          <w:p w14:paraId="1F1CBF94">
            <w:pPr>
              <w:pStyle w:val="12"/>
              <w:keepNext w:val="0"/>
              <w:keepLines w:val="0"/>
              <w:suppressLineNumbers w:val="0"/>
              <w:autoSpaceDE w:val="0"/>
              <w:autoSpaceDN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color w:val="auto"/>
                <w:sz w:val="24"/>
                <w:szCs w:val="24"/>
                <w:highlight w:val="none"/>
                <w:lang w:eastAsia="en-US" w:bidi="ar-SA"/>
              </w:rPr>
            </w:pPr>
            <w:r>
              <w:rPr>
                <w:rFonts w:hint="default" w:ascii="Times New Roman" w:hAnsi="Times New Roman" w:eastAsia="宋体" w:cs="Times New Roman"/>
                <w:b/>
                <w:color w:val="auto"/>
                <w:sz w:val="24"/>
                <w:szCs w:val="24"/>
                <w:highlight w:val="none"/>
                <w:lang w:eastAsia="en-US" w:bidi="ar-SA"/>
              </w:rPr>
              <w:t>10.1.</w:t>
            </w:r>
            <w:r>
              <w:rPr>
                <w:rFonts w:hint="default" w:ascii="Times New Roman" w:hAnsi="Times New Roman" w:cs="Times New Roman"/>
                <w:b/>
                <w:color w:val="auto"/>
                <w:sz w:val="24"/>
                <w:szCs w:val="24"/>
                <w:highlight w:val="none"/>
                <w:lang w:val="en-US" w:eastAsia="zh-CN" w:bidi="ar-SA"/>
              </w:rPr>
              <w:t>7</w:t>
            </w:r>
            <w:r>
              <w:rPr>
                <w:rFonts w:hint="default" w:ascii="Times New Roman" w:hAnsi="Times New Roman" w:eastAsia="宋体" w:cs="Times New Roman"/>
                <w:b/>
                <w:color w:val="auto"/>
                <w:sz w:val="24"/>
                <w:szCs w:val="24"/>
                <w:highlight w:val="none"/>
                <w:lang w:eastAsia="en-US" w:bidi="ar-SA"/>
              </w:rPr>
              <w:t>辐射安全与防护、环保相关设施</w:t>
            </w:r>
          </w:p>
          <w:p w14:paraId="2868CBA8">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（1）</w:t>
            </w:r>
            <w:r>
              <w:rPr>
                <w:rFonts w:hint="eastAsia" w:ascii="Times New Roman" w:hAnsi="Times New Roman" w:cs="Times New Roman"/>
                <w:b w:val="0"/>
                <w:bCs w:val="0"/>
                <w:color w:val="auto"/>
                <w:szCs w:val="24"/>
                <w:highlight w:val="none"/>
                <w:lang w:val="en-US" w:eastAsia="zh-CN"/>
              </w:rPr>
              <w:t>核医学楼</w:t>
            </w:r>
            <w:r>
              <w:rPr>
                <w:rFonts w:hint="default" w:ascii="Times New Roman" w:hAnsi="Times New Roman" w:eastAsia="宋体" w:cs="Times New Roman"/>
                <w:b w:val="0"/>
                <w:bCs w:val="0"/>
                <w:color w:val="auto"/>
                <w:szCs w:val="24"/>
                <w:highlight w:val="none"/>
              </w:rPr>
              <w:t>负一层制药区域辐射安全措施</w:t>
            </w:r>
          </w:p>
          <w:p w14:paraId="32D80C1E">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①警告设施</w:t>
            </w:r>
          </w:p>
          <w:p w14:paraId="5B2D6D4B">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医院在</w:t>
            </w:r>
            <w:r>
              <w:rPr>
                <w:rFonts w:hint="eastAsia" w:ascii="Times New Roman" w:hAnsi="Times New Roman" w:cs="Times New Roman"/>
                <w:b w:val="0"/>
                <w:bCs w:val="0"/>
                <w:color w:val="auto"/>
                <w:szCs w:val="24"/>
                <w:highlight w:val="none"/>
                <w:lang w:val="en-US" w:eastAsia="zh-CN"/>
              </w:rPr>
              <w:t>核医学科</w:t>
            </w:r>
            <w:r>
              <w:rPr>
                <w:rFonts w:hint="default" w:ascii="Times New Roman" w:hAnsi="Times New Roman" w:eastAsia="宋体" w:cs="Times New Roman"/>
                <w:b w:val="0"/>
                <w:bCs w:val="0"/>
                <w:color w:val="auto"/>
                <w:szCs w:val="24"/>
                <w:highlight w:val="none"/>
              </w:rPr>
              <w:t>负一层制药区域控制区进出口设置电离辐射警告标志，拟为放射性物质内部运输配备有足够屏蔽的储存、转运等容器，容器表面应设置电离辐射标志；回旋加速器机房进出口处设置电离辐射警告标志，拟在机房大门上方设置工作状态指示灯，医用回旋加速器机房内设置固定式辐射监测报警装置，可监测机房环境剂量是否正常。</w:t>
            </w:r>
          </w:p>
          <w:p w14:paraId="5DAD6C54">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②安全防护措施</w:t>
            </w:r>
          </w:p>
          <w:p w14:paraId="0592081A">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医院在回旋加速器机房设置门机联锁装置，机房内设置紧急停机开关和紧急开门按键。</w:t>
            </w:r>
          </w:p>
          <w:p w14:paraId="1FCF1918">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③视频监控和对讲装置</w:t>
            </w:r>
          </w:p>
          <w:p w14:paraId="2113E03E">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医院在</w:t>
            </w:r>
            <w:r>
              <w:rPr>
                <w:rFonts w:hint="eastAsia" w:ascii="Times New Roman" w:hAnsi="Times New Roman" w:cs="Times New Roman"/>
                <w:b w:val="0"/>
                <w:bCs w:val="0"/>
                <w:color w:val="auto"/>
                <w:szCs w:val="24"/>
                <w:highlight w:val="none"/>
                <w:lang w:val="en-US" w:eastAsia="zh-CN"/>
              </w:rPr>
              <w:t>核医学楼</w:t>
            </w:r>
            <w:r>
              <w:rPr>
                <w:rFonts w:hint="default" w:ascii="Times New Roman" w:hAnsi="Times New Roman" w:eastAsia="宋体" w:cs="Times New Roman"/>
                <w:b w:val="0"/>
                <w:bCs w:val="0"/>
                <w:color w:val="auto"/>
                <w:szCs w:val="24"/>
                <w:highlight w:val="none"/>
              </w:rPr>
              <w:t>负一层制药区域安装视频监控系统，便于观察制药区域情况；拟在回旋加速器机房内装备应急对外通讯设施。</w:t>
            </w:r>
          </w:p>
          <w:p w14:paraId="72B96E5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（2）</w:t>
            </w:r>
            <w:r>
              <w:rPr>
                <w:rFonts w:hint="eastAsia" w:ascii="Times New Roman" w:hAnsi="Times New Roman" w:cs="Times New Roman"/>
                <w:b w:val="0"/>
                <w:bCs w:val="0"/>
                <w:color w:val="auto"/>
                <w:szCs w:val="24"/>
                <w:highlight w:val="none"/>
                <w:lang w:val="en-US" w:eastAsia="zh-CN"/>
              </w:rPr>
              <w:t>核医学楼</w:t>
            </w:r>
            <w:r>
              <w:rPr>
                <w:rFonts w:hint="default" w:ascii="Times New Roman" w:hAnsi="Times New Roman" w:eastAsia="宋体" w:cs="Times New Roman"/>
                <w:b w:val="0"/>
                <w:bCs w:val="0"/>
                <w:color w:val="auto"/>
                <w:szCs w:val="24"/>
                <w:highlight w:val="none"/>
              </w:rPr>
              <w:t>一层和二层放射性核素诊断区域辐射安全措施</w:t>
            </w:r>
          </w:p>
          <w:p w14:paraId="061C5B0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①警告设施</w:t>
            </w:r>
          </w:p>
          <w:p w14:paraId="090DB3AD">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医院在</w:t>
            </w:r>
            <w:r>
              <w:rPr>
                <w:rFonts w:hint="eastAsia" w:ascii="Times New Roman" w:hAnsi="Times New Roman" w:cs="Times New Roman"/>
                <w:b w:val="0"/>
                <w:bCs w:val="0"/>
                <w:color w:val="auto"/>
                <w:szCs w:val="24"/>
                <w:highlight w:val="none"/>
                <w:lang w:val="en-US" w:eastAsia="zh-CN"/>
              </w:rPr>
              <w:t>核医学楼</w:t>
            </w:r>
            <w:r>
              <w:rPr>
                <w:rFonts w:hint="default" w:ascii="Times New Roman" w:hAnsi="Times New Roman" w:eastAsia="宋体" w:cs="Times New Roman"/>
                <w:b w:val="0"/>
                <w:bCs w:val="0"/>
                <w:color w:val="auto"/>
                <w:szCs w:val="24"/>
                <w:highlight w:val="none"/>
              </w:rPr>
              <w:t>一层核素诊断工作场所控制区、各房间防护门外及衰变池外设置明显的电离辐射警告标志，警示人员注意安全。拟在核医学场所中相应位置设置明确的患者或受检者导向标识或导向提示；拟在 PET/CT（PET/MRI）机房、SPECT/CT 机房受检者防护门与工作人员防护门上方设置工作状态指示灯，并与防护门联锁，防护门关闭时指示灯为红色，防护门打开时，指示灯灭，拟在各核素诊断扫描室患者或受检者防护门设置防夹装置，拟在各扫描室工作人员通道防护门设置自动闭门装置。</w:t>
            </w:r>
          </w:p>
          <w:p w14:paraId="6007A29B">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②安全防护措施</w:t>
            </w:r>
          </w:p>
          <w:p w14:paraId="716AB81B">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医院在各扫描室控制台上、机房内、诊断床上安装供紧急情况使用的强制终止照射的紧急止动按钮。一旦在检查过程中出现紧急情况，工作人员按动</w:t>
            </w:r>
            <w:r>
              <w:rPr>
                <w:rFonts w:hint="eastAsia" w:cs="Times New Roman"/>
                <w:b w:val="0"/>
                <w:bCs w:val="0"/>
                <w:color w:val="auto"/>
                <w:szCs w:val="24"/>
                <w:highlight w:val="none"/>
                <w:lang w:eastAsia="zh-CN"/>
              </w:rPr>
              <w:t>紧急制动</w:t>
            </w:r>
            <w:r>
              <w:rPr>
                <w:rFonts w:hint="default" w:ascii="Times New Roman" w:hAnsi="Times New Roman" w:eastAsia="宋体" w:cs="Times New Roman"/>
                <w:b w:val="0"/>
                <w:bCs w:val="0"/>
                <w:color w:val="auto"/>
                <w:szCs w:val="24"/>
                <w:highlight w:val="none"/>
              </w:rPr>
              <w:t>按钮即可令 PET/CT（MRI）、SPECT/CT 停止运行。</w:t>
            </w:r>
          </w:p>
          <w:p w14:paraId="273E19DF">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③视频监控和对讲装置</w:t>
            </w:r>
          </w:p>
          <w:p w14:paraId="73018BDC">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医院在各扫描室工作场所范围内设置视频监控系统，便于观察受检者的情况、工作场所进出/口情况；PET/CT 、SPECT/CT 机房和控制室之间设置对讲装置，便于与机房内受检者或患者进行沟通。</w:t>
            </w:r>
          </w:p>
          <w:p w14:paraId="05FC27D9">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④放射性核素贮存、使用</w:t>
            </w:r>
          </w:p>
          <w:p w14:paraId="798DECE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贮存的放射性物质应及时登记建档，登记内容包括生产单位、到货日期、核素种类、理化性质、活度和容器表面放射性污染擦拭试验结果等。所有放射性物质不再使用时，应立即送回原地安全储存，放射性药物储存场所设置双人双锁，严格保管，拟在各放射性药物贮存场所设置视频监控系统，严密监视药物贮存、使用、保管情况，防止放射性药物丢失、被盗、随意进出其他工作场所等情况发生。</w:t>
            </w:r>
          </w:p>
          <w:p w14:paraId="57DD35CA">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（3）</w:t>
            </w:r>
            <w:r>
              <w:rPr>
                <w:rFonts w:hint="eastAsia" w:ascii="Times New Roman" w:hAnsi="Times New Roman" w:cs="Times New Roman"/>
                <w:b w:val="0"/>
                <w:bCs w:val="0"/>
                <w:color w:val="auto"/>
                <w:szCs w:val="24"/>
                <w:highlight w:val="none"/>
                <w:lang w:val="en-US" w:eastAsia="zh-CN"/>
              </w:rPr>
              <w:t>核医学楼</w:t>
            </w:r>
            <w:r>
              <w:rPr>
                <w:rFonts w:hint="default" w:ascii="Times New Roman" w:hAnsi="Times New Roman" w:eastAsia="宋体" w:cs="Times New Roman"/>
                <w:b w:val="0"/>
                <w:bCs w:val="0"/>
                <w:color w:val="auto"/>
                <w:szCs w:val="24"/>
                <w:highlight w:val="none"/>
              </w:rPr>
              <w:t>三层放射性核素治疗区域辐射安全措施</w:t>
            </w:r>
          </w:p>
          <w:p w14:paraId="57812F03">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①警告设施</w:t>
            </w:r>
          </w:p>
          <w:p w14:paraId="292A0BC6">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医院在</w:t>
            </w:r>
            <w:r>
              <w:rPr>
                <w:rFonts w:hint="eastAsia" w:ascii="Times New Roman" w:hAnsi="Times New Roman" w:cs="Times New Roman"/>
                <w:b w:val="0"/>
                <w:bCs w:val="0"/>
                <w:color w:val="auto"/>
                <w:szCs w:val="24"/>
                <w:highlight w:val="none"/>
                <w:lang w:val="en-US" w:eastAsia="zh-CN"/>
              </w:rPr>
              <w:t>核医学楼</w:t>
            </w:r>
            <w:r>
              <w:rPr>
                <w:rFonts w:hint="default" w:ascii="Times New Roman" w:hAnsi="Times New Roman" w:eastAsia="宋体" w:cs="Times New Roman"/>
                <w:b w:val="0"/>
                <w:bCs w:val="0"/>
                <w:color w:val="auto"/>
                <w:szCs w:val="24"/>
                <w:highlight w:val="none"/>
              </w:rPr>
              <w:t xml:space="preserve">三层核素治疗工作场所控制区、各房间防护门外设置明显的电离辐射警告标志，警示人员注意安全。拟在核素治疗区域相应位置设置明确的患者或受检者导向标识或导向提示；拟在 </w:t>
            </w:r>
            <w:r>
              <w:rPr>
                <w:rFonts w:hint="eastAsia" w:cs="Times New Roman"/>
                <w:b w:val="0"/>
                <w:bCs w:val="0"/>
                <w:color w:val="auto"/>
                <w:szCs w:val="24"/>
                <w:highlight w:val="none"/>
                <w:vertAlign w:val="baseline"/>
                <w:lang w:eastAsia="zh-CN"/>
              </w:rPr>
              <w:t>I-131</w:t>
            </w:r>
            <w:r>
              <w:rPr>
                <w:rFonts w:hint="default" w:ascii="Times New Roman" w:hAnsi="Times New Roman" w:eastAsia="宋体" w:cs="Times New Roman"/>
                <w:b w:val="0"/>
                <w:bCs w:val="0"/>
                <w:color w:val="auto"/>
                <w:szCs w:val="24"/>
                <w:highlight w:val="none"/>
              </w:rPr>
              <w:t xml:space="preserve"> 核素治疗病房区域服药室、服碘室、分碘室区域各防护门设置电离辐射警告标志警示人员注意安全。</w:t>
            </w:r>
          </w:p>
          <w:p w14:paraId="0742037B">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②安全防护措施</w:t>
            </w:r>
          </w:p>
          <w:p w14:paraId="380DECCA">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医院在三层核素治疗病房与普通病房区域间设置防护门和单向门禁系统，防止核素治疗期间患者进入普通病房区域，避免其他公众人员和工作人员误照射。</w:t>
            </w:r>
          </w:p>
          <w:p w14:paraId="31F48D35">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③视频监控和对讲装置</w:t>
            </w:r>
          </w:p>
          <w:p w14:paraId="12D571D0">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医院在三层核素治疗病房区域设置视频监控系统，观察受检者情况以及工作场所进出/口情况。</w:t>
            </w:r>
          </w:p>
          <w:p w14:paraId="6DF9DF57">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（4）辐射防护用品</w:t>
            </w:r>
          </w:p>
          <w:p w14:paraId="1F054708">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为减少</w:t>
            </w:r>
            <w:r>
              <w:rPr>
                <w:rFonts w:hint="default" w:ascii="Times New Roman" w:hAnsi="Times New Roman" w:cs="Times New Roman"/>
                <w:b w:val="0"/>
                <w:bCs w:val="0"/>
                <w:color w:val="auto"/>
                <w:szCs w:val="24"/>
                <w:highlight w:val="none"/>
                <w:lang w:val="en-US" w:eastAsia="zh-CN"/>
              </w:rPr>
              <w:t>电离辐射</w:t>
            </w:r>
            <w:r>
              <w:rPr>
                <w:rFonts w:hint="default" w:ascii="Times New Roman" w:hAnsi="Times New Roman" w:eastAsia="宋体" w:cs="Times New Roman"/>
                <w:b w:val="0"/>
                <w:bCs w:val="0"/>
                <w:color w:val="auto"/>
                <w:szCs w:val="24"/>
                <w:highlight w:val="none"/>
              </w:rPr>
              <w:t>对人体的外照射危害，医院</w:t>
            </w:r>
            <w:r>
              <w:rPr>
                <w:rFonts w:hint="default" w:ascii="Times New Roman" w:hAnsi="Times New Roman" w:cs="Times New Roman"/>
                <w:b w:val="0"/>
                <w:bCs w:val="0"/>
                <w:color w:val="auto"/>
                <w:szCs w:val="24"/>
                <w:highlight w:val="none"/>
                <w:lang w:eastAsia="zh-CN"/>
              </w:rPr>
              <w:t>充分利用现有的防护用品，额外增加</w:t>
            </w:r>
            <w:r>
              <w:rPr>
                <w:rFonts w:hint="default" w:ascii="Times New Roman" w:hAnsi="Times New Roman" w:cs="Times New Roman"/>
                <w:b w:val="0"/>
                <w:bCs w:val="0"/>
                <w:color w:val="auto"/>
                <w:szCs w:val="24"/>
                <w:highlight w:val="none"/>
                <w:lang w:val="en-US" w:eastAsia="zh-CN"/>
              </w:rPr>
              <w:t>Y-90核素使用防护用品</w:t>
            </w:r>
            <w:r>
              <w:rPr>
                <w:rFonts w:hint="default" w:ascii="Times New Roman" w:hAnsi="Times New Roman" w:eastAsia="宋体" w:cs="Times New Roman"/>
                <w:b w:val="0"/>
                <w:bCs w:val="0"/>
                <w:color w:val="auto"/>
                <w:szCs w:val="24"/>
                <w:highlight w:val="none"/>
              </w:rPr>
              <w:t>，拟配置的个人防护用品能够满足相关人员的放射防护需求。医院拟配置的个人防护用品见</w:t>
            </w:r>
            <w:r>
              <w:rPr>
                <w:rFonts w:hint="default" w:ascii="Times New Roman" w:hAnsi="Times New Roman" w:cs="Times New Roman"/>
                <w:b w:val="0"/>
                <w:bCs w:val="0"/>
                <w:color w:val="auto"/>
                <w:szCs w:val="24"/>
                <w:highlight w:val="none"/>
                <w:lang w:val="en-US" w:eastAsia="zh-CN"/>
              </w:rPr>
              <w:t>下表</w:t>
            </w:r>
            <w:r>
              <w:rPr>
                <w:rFonts w:hint="default" w:ascii="Times New Roman" w:hAnsi="Times New Roman" w:eastAsia="宋体" w:cs="Times New Roman"/>
                <w:b w:val="0"/>
                <w:bCs w:val="0"/>
                <w:color w:val="auto"/>
                <w:szCs w:val="24"/>
                <w:highlight w:val="none"/>
              </w:rPr>
              <w:t>。</w:t>
            </w:r>
          </w:p>
          <w:p w14:paraId="0A7E7E7F">
            <w:pPr>
              <w:keepNext w:val="0"/>
              <w:keepLines w:val="0"/>
              <w:suppressLineNumbers w:val="0"/>
              <w:bidi w:val="0"/>
              <w:spacing w:before="0" w:beforeAutospacing="0" w:after="0" w:afterAutospacing="0" w:line="360" w:lineRule="auto"/>
              <w:ind w:left="0" w:right="0" w:firstLine="482" w:firstLineChars="200"/>
              <w:jc w:val="center"/>
              <w:rPr>
                <w:rFonts w:hint="default" w:ascii="Times New Roman" w:hAnsi="Times New Roman" w:cs="Times New Roman"/>
                <w:b/>
                <w:bCs/>
                <w:color w:val="auto"/>
                <w:szCs w:val="24"/>
                <w:highlight w:val="none"/>
                <w:lang w:val="en-US" w:eastAsia="zh-CN"/>
              </w:rPr>
            </w:pPr>
          </w:p>
          <w:p w14:paraId="626385D4">
            <w:pPr>
              <w:keepNext w:val="0"/>
              <w:keepLines w:val="0"/>
              <w:suppressLineNumbers w:val="0"/>
              <w:bidi w:val="0"/>
              <w:spacing w:before="0" w:beforeAutospacing="0" w:after="0" w:afterAutospacing="0" w:line="360" w:lineRule="auto"/>
              <w:ind w:left="0" w:right="0" w:firstLine="482" w:firstLineChars="200"/>
              <w:jc w:val="center"/>
              <w:rPr>
                <w:rFonts w:hint="default" w:ascii="Times New Roman" w:hAnsi="Times New Roman" w:cs="Times New Roman"/>
                <w:b/>
                <w:bCs/>
                <w:color w:val="auto"/>
                <w:szCs w:val="24"/>
                <w:highlight w:val="none"/>
                <w:lang w:val="en-US" w:eastAsia="zh-CN"/>
              </w:rPr>
            </w:pPr>
          </w:p>
          <w:p w14:paraId="435BF35D">
            <w:pPr>
              <w:keepNext w:val="0"/>
              <w:keepLines w:val="0"/>
              <w:suppressLineNumbers w:val="0"/>
              <w:bidi w:val="0"/>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auto"/>
                <w:szCs w:val="24"/>
                <w:highlight w:val="none"/>
                <w:lang w:eastAsia="zh-CN"/>
              </w:rPr>
            </w:pPr>
            <w:r>
              <w:rPr>
                <w:rFonts w:hint="default" w:ascii="Times New Roman" w:hAnsi="Times New Roman" w:cs="Times New Roman"/>
                <w:b/>
                <w:bCs/>
                <w:color w:val="auto"/>
                <w:szCs w:val="24"/>
                <w:highlight w:val="none"/>
                <w:lang w:val="en-US" w:eastAsia="zh-CN"/>
              </w:rPr>
              <w:t>表10-</w:t>
            </w:r>
            <w:r>
              <w:rPr>
                <w:rFonts w:hint="eastAsia" w:cs="Times New Roman"/>
                <w:b/>
                <w:bCs/>
                <w:color w:val="auto"/>
                <w:szCs w:val="24"/>
                <w:highlight w:val="none"/>
                <w:lang w:val="en-US" w:eastAsia="zh-CN"/>
              </w:rPr>
              <w:t>18</w:t>
            </w:r>
            <w:r>
              <w:rPr>
                <w:rFonts w:hint="default" w:ascii="Times New Roman" w:hAnsi="Times New Roman" w:cs="Times New Roman"/>
                <w:b/>
                <w:bCs/>
                <w:color w:val="auto"/>
                <w:szCs w:val="24"/>
                <w:highlight w:val="none"/>
                <w:lang w:val="en-US" w:eastAsia="zh-CN"/>
              </w:rPr>
              <w:t xml:space="preserve">  </w:t>
            </w:r>
            <w:r>
              <w:rPr>
                <w:rFonts w:hint="default" w:ascii="Times New Roman" w:hAnsi="Times New Roman" w:cs="Times New Roman"/>
                <w:b/>
                <w:bCs/>
                <w:color w:val="auto"/>
                <w:szCs w:val="24"/>
                <w:highlight w:val="none"/>
                <w:lang w:eastAsia="zh-CN"/>
              </w:rPr>
              <w:t>项目配置的防护用品一</w:t>
            </w:r>
            <w:r>
              <w:rPr>
                <w:rFonts w:hint="default" w:ascii="Times New Roman" w:hAnsi="Times New Roman" w:cs="Times New Roman"/>
                <w:b/>
                <w:bCs/>
                <w:color w:val="auto"/>
                <w:szCs w:val="24"/>
                <w:highlight w:val="none"/>
                <w:lang w:val="en-US" w:eastAsia="zh-CN"/>
              </w:rPr>
              <w:t>览表</w:t>
            </w:r>
          </w:p>
          <w:tbl>
            <w:tblPr>
              <w:tblStyle w:val="30"/>
              <w:tblW w:w="9078" w:type="dxa"/>
              <w:tblInd w:w="-1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30"/>
              <w:gridCol w:w="1815"/>
              <w:gridCol w:w="754"/>
              <w:gridCol w:w="1192"/>
              <w:gridCol w:w="4016"/>
              <w:gridCol w:w="871"/>
            </w:tblGrid>
            <w:tr w14:paraId="6F6A4D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430" w:type="dxa"/>
                  <w:tcBorders>
                    <w:tl2br w:val="nil"/>
                    <w:tr2bl w:val="nil"/>
                  </w:tcBorders>
                  <w:shd w:val="clear" w:color="auto" w:fill="auto"/>
                  <w:vAlign w:val="center"/>
                </w:tcPr>
                <w:p w14:paraId="65020FD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cs="Times New Roman"/>
                      <w:color w:val="auto"/>
                      <w:kern w:val="0"/>
                      <w:sz w:val="16"/>
                      <w:szCs w:val="15"/>
                      <w:highlight w:val="none"/>
                      <w:lang w:val="en-US" w:eastAsia="zh-CN"/>
                    </w:rPr>
                    <w:t>序号</w:t>
                  </w:r>
                </w:p>
              </w:tc>
              <w:tc>
                <w:tcPr>
                  <w:tcW w:w="1815" w:type="dxa"/>
                  <w:tcBorders>
                    <w:tl2br w:val="nil"/>
                    <w:tr2bl w:val="nil"/>
                  </w:tcBorders>
                  <w:vAlign w:val="center"/>
                </w:tcPr>
                <w:p w14:paraId="53FDF3C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cs="Times New Roman"/>
                      <w:color w:val="auto"/>
                      <w:kern w:val="0"/>
                      <w:sz w:val="16"/>
                      <w:szCs w:val="15"/>
                      <w:highlight w:val="none"/>
                      <w:lang w:val="en-US" w:eastAsia="zh-CN"/>
                    </w:rPr>
                    <w:t>设备名称</w:t>
                  </w:r>
                </w:p>
              </w:tc>
              <w:tc>
                <w:tcPr>
                  <w:tcW w:w="754" w:type="dxa"/>
                  <w:tcBorders>
                    <w:tl2br w:val="nil"/>
                    <w:tr2bl w:val="nil"/>
                  </w:tcBorders>
                  <w:vAlign w:val="center"/>
                </w:tcPr>
                <w:p w14:paraId="19134F8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cs="Times New Roman"/>
                      <w:color w:val="auto"/>
                      <w:kern w:val="0"/>
                      <w:sz w:val="16"/>
                      <w:szCs w:val="15"/>
                      <w:highlight w:val="none"/>
                      <w:lang w:val="en-US" w:eastAsia="zh-CN"/>
                    </w:rPr>
                    <w:t>参数</w:t>
                  </w:r>
                </w:p>
              </w:tc>
              <w:tc>
                <w:tcPr>
                  <w:tcW w:w="1192" w:type="dxa"/>
                  <w:tcBorders>
                    <w:tl2br w:val="nil"/>
                    <w:tr2bl w:val="nil"/>
                  </w:tcBorders>
                  <w:vAlign w:val="center"/>
                </w:tcPr>
                <w:p w14:paraId="3132199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cs="Times New Roman"/>
                      <w:color w:val="auto"/>
                      <w:kern w:val="0"/>
                      <w:sz w:val="16"/>
                      <w:szCs w:val="15"/>
                      <w:highlight w:val="none"/>
                      <w:lang w:val="en-US" w:eastAsia="zh-CN"/>
                    </w:rPr>
                    <w:t>数量</w:t>
                  </w:r>
                </w:p>
              </w:tc>
              <w:tc>
                <w:tcPr>
                  <w:tcW w:w="4016" w:type="dxa"/>
                  <w:tcBorders>
                    <w:tl2br w:val="nil"/>
                    <w:tr2bl w:val="nil"/>
                  </w:tcBorders>
                  <w:vAlign w:val="center"/>
                </w:tcPr>
                <w:p w14:paraId="3DE6562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cs="Times New Roman"/>
                      <w:color w:val="auto"/>
                      <w:kern w:val="0"/>
                      <w:sz w:val="16"/>
                      <w:szCs w:val="15"/>
                      <w:highlight w:val="none"/>
                      <w:lang w:val="en-US" w:eastAsia="zh-CN"/>
                    </w:rPr>
                    <w:t>用途</w:t>
                  </w:r>
                </w:p>
              </w:tc>
              <w:tc>
                <w:tcPr>
                  <w:tcW w:w="871" w:type="dxa"/>
                  <w:tcBorders>
                    <w:tl2br w:val="nil"/>
                    <w:tr2bl w:val="nil"/>
                  </w:tcBorders>
                  <w:vAlign w:val="center"/>
                </w:tcPr>
                <w:p w14:paraId="2D165DD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cs="Times New Roman"/>
                      <w:color w:val="auto"/>
                      <w:kern w:val="0"/>
                      <w:sz w:val="16"/>
                      <w:szCs w:val="15"/>
                      <w:highlight w:val="none"/>
                      <w:lang w:val="en-US" w:eastAsia="zh-CN"/>
                    </w:rPr>
                    <w:t>备注</w:t>
                  </w:r>
                </w:p>
              </w:tc>
            </w:tr>
            <w:tr w14:paraId="270CA4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70CD8DE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r>
                    <w:rPr>
                      <w:rFonts w:hint="default" w:ascii="Times New Roman" w:hAnsi="Times New Roman" w:eastAsia="宋体" w:cs="Times New Roman"/>
                      <w:color w:val="auto"/>
                      <w:kern w:val="0"/>
                      <w:sz w:val="16"/>
                      <w:szCs w:val="15"/>
                      <w:highlight w:val="none"/>
                      <w:lang w:val="en-US" w:eastAsia="zh-CN"/>
                    </w:rPr>
                    <w:t>1</w:t>
                  </w:r>
                </w:p>
              </w:tc>
              <w:tc>
                <w:tcPr>
                  <w:tcW w:w="1815" w:type="dxa"/>
                  <w:tcBorders>
                    <w:tl2br w:val="nil"/>
                    <w:tr2bl w:val="nil"/>
                  </w:tcBorders>
                  <w:vAlign w:val="center"/>
                </w:tcPr>
                <w:p w14:paraId="7B28A8A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自动分碘仪</w:t>
                  </w:r>
                </w:p>
              </w:tc>
              <w:tc>
                <w:tcPr>
                  <w:tcW w:w="754" w:type="dxa"/>
                  <w:tcBorders>
                    <w:tl2br w:val="nil"/>
                    <w:tr2bl w:val="nil"/>
                  </w:tcBorders>
                  <w:vAlign w:val="center"/>
                </w:tcPr>
                <w:p w14:paraId="4857D31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40mmPb</w:t>
                  </w:r>
                </w:p>
              </w:tc>
              <w:tc>
                <w:tcPr>
                  <w:tcW w:w="1192" w:type="dxa"/>
                  <w:tcBorders>
                    <w:tl2br w:val="nil"/>
                    <w:tr2bl w:val="nil"/>
                  </w:tcBorders>
                  <w:vAlign w:val="center"/>
                </w:tcPr>
                <w:p w14:paraId="25DED707">
                  <w:pPr>
                    <w:keepNext w:val="0"/>
                    <w:keepLines w:val="0"/>
                    <w:suppressLineNumbers w:val="0"/>
                    <w:autoSpaceDE w:val="0"/>
                    <w:autoSpaceDN w:val="0"/>
                    <w:bidi w:val="0"/>
                    <w:spacing w:before="0" w:beforeAutospacing="0" w:after="0" w:afterAutospacing="0"/>
                    <w:ind w:left="0" w:right="0" w:firstLine="0" w:firstLineChars="0"/>
                    <w:jc w:val="center"/>
                    <w:rPr>
                      <w:rFonts w:hint="eastAsia" w:ascii="Times New Roman" w:hAnsi="Times New Roman" w:eastAsia="宋体" w:cs="Times New Roman"/>
                      <w:color w:val="auto"/>
                      <w:kern w:val="0"/>
                      <w:sz w:val="16"/>
                      <w:szCs w:val="15"/>
                      <w:highlight w:val="none"/>
                      <w:lang w:eastAsia="zh-CN"/>
                    </w:rPr>
                  </w:pPr>
                  <w:r>
                    <w:rPr>
                      <w:rFonts w:hint="eastAsia" w:cs="Times New Roman"/>
                      <w:color w:val="auto"/>
                      <w:kern w:val="0"/>
                      <w:sz w:val="16"/>
                      <w:szCs w:val="15"/>
                      <w:highlight w:val="none"/>
                      <w:lang w:val="en-US" w:eastAsia="zh-CN"/>
                    </w:rPr>
                    <w:t>2</w:t>
                  </w:r>
                </w:p>
              </w:tc>
              <w:tc>
                <w:tcPr>
                  <w:tcW w:w="4016" w:type="dxa"/>
                  <w:tcBorders>
                    <w:tl2br w:val="nil"/>
                    <w:tr2bl w:val="nil"/>
                  </w:tcBorders>
                  <w:vAlign w:val="center"/>
                </w:tcPr>
                <w:p w14:paraId="7BC701C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vertAlign w:val="baseline"/>
                      <w:lang w:eastAsia="zh-CN"/>
                    </w:rPr>
                    <w:t>I-131</w:t>
                  </w:r>
                  <w:r>
                    <w:rPr>
                      <w:rFonts w:hint="default" w:ascii="Times New Roman" w:hAnsi="Times New Roman" w:eastAsia="宋体" w:cs="Times New Roman"/>
                      <w:color w:val="auto"/>
                      <w:kern w:val="0"/>
                      <w:sz w:val="16"/>
                      <w:szCs w:val="15"/>
                      <w:highlight w:val="none"/>
                      <w:lang w:eastAsia="en-US"/>
                    </w:rPr>
                    <w:t>分装用</w:t>
                  </w:r>
                </w:p>
              </w:tc>
              <w:tc>
                <w:tcPr>
                  <w:tcW w:w="871" w:type="dxa"/>
                  <w:tcBorders>
                    <w:tl2br w:val="nil"/>
                    <w:tr2bl w:val="nil"/>
                  </w:tcBorders>
                  <w:vAlign w:val="center"/>
                </w:tcPr>
                <w:p w14:paraId="0726419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已有</w:t>
                  </w:r>
                </w:p>
              </w:tc>
            </w:tr>
            <w:tr w14:paraId="7F419C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3F50502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r>
                    <w:rPr>
                      <w:rFonts w:hint="default" w:ascii="Times New Roman" w:hAnsi="Times New Roman" w:eastAsia="宋体" w:cs="Times New Roman"/>
                      <w:color w:val="auto"/>
                      <w:kern w:val="0"/>
                      <w:sz w:val="16"/>
                      <w:szCs w:val="15"/>
                      <w:highlight w:val="none"/>
                      <w:lang w:val="en-US" w:eastAsia="zh-CN"/>
                    </w:rPr>
                    <w:t>2</w:t>
                  </w:r>
                </w:p>
              </w:tc>
              <w:tc>
                <w:tcPr>
                  <w:tcW w:w="1815" w:type="dxa"/>
                  <w:tcBorders>
                    <w:tl2br w:val="nil"/>
                    <w:tr2bl w:val="nil"/>
                  </w:tcBorders>
                  <w:vAlign w:val="center"/>
                </w:tcPr>
                <w:p w14:paraId="6266381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正电子药物</w:t>
                  </w:r>
                  <w:r>
                    <w:rPr>
                      <w:rFonts w:hint="default" w:ascii="Times New Roman" w:hAnsi="Times New Roman" w:eastAsia="宋体" w:cs="Times New Roman"/>
                      <w:color w:val="auto"/>
                      <w:kern w:val="0"/>
                      <w:sz w:val="16"/>
                      <w:szCs w:val="15"/>
                      <w:highlight w:val="none"/>
                      <w:lang w:val="en-US" w:eastAsia="en-US"/>
                    </w:rPr>
                    <w:t>合成</w:t>
                  </w:r>
                  <w:r>
                    <w:rPr>
                      <w:rFonts w:hint="default" w:ascii="Times New Roman" w:hAnsi="Times New Roman" w:eastAsia="宋体" w:cs="Times New Roman"/>
                      <w:color w:val="auto"/>
                      <w:kern w:val="0"/>
                      <w:sz w:val="16"/>
                      <w:szCs w:val="15"/>
                      <w:highlight w:val="none"/>
                      <w:lang w:eastAsia="en-US"/>
                    </w:rPr>
                    <w:t>柜</w:t>
                  </w:r>
                </w:p>
              </w:tc>
              <w:tc>
                <w:tcPr>
                  <w:tcW w:w="754" w:type="dxa"/>
                  <w:tcBorders>
                    <w:tl2br w:val="nil"/>
                    <w:tr2bl w:val="nil"/>
                  </w:tcBorders>
                  <w:vAlign w:val="center"/>
                </w:tcPr>
                <w:p w14:paraId="52D8FC1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70</w:t>
                  </w:r>
                  <w:r>
                    <w:rPr>
                      <w:rFonts w:hint="default" w:ascii="Times New Roman" w:hAnsi="Times New Roman" w:eastAsia="宋体" w:cs="Times New Roman"/>
                      <w:color w:val="auto"/>
                      <w:kern w:val="0"/>
                      <w:sz w:val="16"/>
                      <w:szCs w:val="15"/>
                      <w:highlight w:val="none"/>
                      <w:lang w:eastAsia="en-US"/>
                    </w:rPr>
                    <w:t>mmPb</w:t>
                  </w:r>
                </w:p>
              </w:tc>
              <w:tc>
                <w:tcPr>
                  <w:tcW w:w="1192" w:type="dxa"/>
                  <w:tcBorders>
                    <w:tl2br w:val="nil"/>
                    <w:tr2bl w:val="nil"/>
                  </w:tcBorders>
                  <w:vAlign w:val="center"/>
                </w:tcPr>
                <w:p w14:paraId="20E7051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w:t>
                  </w:r>
                </w:p>
              </w:tc>
              <w:tc>
                <w:tcPr>
                  <w:tcW w:w="4016" w:type="dxa"/>
                  <w:tcBorders>
                    <w:tl2br w:val="nil"/>
                    <w:tr2bl w:val="nil"/>
                  </w:tcBorders>
                  <w:vAlign w:val="center"/>
                </w:tcPr>
                <w:p w14:paraId="517B499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r>
                    <w:rPr>
                      <w:rFonts w:hint="default" w:ascii="Times New Roman" w:hAnsi="Times New Roman" w:eastAsia="宋体" w:cs="Times New Roman"/>
                      <w:color w:val="auto"/>
                      <w:kern w:val="0"/>
                      <w:sz w:val="16"/>
                      <w:szCs w:val="15"/>
                      <w:highlight w:val="none"/>
                      <w:lang w:eastAsia="en-US"/>
                    </w:rPr>
                    <w:t>正电子药物</w:t>
                  </w:r>
                  <w:r>
                    <w:rPr>
                      <w:rFonts w:hint="default" w:ascii="Times New Roman" w:hAnsi="Times New Roman" w:eastAsia="宋体" w:cs="Times New Roman"/>
                      <w:color w:val="auto"/>
                      <w:kern w:val="0"/>
                      <w:sz w:val="16"/>
                      <w:szCs w:val="15"/>
                      <w:highlight w:val="none"/>
                      <w:lang w:val="en-US" w:eastAsia="zh-CN"/>
                    </w:rPr>
                    <w:t>合成</w:t>
                  </w:r>
                  <w:r>
                    <w:rPr>
                      <w:rFonts w:hint="default" w:ascii="Times New Roman" w:hAnsi="Times New Roman" w:cs="Times New Roman"/>
                      <w:color w:val="auto"/>
                      <w:kern w:val="0"/>
                      <w:sz w:val="16"/>
                      <w:szCs w:val="15"/>
                      <w:highlight w:val="none"/>
                      <w:lang w:val="en-US" w:eastAsia="zh-CN"/>
                    </w:rPr>
                    <w:t>、分装</w:t>
                  </w:r>
                </w:p>
              </w:tc>
              <w:tc>
                <w:tcPr>
                  <w:tcW w:w="871" w:type="dxa"/>
                  <w:tcBorders>
                    <w:tl2br w:val="nil"/>
                    <w:tr2bl w:val="nil"/>
                  </w:tcBorders>
                  <w:vAlign w:val="center"/>
                </w:tcPr>
                <w:p w14:paraId="4905EF3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083767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0F9FBDC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r>
                    <w:rPr>
                      <w:rFonts w:hint="default" w:ascii="Times New Roman" w:hAnsi="Times New Roman" w:eastAsia="宋体" w:cs="Times New Roman"/>
                      <w:color w:val="auto"/>
                      <w:kern w:val="0"/>
                      <w:sz w:val="16"/>
                      <w:szCs w:val="15"/>
                      <w:highlight w:val="none"/>
                      <w:lang w:val="en-US" w:eastAsia="zh-CN"/>
                    </w:rPr>
                    <w:t>3</w:t>
                  </w:r>
                </w:p>
              </w:tc>
              <w:tc>
                <w:tcPr>
                  <w:tcW w:w="1815" w:type="dxa"/>
                  <w:tcBorders>
                    <w:tl2br w:val="nil"/>
                    <w:tr2bl w:val="nil"/>
                  </w:tcBorders>
                  <w:vAlign w:val="center"/>
                </w:tcPr>
                <w:p w14:paraId="242CA75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zh-CN"/>
                    </w:rPr>
                    <w:t>Tc-99m</w:t>
                  </w:r>
                  <w:r>
                    <w:rPr>
                      <w:rFonts w:hint="default" w:ascii="Times New Roman" w:hAnsi="Times New Roman" w:eastAsia="宋体" w:cs="Times New Roman"/>
                      <w:color w:val="auto"/>
                      <w:kern w:val="0"/>
                      <w:sz w:val="16"/>
                      <w:szCs w:val="15"/>
                      <w:highlight w:val="none"/>
                      <w:lang w:eastAsia="en-US"/>
                    </w:rPr>
                    <w:t>分装柜</w:t>
                  </w:r>
                </w:p>
              </w:tc>
              <w:tc>
                <w:tcPr>
                  <w:tcW w:w="754" w:type="dxa"/>
                  <w:tcBorders>
                    <w:tl2br w:val="nil"/>
                    <w:tr2bl w:val="nil"/>
                  </w:tcBorders>
                  <w:vAlign w:val="center"/>
                </w:tcPr>
                <w:p w14:paraId="34275B7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20mmPb</w:t>
                  </w:r>
                </w:p>
              </w:tc>
              <w:tc>
                <w:tcPr>
                  <w:tcW w:w="1192" w:type="dxa"/>
                  <w:tcBorders>
                    <w:tl2br w:val="nil"/>
                    <w:tr2bl w:val="nil"/>
                  </w:tcBorders>
                  <w:vAlign w:val="center"/>
                </w:tcPr>
                <w:p w14:paraId="0333131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w:t>
                  </w:r>
                </w:p>
              </w:tc>
              <w:tc>
                <w:tcPr>
                  <w:tcW w:w="4016" w:type="dxa"/>
                  <w:tcBorders>
                    <w:tl2br w:val="nil"/>
                    <w:tr2bl w:val="nil"/>
                  </w:tcBorders>
                  <w:vAlign w:val="center"/>
                </w:tcPr>
                <w:p w14:paraId="339CA24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zh-CN"/>
                    </w:rPr>
                    <w:t>Tc-99m</w:t>
                  </w:r>
                  <w:r>
                    <w:rPr>
                      <w:rFonts w:hint="default" w:ascii="Times New Roman" w:hAnsi="Times New Roman" w:eastAsia="宋体" w:cs="Times New Roman"/>
                      <w:color w:val="auto"/>
                      <w:kern w:val="0"/>
                      <w:sz w:val="16"/>
                      <w:szCs w:val="15"/>
                      <w:highlight w:val="none"/>
                      <w:lang w:eastAsia="en-US"/>
                    </w:rPr>
                    <w:t>药物</w:t>
                  </w:r>
                  <w:r>
                    <w:rPr>
                      <w:rFonts w:hint="eastAsia" w:cs="Times New Roman"/>
                      <w:color w:val="auto"/>
                      <w:kern w:val="0"/>
                      <w:sz w:val="16"/>
                      <w:szCs w:val="15"/>
                      <w:highlight w:val="none"/>
                      <w:lang w:val="en-US" w:eastAsia="zh-CN"/>
                    </w:rPr>
                    <w:t>淋洗、</w:t>
                  </w:r>
                  <w:r>
                    <w:rPr>
                      <w:rFonts w:hint="default" w:ascii="Times New Roman" w:hAnsi="Times New Roman" w:eastAsia="宋体" w:cs="Times New Roman"/>
                      <w:color w:val="auto"/>
                      <w:kern w:val="0"/>
                      <w:sz w:val="16"/>
                      <w:szCs w:val="15"/>
                      <w:highlight w:val="none"/>
                      <w:lang w:eastAsia="en-US"/>
                    </w:rPr>
                    <w:t>分装用</w:t>
                  </w:r>
                </w:p>
              </w:tc>
              <w:tc>
                <w:tcPr>
                  <w:tcW w:w="871" w:type="dxa"/>
                  <w:tcBorders>
                    <w:tl2br w:val="nil"/>
                    <w:tr2bl w:val="nil"/>
                  </w:tcBorders>
                  <w:vAlign w:val="center"/>
                </w:tcPr>
                <w:p w14:paraId="023F062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zh-CN"/>
                    </w:rPr>
                  </w:pPr>
                  <w:r>
                    <w:rPr>
                      <w:rFonts w:hint="default" w:ascii="Times New Roman" w:hAnsi="Times New Roman" w:eastAsia="宋体" w:cs="Times New Roman"/>
                      <w:color w:val="auto"/>
                      <w:kern w:val="0"/>
                      <w:sz w:val="16"/>
                      <w:szCs w:val="15"/>
                      <w:highlight w:val="none"/>
                      <w:lang w:val="en-US" w:eastAsia="zh-CN"/>
                    </w:rPr>
                    <w:t>已有</w:t>
                  </w:r>
                </w:p>
              </w:tc>
            </w:tr>
            <w:tr w14:paraId="546A95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5667A5E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r>
                    <w:rPr>
                      <w:rFonts w:hint="default" w:ascii="Times New Roman" w:hAnsi="Times New Roman" w:eastAsia="宋体" w:cs="Times New Roman"/>
                      <w:color w:val="auto"/>
                      <w:kern w:val="0"/>
                      <w:sz w:val="16"/>
                      <w:szCs w:val="15"/>
                      <w:highlight w:val="none"/>
                      <w:lang w:val="en-US" w:eastAsia="zh-CN"/>
                    </w:rPr>
                    <w:t>4</w:t>
                  </w:r>
                </w:p>
              </w:tc>
              <w:tc>
                <w:tcPr>
                  <w:tcW w:w="1815" w:type="dxa"/>
                  <w:tcBorders>
                    <w:tl2br w:val="nil"/>
                    <w:tr2bl w:val="nil"/>
                  </w:tcBorders>
                  <w:vAlign w:val="center"/>
                </w:tcPr>
                <w:p w14:paraId="6595A82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铅防护罐</w:t>
                  </w:r>
                </w:p>
              </w:tc>
              <w:tc>
                <w:tcPr>
                  <w:tcW w:w="754" w:type="dxa"/>
                  <w:tcBorders>
                    <w:tl2br w:val="nil"/>
                    <w:tr2bl w:val="nil"/>
                  </w:tcBorders>
                  <w:vAlign w:val="center"/>
                </w:tcPr>
                <w:p w14:paraId="3513BA7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40mmPb</w:t>
                  </w:r>
                </w:p>
              </w:tc>
              <w:tc>
                <w:tcPr>
                  <w:tcW w:w="1192" w:type="dxa"/>
                  <w:tcBorders>
                    <w:tl2br w:val="nil"/>
                    <w:tr2bl w:val="nil"/>
                  </w:tcBorders>
                  <w:vAlign w:val="center"/>
                </w:tcPr>
                <w:p w14:paraId="344EF13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3</w:t>
                  </w:r>
                </w:p>
              </w:tc>
              <w:tc>
                <w:tcPr>
                  <w:tcW w:w="4016" w:type="dxa"/>
                  <w:tcBorders>
                    <w:tl2br w:val="nil"/>
                    <w:tr2bl w:val="nil"/>
                  </w:tcBorders>
                  <w:vAlign w:val="center"/>
                </w:tcPr>
                <w:p w14:paraId="3CA255B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放射性药物转运用</w:t>
                  </w:r>
                </w:p>
              </w:tc>
              <w:tc>
                <w:tcPr>
                  <w:tcW w:w="871" w:type="dxa"/>
                  <w:tcBorders>
                    <w:tl2br w:val="nil"/>
                    <w:tr2bl w:val="nil"/>
                  </w:tcBorders>
                  <w:vAlign w:val="center"/>
                </w:tcPr>
                <w:p w14:paraId="4981836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675470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430" w:type="dxa"/>
                  <w:tcBorders>
                    <w:tl2br w:val="nil"/>
                    <w:tr2bl w:val="nil"/>
                  </w:tcBorders>
                  <w:shd w:val="clear" w:color="auto" w:fill="auto"/>
                  <w:vAlign w:val="center"/>
                </w:tcPr>
                <w:p w14:paraId="679D9F1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r>
                    <w:rPr>
                      <w:rFonts w:hint="default" w:ascii="Times New Roman" w:hAnsi="Times New Roman" w:eastAsia="宋体" w:cs="Times New Roman"/>
                      <w:color w:val="auto"/>
                      <w:kern w:val="0"/>
                      <w:sz w:val="16"/>
                      <w:szCs w:val="15"/>
                      <w:highlight w:val="none"/>
                      <w:lang w:val="en-US" w:eastAsia="zh-CN"/>
                    </w:rPr>
                    <w:t>5</w:t>
                  </w:r>
                </w:p>
              </w:tc>
              <w:tc>
                <w:tcPr>
                  <w:tcW w:w="1815" w:type="dxa"/>
                  <w:tcBorders>
                    <w:tl2br w:val="nil"/>
                    <w:tr2bl w:val="nil"/>
                  </w:tcBorders>
                  <w:vAlign w:val="center"/>
                </w:tcPr>
                <w:p w14:paraId="0F08F46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正电子药物注射器转运罐</w:t>
                  </w:r>
                </w:p>
              </w:tc>
              <w:tc>
                <w:tcPr>
                  <w:tcW w:w="754" w:type="dxa"/>
                  <w:tcBorders>
                    <w:tl2br w:val="nil"/>
                    <w:tr2bl w:val="nil"/>
                  </w:tcBorders>
                  <w:vAlign w:val="center"/>
                </w:tcPr>
                <w:p w14:paraId="13BF9AE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15mmPb</w:t>
                  </w:r>
                </w:p>
              </w:tc>
              <w:tc>
                <w:tcPr>
                  <w:tcW w:w="1192" w:type="dxa"/>
                  <w:tcBorders>
                    <w:tl2br w:val="nil"/>
                    <w:tr2bl w:val="nil"/>
                  </w:tcBorders>
                  <w:vAlign w:val="center"/>
                </w:tcPr>
                <w:p w14:paraId="583AD16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2</w:t>
                  </w:r>
                </w:p>
              </w:tc>
              <w:tc>
                <w:tcPr>
                  <w:tcW w:w="4016" w:type="dxa"/>
                  <w:tcBorders>
                    <w:tl2br w:val="nil"/>
                    <w:tr2bl w:val="nil"/>
                  </w:tcBorders>
                  <w:vAlign w:val="center"/>
                </w:tcPr>
                <w:p w14:paraId="7056915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转移分装后的正电子药至注射窗口用</w:t>
                  </w:r>
                </w:p>
              </w:tc>
              <w:tc>
                <w:tcPr>
                  <w:tcW w:w="871" w:type="dxa"/>
                  <w:tcBorders>
                    <w:tl2br w:val="nil"/>
                    <w:tr2bl w:val="nil"/>
                  </w:tcBorders>
                  <w:vAlign w:val="center"/>
                </w:tcPr>
                <w:p w14:paraId="4C29E7D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251DF2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430" w:type="dxa"/>
                  <w:tcBorders>
                    <w:tl2br w:val="nil"/>
                    <w:tr2bl w:val="nil"/>
                  </w:tcBorders>
                  <w:shd w:val="clear" w:color="auto" w:fill="auto"/>
                  <w:vAlign w:val="center"/>
                </w:tcPr>
                <w:p w14:paraId="761DD85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r>
                    <w:rPr>
                      <w:rFonts w:hint="default" w:ascii="Times New Roman" w:hAnsi="Times New Roman" w:eastAsia="宋体" w:cs="Times New Roman"/>
                      <w:color w:val="auto"/>
                      <w:kern w:val="0"/>
                      <w:sz w:val="16"/>
                      <w:szCs w:val="15"/>
                      <w:highlight w:val="none"/>
                      <w:lang w:val="en-US" w:eastAsia="zh-CN"/>
                    </w:rPr>
                    <w:t>6</w:t>
                  </w:r>
                </w:p>
              </w:tc>
              <w:tc>
                <w:tcPr>
                  <w:tcW w:w="1815" w:type="dxa"/>
                  <w:tcBorders>
                    <w:tl2br w:val="nil"/>
                    <w:tr2bl w:val="nil"/>
                  </w:tcBorders>
                  <w:vAlign w:val="center"/>
                </w:tcPr>
                <w:p w14:paraId="0EA5221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zh-CN"/>
                    </w:rPr>
                    <w:t>Tc-99m</w:t>
                  </w:r>
                  <w:r>
                    <w:rPr>
                      <w:rFonts w:hint="default" w:ascii="Times New Roman" w:hAnsi="Times New Roman" w:eastAsia="宋体" w:cs="Times New Roman"/>
                      <w:color w:val="auto"/>
                      <w:kern w:val="0"/>
                      <w:sz w:val="16"/>
                      <w:szCs w:val="15"/>
                      <w:highlight w:val="none"/>
                      <w:lang w:eastAsia="en-US"/>
                    </w:rPr>
                    <w:t>注射器转运罐</w:t>
                  </w:r>
                </w:p>
              </w:tc>
              <w:tc>
                <w:tcPr>
                  <w:tcW w:w="754" w:type="dxa"/>
                  <w:tcBorders>
                    <w:tl2br w:val="nil"/>
                    <w:tr2bl w:val="nil"/>
                  </w:tcBorders>
                  <w:vAlign w:val="center"/>
                </w:tcPr>
                <w:p w14:paraId="6C401F1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10mmPb</w:t>
                  </w:r>
                </w:p>
              </w:tc>
              <w:tc>
                <w:tcPr>
                  <w:tcW w:w="1192" w:type="dxa"/>
                  <w:tcBorders>
                    <w:tl2br w:val="nil"/>
                    <w:tr2bl w:val="nil"/>
                  </w:tcBorders>
                  <w:vAlign w:val="center"/>
                </w:tcPr>
                <w:p w14:paraId="510064D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2</w:t>
                  </w:r>
                </w:p>
              </w:tc>
              <w:tc>
                <w:tcPr>
                  <w:tcW w:w="4016" w:type="dxa"/>
                  <w:tcBorders>
                    <w:tl2br w:val="nil"/>
                    <w:tr2bl w:val="nil"/>
                  </w:tcBorders>
                  <w:vAlign w:val="center"/>
                </w:tcPr>
                <w:p w14:paraId="2D15DB1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转移分装后的</w:t>
                  </w:r>
                  <w:r>
                    <w:rPr>
                      <w:rFonts w:hint="default" w:ascii="Times New Roman" w:hAnsi="Times New Roman" w:eastAsia="宋体" w:cs="Times New Roman"/>
                      <w:color w:val="auto"/>
                      <w:kern w:val="0"/>
                      <w:sz w:val="16"/>
                      <w:szCs w:val="15"/>
                      <w:highlight w:val="none"/>
                      <w:lang w:eastAsia="zh-CN"/>
                    </w:rPr>
                    <w:t>Tc-99m</w:t>
                  </w:r>
                  <w:r>
                    <w:rPr>
                      <w:rFonts w:hint="default" w:ascii="Times New Roman" w:hAnsi="Times New Roman" w:eastAsia="宋体" w:cs="Times New Roman"/>
                      <w:color w:val="auto"/>
                      <w:kern w:val="0"/>
                      <w:sz w:val="16"/>
                      <w:szCs w:val="15"/>
                      <w:highlight w:val="none"/>
                      <w:lang w:eastAsia="en-US"/>
                    </w:rPr>
                    <w:t>药物至注射窗口和运动试验室用</w:t>
                  </w:r>
                </w:p>
              </w:tc>
              <w:tc>
                <w:tcPr>
                  <w:tcW w:w="871" w:type="dxa"/>
                  <w:tcBorders>
                    <w:tl2br w:val="nil"/>
                    <w:tr2bl w:val="nil"/>
                  </w:tcBorders>
                  <w:vAlign w:val="center"/>
                </w:tcPr>
                <w:p w14:paraId="517E701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28D16F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430" w:type="dxa"/>
                  <w:tcBorders>
                    <w:tl2br w:val="nil"/>
                    <w:tr2bl w:val="nil"/>
                  </w:tcBorders>
                  <w:shd w:val="clear" w:color="auto" w:fill="auto"/>
                  <w:vAlign w:val="center"/>
                </w:tcPr>
                <w:p w14:paraId="384E85D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r>
                    <w:rPr>
                      <w:rFonts w:hint="default" w:ascii="Times New Roman" w:hAnsi="Times New Roman" w:eastAsia="宋体" w:cs="Times New Roman"/>
                      <w:color w:val="auto"/>
                      <w:kern w:val="0"/>
                      <w:sz w:val="16"/>
                      <w:szCs w:val="15"/>
                      <w:highlight w:val="none"/>
                      <w:lang w:val="en-US" w:eastAsia="zh-CN"/>
                    </w:rPr>
                    <w:t>7</w:t>
                  </w:r>
                </w:p>
              </w:tc>
              <w:tc>
                <w:tcPr>
                  <w:tcW w:w="1815" w:type="dxa"/>
                  <w:tcBorders>
                    <w:tl2br w:val="nil"/>
                    <w:tr2bl w:val="nil"/>
                  </w:tcBorders>
                  <w:vAlign w:val="center"/>
                </w:tcPr>
                <w:p w14:paraId="01472FC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注射/服药窗</w:t>
                  </w:r>
                </w:p>
              </w:tc>
              <w:tc>
                <w:tcPr>
                  <w:tcW w:w="754" w:type="dxa"/>
                  <w:tcBorders>
                    <w:tl2br w:val="nil"/>
                    <w:tr2bl w:val="nil"/>
                  </w:tcBorders>
                  <w:vAlign w:val="center"/>
                </w:tcPr>
                <w:p w14:paraId="6039365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15mmPb</w:t>
                  </w:r>
                </w:p>
              </w:tc>
              <w:tc>
                <w:tcPr>
                  <w:tcW w:w="1192" w:type="dxa"/>
                  <w:tcBorders>
                    <w:tl2br w:val="nil"/>
                    <w:tr2bl w:val="nil"/>
                  </w:tcBorders>
                  <w:vAlign w:val="center"/>
                </w:tcPr>
                <w:p w14:paraId="4F08A35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4</w:t>
                  </w:r>
                </w:p>
              </w:tc>
              <w:tc>
                <w:tcPr>
                  <w:tcW w:w="4016" w:type="dxa"/>
                  <w:tcBorders>
                    <w:tl2br w:val="nil"/>
                    <w:tr2bl w:val="nil"/>
                  </w:tcBorders>
                  <w:vAlign w:val="center"/>
                </w:tcPr>
                <w:p w14:paraId="2195B92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药物注射/给药窗口</w:t>
                  </w:r>
                </w:p>
              </w:tc>
              <w:tc>
                <w:tcPr>
                  <w:tcW w:w="871" w:type="dxa"/>
                  <w:tcBorders>
                    <w:tl2br w:val="nil"/>
                    <w:tr2bl w:val="nil"/>
                  </w:tcBorders>
                  <w:vAlign w:val="center"/>
                </w:tcPr>
                <w:p w14:paraId="7B38701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436D55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3BB26D9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r>
                    <w:rPr>
                      <w:rFonts w:hint="default" w:ascii="Times New Roman" w:hAnsi="Times New Roman" w:eastAsia="宋体" w:cs="Times New Roman"/>
                      <w:color w:val="auto"/>
                      <w:kern w:val="0"/>
                      <w:sz w:val="16"/>
                      <w:szCs w:val="15"/>
                      <w:highlight w:val="none"/>
                      <w:lang w:val="en-US" w:eastAsia="zh-CN"/>
                    </w:rPr>
                    <w:t>8</w:t>
                  </w:r>
                </w:p>
              </w:tc>
              <w:tc>
                <w:tcPr>
                  <w:tcW w:w="1815" w:type="dxa"/>
                  <w:tcBorders>
                    <w:tl2br w:val="nil"/>
                    <w:tr2bl w:val="nil"/>
                  </w:tcBorders>
                  <w:vAlign w:val="center"/>
                </w:tcPr>
                <w:p w14:paraId="6C74B3F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放射性药物注射车</w:t>
                  </w:r>
                </w:p>
              </w:tc>
              <w:tc>
                <w:tcPr>
                  <w:tcW w:w="754" w:type="dxa"/>
                  <w:tcBorders>
                    <w:tl2br w:val="nil"/>
                    <w:tr2bl w:val="nil"/>
                  </w:tcBorders>
                  <w:vAlign w:val="center"/>
                </w:tcPr>
                <w:p w14:paraId="1CD124D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3mmPb</w:t>
                  </w:r>
                </w:p>
              </w:tc>
              <w:tc>
                <w:tcPr>
                  <w:tcW w:w="1192" w:type="dxa"/>
                  <w:tcBorders>
                    <w:tl2br w:val="nil"/>
                    <w:tr2bl w:val="nil"/>
                  </w:tcBorders>
                  <w:vAlign w:val="center"/>
                </w:tcPr>
                <w:p w14:paraId="02767EC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2</w:t>
                  </w:r>
                </w:p>
              </w:tc>
              <w:tc>
                <w:tcPr>
                  <w:tcW w:w="4016" w:type="dxa"/>
                  <w:tcBorders>
                    <w:tl2br w:val="nil"/>
                    <w:tr2bl w:val="nil"/>
                  </w:tcBorders>
                  <w:vAlign w:val="center"/>
                </w:tcPr>
                <w:p w14:paraId="6520DA6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运动试验室和SPECT/CT床旁注射用</w:t>
                  </w:r>
                </w:p>
              </w:tc>
              <w:tc>
                <w:tcPr>
                  <w:tcW w:w="871" w:type="dxa"/>
                  <w:tcBorders>
                    <w:tl2br w:val="nil"/>
                    <w:tr2bl w:val="nil"/>
                  </w:tcBorders>
                  <w:vAlign w:val="center"/>
                </w:tcPr>
                <w:p w14:paraId="02DEFD7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709AD7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430" w:type="dxa"/>
                  <w:vMerge w:val="restart"/>
                  <w:tcBorders>
                    <w:tl2br w:val="nil"/>
                    <w:tr2bl w:val="nil"/>
                  </w:tcBorders>
                  <w:shd w:val="clear" w:color="auto" w:fill="auto"/>
                  <w:vAlign w:val="center"/>
                </w:tcPr>
                <w:p w14:paraId="19E14B8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9</w:t>
                  </w:r>
                </w:p>
              </w:tc>
              <w:tc>
                <w:tcPr>
                  <w:tcW w:w="1815" w:type="dxa"/>
                  <w:vMerge w:val="restart"/>
                  <w:tcBorders>
                    <w:tl2br w:val="nil"/>
                    <w:tr2bl w:val="nil"/>
                  </w:tcBorders>
                  <w:vAlign w:val="center"/>
                </w:tcPr>
                <w:p w14:paraId="39CC0C7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放射性废物桶</w:t>
                  </w:r>
                </w:p>
              </w:tc>
              <w:tc>
                <w:tcPr>
                  <w:tcW w:w="754" w:type="dxa"/>
                  <w:tcBorders>
                    <w:tl2br w:val="nil"/>
                    <w:tr2bl w:val="nil"/>
                  </w:tcBorders>
                  <w:vAlign w:val="center"/>
                </w:tcPr>
                <w:p w14:paraId="185BE15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20mmPb</w:t>
                  </w:r>
                </w:p>
              </w:tc>
              <w:tc>
                <w:tcPr>
                  <w:tcW w:w="1192" w:type="dxa"/>
                  <w:tcBorders>
                    <w:tl2br w:val="nil"/>
                    <w:tr2bl w:val="nil"/>
                  </w:tcBorders>
                  <w:vAlign w:val="center"/>
                </w:tcPr>
                <w:p w14:paraId="3175590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20</w:t>
                  </w:r>
                </w:p>
              </w:tc>
              <w:tc>
                <w:tcPr>
                  <w:tcW w:w="4016" w:type="dxa"/>
                  <w:tcBorders>
                    <w:tl2br w:val="nil"/>
                    <w:tr2bl w:val="nil"/>
                  </w:tcBorders>
                  <w:vAlign w:val="center"/>
                </w:tcPr>
                <w:p w14:paraId="3132599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存放PET/CT（MRI）显像检查过程的放射性废物</w:t>
                  </w:r>
                </w:p>
              </w:tc>
              <w:tc>
                <w:tcPr>
                  <w:tcW w:w="871" w:type="dxa"/>
                  <w:tcBorders>
                    <w:tl2br w:val="nil"/>
                    <w:tr2bl w:val="nil"/>
                  </w:tcBorders>
                  <w:vAlign w:val="center"/>
                </w:tcPr>
                <w:p w14:paraId="21F4953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75D72D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vMerge w:val="continue"/>
                  <w:tcBorders>
                    <w:tl2br w:val="nil"/>
                    <w:tr2bl w:val="nil"/>
                  </w:tcBorders>
                  <w:shd w:val="clear" w:color="auto" w:fill="auto"/>
                  <w:vAlign w:val="center"/>
                </w:tcPr>
                <w:p w14:paraId="397A219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p>
              </w:tc>
              <w:tc>
                <w:tcPr>
                  <w:tcW w:w="1815" w:type="dxa"/>
                  <w:vMerge w:val="continue"/>
                  <w:tcBorders>
                    <w:tl2br w:val="nil"/>
                    <w:tr2bl w:val="nil"/>
                  </w:tcBorders>
                  <w:vAlign w:val="center"/>
                </w:tcPr>
                <w:p w14:paraId="17573F8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p>
              </w:tc>
              <w:tc>
                <w:tcPr>
                  <w:tcW w:w="754" w:type="dxa"/>
                  <w:tcBorders>
                    <w:tl2br w:val="nil"/>
                    <w:tr2bl w:val="nil"/>
                  </w:tcBorders>
                  <w:vAlign w:val="center"/>
                </w:tcPr>
                <w:p w14:paraId="1CFE8A9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10mmPb</w:t>
                  </w:r>
                </w:p>
              </w:tc>
              <w:tc>
                <w:tcPr>
                  <w:tcW w:w="1192" w:type="dxa"/>
                  <w:tcBorders>
                    <w:tl2br w:val="nil"/>
                    <w:tr2bl w:val="nil"/>
                  </w:tcBorders>
                  <w:vAlign w:val="center"/>
                </w:tcPr>
                <w:p w14:paraId="0CC071E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24</w:t>
                  </w:r>
                </w:p>
              </w:tc>
              <w:tc>
                <w:tcPr>
                  <w:tcW w:w="4016" w:type="dxa"/>
                  <w:tcBorders>
                    <w:tl2br w:val="nil"/>
                    <w:tr2bl w:val="nil"/>
                  </w:tcBorders>
                  <w:vAlign w:val="center"/>
                </w:tcPr>
                <w:p w14:paraId="265CFC4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存放</w:t>
                  </w:r>
                  <w:r>
                    <w:rPr>
                      <w:rFonts w:hint="default" w:ascii="Times New Roman" w:hAnsi="Times New Roman" w:eastAsia="宋体" w:cs="Times New Roman"/>
                      <w:color w:val="auto"/>
                      <w:kern w:val="0"/>
                      <w:sz w:val="16"/>
                      <w:szCs w:val="15"/>
                      <w:highlight w:val="none"/>
                      <w:vertAlign w:val="baseline"/>
                      <w:lang w:eastAsia="zh-CN"/>
                    </w:rPr>
                    <w:t>I-131</w:t>
                  </w:r>
                  <w:r>
                    <w:rPr>
                      <w:rFonts w:hint="default" w:ascii="Times New Roman" w:hAnsi="Times New Roman" w:eastAsia="宋体" w:cs="Times New Roman"/>
                      <w:color w:val="auto"/>
                      <w:kern w:val="0"/>
                      <w:sz w:val="16"/>
                      <w:szCs w:val="15"/>
                      <w:highlight w:val="none"/>
                      <w:lang w:eastAsia="en-US"/>
                    </w:rPr>
                    <w:t>核素治疗过程的放射性废物</w:t>
                  </w:r>
                </w:p>
              </w:tc>
              <w:tc>
                <w:tcPr>
                  <w:tcW w:w="871" w:type="dxa"/>
                  <w:tcBorders>
                    <w:tl2br w:val="nil"/>
                    <w:tr2bl w:val="nil"/>
                  </w:tcBorders>
                  <w:vAlign w:val="center"/>
                </w:tcPr>
                <w:p w14:paraId="29D63D6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2D4873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vMerge w:val="continue"/>
                  <w:tcBorders>
                    <w:tl2br w:val="nil"/>
                    <w:tr2bl w:val="nil"/>
                  </w:tcBorders>
                  <w:shd w:val="clear" w:color="auto" w:fill="auto"/>
                  <w:vAlign w:val="center"/>
                </w:tcPr>
                <w:p w14:paraId="6258C9D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p>
              </w:tc>
              <w:tc>
                <w:tcPr>
                  <w:tcW w:w="1815" w:type="dxa"/>
                  <w:vMerge w:val="continue"/>
                  <w:tcBorders>
                    <w:tl2br w:val="nil"/>
                    <w:tr2bl w:val="nil"/>
                  </w:tcBorders>
                  <w:vAlign w:val="center"/>
                </w:tcPr>
                <w:p w14:paraId="59BBB89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p>
              </w:tc>
              <w:tc>
                <w:tcPr>
                  <w:tcW w:w="754" w:type="dxa"/>
                  <w:tcBorders>
                    <w:tl2br w:val="nil"/>
                    <w:tr2bl w:val="nil"/>
                  </w:tcBorders>
                  <w:vAlign w:val="center"/>
                </w:tcPr>
                <w:p w14:paraId="2399951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5mmPb</w:t>
                  </w:r>
                </w:p>
              </w:tc>
              <w:tc>
                <w:tcPr>
                  <w:tcW w:w="1192" w:type="dxa"/>
                  <w:tcBorders>
                    <w:tl2br w:val="nil"/>
                    <w:tr2bl w:val="nil"/>
                  </w:tcBorders>
                  <w:vAlign w:val="center"/>
                </w:tcPr>
                <w:p w14:paraId="3CDB105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20</w:t>
                  </w:r>
                </w:p>
              </w:tc>
              <w:tc>
                <w:tcPr>
                  <w:tcW w:w="4016" w:type="dxa"/>
                  <w:tcBorders>
                    <w:tl2br w:val="nil"/>
                    <w:tr2bl w:val="nil"/>
                  </w:tcBorders>
                  <w:vAlign w:val="center"/>
                </w:tcPr>
                <w:p w14:paraId="4BE0C61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存放SPECT/CT显像检查过程的放射性废物</w:t>
                  </w:r>
                </w:p>
              </w:tc>
              <w:tc>
                <w:tcPr>
                  <w:tcW w:w="871" w:type="dxa"/>
                  <w:tcBorders>
                    <w:tl2br w:val="nil"/>
                    <w:tr2bl w:val="nil"/>
                  </w:tcBorders>
                  <w:vAlign w:val="center"/>
                </w:tcPr>
                <w:p w14:paraId="2C47E27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2214D2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7EAC947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10</w:t>
                  </w:r>
                </w:p>
              </w:tc>
              <w:tc>
                <w:tcPr>
                  <w:tcW w:w="1815" w:type="dxa"/>
                  <w:tcBorders>
                    <w:tl2br w:val="nil"/>
                    <w:tr2bl w:val="nil"/>
                  </w:tcBorders>
                  <w:vAlign w:val="center"/>
                </w:tcPr>
                <w:p w14:paraId="7B7ABCE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放射性废物衰变箱</w:t>
                  </w:r>
                </w:p>
              </w:tc>
              <w:tc>
                <w:tcPr>
                  <w:tcW w:w="754" w:type="dxa"/>
                  <w:tcBorders>
                    <w:tl2br w:val="nil"/>
                    <w:tr2bl w:val="nil"/>
                  </w:tcBorders>
                  <w:vAlign w:val="center"/>
                </w:tcPr>
                <w:p w14:paraId="1DBDD9C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30mmPb</w:t>
                  </w:r>
                </w:p>
              </w:tc>
              <w:tc>
                <w:tcPr>
                  <w:tcW w:w="1192" w:type="dxa"/>
                  <w:tcBorders>
                    <w:tl2br w:val="nil"/>
                    <w:tr2bl w:val="nil"/>
                  </w:tcBorders>
                  <w:vAlign w:val="center"/>
                </w:tcPr>
                <w:p w14:paraId="0B03CED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5</w:t>
                  </w:r>
                </w:p>
              </w:tc>
              <w:tc>
                <w:tcPr>
                  <w:tcW w:w="4016" w:type="dxa"/>
                  <w:tcBorders>
                    <w:tl2br w:val="nil"/>
                    <w:tr2bl w:val="nil"/>
                  </w:tcBorders>
                  <w:vAlign w:val="center"/>
                </w:tcPr>
                <w:p w14:paraId="482FF65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废物库内贮存放射性废物用</w:t>
                  </w:r>
                </w:p>
              </w:tc>
              <w:tc>
                <w:tcPr>
                  <w:tcW w:w="871" w:type="dxa"/>
                  <w:tcBorders>
                    <w:tl2br w:val="nil"/>
                    <w:tr2bl w:val="nil"/>
                  </w:tcBorders>
                  <w:vAlign w:val="center"/>
                </w:tcPr>
                <w:p w14:paraId="1EAB4AD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42E956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430" w:type="dxa"/>
                  <w:tcBorders>
                    <w:tl2br w:val="nil"/>
                    <w:tr2bl w:val="nil"/>
                  </w:tcBorders>
                  <w:shd w:val="clear" w:color="auto" w:fill="auto"/>
                  <w:vAlign w:val="center"/>
                </w:tcPr>
                <w:p w14:paraId="65FF676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11</w:t>
                  </w:r>
                </w:p>
              </w:tc>
              <w:tc>
                <w:tcPr>
                  <w:tcW w:w="1815" w:type="dxa"/>
                  <w:tcBorders>
                    <w:tl2br w:val="nil"/>
                    <w:tr2bl w:val="nil"/>
                  </w:tcBorders>
                  <w:vAlign w:val="center"/>
                </w:tcPr>
                <w:p w14:paraId="1F68A88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钨合金注射器防护套</w:t>
                  </w:r>
                </w:p>
              </w:tc>
              <w:tc>
                <w:tcPr>
                  <w:tcW w:w="754" w:type="dxa"/>
                  <w:tcBorders>
                    <w:tl2br w:val="nil"/>
                    <w:tr2bl w:val="nil"/>
                  </w:tcBorders>
                  <w:vAlign w:val="center"/>
                </w:tcPr>
                <w:p w14:paraId="66B7CAF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15mmPb</w:t>
                  </w:r>
                </w:p>
              </w:tc>
              <w:tc>
                <w:tcPr>
                  <w:tcW w:w="1192" w:type="dxa"/>
                  <w:tcBorders>
                    <w:tl2br w:val="nil"/>
                    <w:tr2bl w:val="nil"/>
                  </w:tcBorders>
                  <w:vAlign w:val="center"/>
                </w:tcPr>
                <w:p w14:paraId="12C0181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不同规格各</w:t>
                  </w:r>
                  <w:r>
                    <w:rPr>
                      <w:rFonts w:hint="default" w:ascii="Times New Roman" w:hAnsi="Times New Roman" w:eastAsia="宋体" w:cs="Times New Roman"/>
                      <w:color w:val="auto"/>
                      <w:kern w:val="0"/>
                      <w:sz w:val="16"/>
                      <w:szCs w:val="15"/>
                      <w:highlight w:val="none"/>
                      <w:lang w:val="en-US" w:eastAsia="zh-CN"/>
                    </w:rPr>
                    <w:t>8</w:t>
                  </w:r>
                  <w:r>
                    <w:rPr>
                      <w:rFonts w:hint="default" w:ascii="Times New Roman" w:hAnsi="Times New Roman" w:eastAsia="宋体" w:cs="Times New Roman"/>
                      <w:color w:val="auto"/>
                      <w:kern w:val="0"/>
                      <w:sz w:val="16"/>
                      <w:szCs w:val="15"/>
                      <w:highlight w:val="none"/>
                      <w:lang w:eastAsia="en-US"/>
                    </w:rPr>
                    <w:t>个</w:t>
                  </w:r>
                </w:p>
              </w:tc>
              <w:tc>
                <w:tcPr>
                  <w:tcW w:w="4016" w:type="dxa"/>
                  <w:tcBorders>
                    <w:tl2br w:val="nil"/>
                    <w:tr2bl w:val="nil"/>
                  </w:tcBorders>
                  <w:vAlign w:val="center"/>
                </w:tcPr>
                <w:p w14:paraId="27E0FE4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注射正电子</w:t>
                  </w:r>
                  <w:r>
                    <w:rPr>
                      <w:rFonts w:hint="eastAsia" w:cs="Times New Roman"/>
                      <w:color w:val="auto"/>
                      <w:kern w:val="0"/>
                      <w:sz w:val="16"/>
                      <w:szCs w:val="15"/>
                      <w:highlight w:val="none"/>
                      <w:lang w:eastAsia="zh-CN"/>
                    </w:rPr>
                    <w:t>药物</w:t>
                  </w:r>
                  <w:r>
                    <w:rPr>
                      <w:rFonts w:hint="default" w:ascii="Times New Roman" w:hAnsi="Times New Roman" w:eastAsia="宋体" w:cs="Times New Roman"/>
                      <w:color w:val="auto"/>
                      <w:kern w:val="0"/>
                      <w:sz w:val="16"/>
                      <w:szCs w:val="15"/>
                      <w:highlight w:val="none"/>
                      <w:lang w:eastAsia="en-US"/>
                    </w:rPr>
                    <w:t>用</w:t>
                  </w:r>
                </w:p>
              </w:tc>
              <w:tc>
                <w:tcPr>
                  <w:tcW w:w="871" w:type="dxa"/>
                  <w:tcBorders>
                    <w:tl2br w:val="nil"/>
                    <w:tr2bl w:val="nil"/>
                  </w:tcBorders>
                  <w:vAlign w:val="center"/>
                </w:tcPr>
                <w:p w14:paraId="29D6D9E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1D9AF3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430" w:type="dxa"/>
                  <w:tcBorders>
                    <w:tl2br w:val="nil"/>
                    <w:tr2bl w:val="nil"/>
                  </w:tcBorders>
                  <w:shd w:val="clear" w:color="auto" w:fill="auto"/>
                  <w:vAlign w:val="center"/>
                </w:tcPr>
                <w:p w14:paraId="3C1B98A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12</w:t>
                  </w:r>
                </w:p>
              </w:tc>
              <w:tc>
                <w:tcPr>
                  <w:tcW w:w="1815" w:type="dxa"/>
                  <w:tcBorders>
                    <w:tl2br w:val="nil"/>
                    <w:tr2bl w:val="nil"/>
                  </w:tcBorders>
                  <w:vAlign w:val="center"/>
                </w:tcPr>
                <w:p w14:paraId="1F8253C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铅注射器防护套</w:t>
                  </w:r>
                </w:p>
              </w:tc>
              <w:tc>
                <w:tcPr>
                  <w:tcW w:w="754" w:type="dxa"/>
                  <w:tcBorders>
                    <w:tl2br w:val="nil"/>
                    <w:tr2bl w:val="nil"/>
                  </w:tcBorders>
                  <w:vAlign w:val="center"/>
                </w:tcPr>
                <w:p w14:paraId="46CFF66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5mmPb</w:t>
                  </w:r>
                </w:p>
              </w:tc>
              <w:tc>
                <w:tcPr>
                  <w:tcW w:w="1192" w:type="dxa"/>
                  <w:tcBorders>
                    <w:tl2br w:val="nil"/>
                    <w:tr2bl w:val="nil"/>
                  </w:tcBorders>
                  <w:vAlign w:val="center"/>
                </w:tcPr>
                <w:p w14:paraId="5EC665C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不同规格各</w:t>
                  </w:r>
                  <w:r>
                    <w:rPr>
                      <w:rFonts w:hint="default" w:ascii="Times New Roman" w:hAnsi="Times New Roman" w:eastAsia="宋体" w:cs="Times New Roman"/>
                      <w:color w:val="auto"/>
                      <w:kern w:val="0"/>
                      <w:sz w:val="16"/>
                      <w:szCs w:val="15"/>
                      <w:highlight w:val="none"/>
                      <w:lang w:val="en-US" w:eastAsia="zh-CN"/>
                    </w:rPr>
                    <w:t>15</w:t>
                  </w:r>
                  <w:r>
                    <w:rPr>
                      <w:rFonts w:hint="default" w:ascii="Times New Roman" w:hAnsi="Times New Roman" w:eastAsia="宋体" w:cs="Times New Roman"/>
                      <w:color w:val="auto"/>
                      <w:kern w:val="0"/>
                      <w:sz w:val="16"/>
                      <w:szCs w:val="15"/>
                      <w:highlight w:val="none"/>
                      <w:lang w:eastAsia="en-US"/>
                    </w:rPr>
                    <w:t>个</w:t>
                  </w:r>
                </w:p>
              </w:tc>
              <w:tc>
                <w:tcPr>
                  <w:tcW w:w="4016" w:type="dxa"/>
                  <w:tcBorders>
                    <w:tl2br w:val="nil"/>
                    <w:tr2bl w:val="nil"/>
                  </w:tcBorders>
                  <w:vAlign w:val="center"/>
                </w:tcPr>
                <w:p w14:paraId="2FE264C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注射</w:t>
                  </w:r>
                  <w:r>
                    <w:rPr>
                      <w:rFonts w:hint="default" w:ascii="Times New Roman" w:hAnsi="Times New Roman" w:eastAsia="宋体" w:cs="Times New Roman"/>
                      <w:color w:val="auto"/>
                      <w:kern w:val="0"/>
                      <w:sz w:val="16"/>
                      <w:szCs w:val="15"/>
                      <w:highlight w:val="none"/>
                      <w:lang w:val="en-US" w:eastAsia="zh-CN"/>
                    </w:rPr>
                    <w:t>单光子</w:t>
                  </w:r>
                  <w:r>
                    <w:rPr>
                      <w:rFonts w:hint="default" w:ascii="Times New Roman" w:hAnsi="Times New Roman" w:eastAsia="宋体" w:cs="Times New Roman"/>
                      <w:color w:val="auto"/>
                      <w:kern w:val="0"/>
                      <w:sz w:val="16"/>
                      <w:szCs w:val="15"/>
                      <w:highlight w:val="none"/>
                      <w:lang w:eastAsia="en-US"/>
                    </w:rPr>
                    <w:t>药物</w:t>
                  </w:r>
                </w:p>
              </w:tc>
              <w:tc>
                <w:tcPr>
                  <w:tcW w:w="871" w:type="dxa"/>
                  <w:tcBorders>
                    <w:tl2br w:val="nil"/>
                    <w:tr2bl w:val="nil"/>
                  </w:tcBorders>
                  <w:vAlign w:val="center"/>
                </w:tcPr>
                <w:p w14:paraId="0FC1017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6A0961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vMerge w:val="restart"/>
                  <w:tcBorders>
                    <w:tl2br w:val="nil"/>
                    <w:tr2bl w:val="nil"/>
                  </w:tcBorders>
                  <w:shd w:val="clear" w:color="auto" w:fill="auto"/>
                  <w:vAlign w:val="center"/>
                </w:tcPr>
                <w:p w14:paraId="2A25EB9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13</w:t>
                  </w:r>
                </w:p>
              </w:tc>
              <w:tc>
                <w:tcPr>
                  <w:tcW w:w="1815" w:type="dxa"/>
                  <w:vMerge w:val="restart"/>
                  <w:tcBorders>
                    <w:tl2br w:val="nil"/>
                    <w:tr2bl w:val="nil"/>
                  </w:tcBorders>
                  <w:vAlign w:val="center"/>
                </w:tcPr>
                <w:p w14:paraId="773B9FA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移动铅防护屏风</w:t>
                  </w:r>
                </w:p>
              </w:tc>
              <w:tc>
                <w:tcPr>
                  <w:tcW w:w="754" w:type="dxa"/>
                  <w:tcBorders>
                    <w:tl2br w:val="nil"/>
                    <w:tr2bl w:val="nil"/>
                  </w:tcBorders>
                  <w:vAlign w:val="center"/>
                </w:tcPr>
                <w:p w14:paraId="00E8197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10mmPb</w:t>
                  </w:r>
                </w:p>
              </w:tc>
              <w:tc>
                <w:tcPr>
                  <w:tcW w:w="1192" w:type="dxa"/>
                  <w:tcBorders>
                    <w:tl2br w:val="nil"/>
                    <w:tr2bl w:val="nil"/>
                  </w:tcBorders>
                  <w:vAlign w:val="center"/>
                </w:tcPr>
                <w:p w14:paraId="4BC8B91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3</w:t>
                  </w:r>
                </w:p>
              </w:tc>
              <w:tc>
                <w:tcPr>
                  <w:tcW w:w="4016" w:type="dxa"/>
                  <w:tcBorders>
                    <w:tl2br w:val="nil"/>
                    <w:tr2bl w:val="nil"/>
                  </w:tcBorders>
                  <w:vAlign w:val="center"/>
                </w:tcPr>
                <w:p w14:paraId="198F2AE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PET/CT（MRI）室内技师摆位用</w:t>
                  </w:r>
                </w:p>
              </w:tc>
              <w:tc>
                <w:tcPr>
                  <w:tcW w:w="871" w:type="dxa"/>
                  <w:tcBorders>
                    <w:tl2br w:val="nil"/>
                    <w:tr2bl w:val="nil"/>
                  </w:tcBorders>
                  <w:vAlign w:val="center"/>
                </w:tcPr>
                <w:p w14:paraId="0B3F491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04A7AC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vMerge w:val="continue"/>
                  <w:tcBorders>
                    <w:tl2br w:val="nil"/>
                    <w:tr2bl w:val="nil"/>
                  </w:tcBorders>
                  <w:shd w:val="clear" w:color="auto" w:fill="auto"/>
                  <w:vAlign w:val="center"/>
                </w:tcPr>
                <w:p w14:paraId="551D692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p>
              </w:tc>
              <w:tc>
                <w:tcPr>
                  <w:tcW w:w="1815" w:type="dxa"/>
                  <w:vMerge w:val="continue"/>
                  <w:tcBorders>
                    <w:tl2br w:val="nil"/>
                    <w:tr2bl w:val="nil"/>
                  </w:tcBorders>
                  <w:vAlign w:val="center"/>
                </w:tcPr>
                <w:p w14:paraId="15ADA37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p>
              </w:tc>
              <w:tc>
                <w:tcPr>
                  <w:tcW w:w="754" w:type="dxa"/>
                  <w:tcBorders>
                    <w:tl2br w:val="nil"/>
                    <w:tr2bl w:val="nil"/>
                  </w:tcBorders>
                  <w:vAlign w:val="center"/>
                </w:tcPr>
                <w:p w14:paraId="6355CF0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6mmPb</w:t>
                  </w:r>
                </w:p>
              </w:tc>
              <w:tc>
                <w:tcPr>
                  <w:tcW w:w="1192" w:type="dxa"/>
                  <w:tcBorders>
                    <w:tl2br w:val="nil"/>
                    <w:tr2bl w:val="nil"/>
                  </w:tcBorders>
                  <w:vAlign w:val="center"/>
                </w:tcPr>
                <w:p w14:paraId="23D4DFE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w:t>
                  </w:r>
                </w:p>
              </w:tc>
              <w:tc>
                <w:tcPr>
                  <w:tcW w:w="4016" w:type="dxa"/>
                  <w:tcBorders>
                    <w:tl2br w:val="nil"/>
                    <w:tr2bl w:val="nil"/>
                  </w:tcBorders>
                  <w:vAlign w:val="center"/>
                </w:tcPr>
                <w:p w14:paraId="2D3820B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SPECT/CT室内技师摆位用</w:t>
                  </w:r>
                </w:p>
              </w:tc>
              <w:tc>
                <w:tcPr>
                  <w:tcW w:w="871" w:type="dxa"/>
                  <w:tcBorders>
                    <w:tl2br w:val="nil"/>
                    <w:tr2bl w:val="nil"/>
                  </w:tcBorders>
                  <w:vAlign w:val="center"/>
                </w:tcPr>
                <w:p w14:paraId="22588FC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40E06D8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vMerge w:val="continue"/>
                  <w:tcBorders>
                    <w:tl2br w:val="nil"/>
                    <w:tr2bl w:val="nil"/>
                  </w:tcBorders>
                  <w:shd w:val="clear" w:color="auto" w:fill="auto"/>
                  <w:vAlign w:val="center"/>
                </w:tcPr>
                <w:p w14:paraId="2A87B68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p>
              </w:tc>
              <w:tc>
                <w:tcPr>
                  <w:tcW w:w="1815" w:type="dxa"/>
                  <w:vMerge w:val="continue"/>
                  <w:tcBorders>
                    <w:tl2br w:val="nil"/>
                    <w:tr2bl w:val="nil"/>
                  </w:tcBorders>
                  <w:vAlign w:val="center"/>
                </w:tcPr>
                <w:p w14:paraId="6E354C5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en-US"/>
                    </w:rPr>
                  </w:pPr>
                </w:p>
              </w:tc>
              <w:tc>
                <w:tcPr>
                  <w:tcW w:w="754" w:type="dxa"/>
                  <w:tcBorders>
                    <w:tl2br w:val="nil"/>
                    <w:tr2bl w:val="nil"/>
                  </w:tcBorders>
                  <w:vAlign w:val="center"/>
                </w:tcPr>
                <w:p w14:paraId="413B12C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6mmPb</w:t>
                  </w:r>
                </w:p>
              </w:tc>
              <w:tc>
                <w:tcPr>
                  <w:tcW w:w="1192" w:type="dxa"/>
                  <w:tcBorders>
                    <w:tl2br w:val="nil"/>
                    <w:tr2bl w:val="nil"/>
                  </w:tcBorders>
                  <w:vAlign w:val="center"/>
                </w:tcPr>
                <w:p w14:paraId="0F30BCA8">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4</w:t>
                  </w:r>
                </w:p>
              </w:tc>
              <w:tc>
                <w:tcPr>
                  <w:tcW w:w="4016" w:type="dxa"/>
                  <w:tcBorders>
                    <w:tl2br w:val="nil"/>
                    <w:tr2bl w:val="nil"/>
                  </w:tcBorders>
                  <w:vAlign w:val="center"/>
                </w:tcPr>
                <w:p w14:paraId="381C979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PET/CT（MRI）注射后休息室患者候诊使用</w:t>
                  </w:r>
                </w:p>
              </w:tc>
              <w:tc>
                <w:tcPr>
                  <w:tcW w:w="871" w:type="dxa"/>
                  <w:tcBorders>
                    <w:tl2br w:val="nil"/>
                    <w:tr2bl w:val="nil"/>
                  </w:tcBorders>
                  <w:vAlign w:val="center"/>
                </w:tcPr>
                <w:p w14:paraId="44D3F4C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57E611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0505F47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14</w:t>
                  </w:r>
                </w:p>
              </w:tc>
              <w:tc>
                <w:tcPr>
                  <w:tcW w:w="1815" w:type="dxa"/>
                  <w:tcBorders>
                    <w:tl2br w:val="nil"/>
                    <w:tr2bl w:val="nil"/>
                  </w:tcBorders>
                  <w:vAlign w:val="center"/>
                </w:tcPr>
                <w:p w14:paraId="223E2EF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cs="Times New Roman"/>
                      <w:color w:val="auto"/>
                      <w:kern w:val="0"/>
                      <w:sz w:val="16"/>
                      <w:szCs w:val="15"/>
                      <w:highlight w:val="none"/>
                      <w:lang w:val="en-US" w:eastAsia="zh-CN"/>
                    </w:rPr>
                    <w:t>质控室通风橱</w:t>
                  </w:r>
                </w:p>
              </w:tc>
              <w:tc>
                <w:tcPr>
                  <w:tcW w:w="754" w:type="dxa"/>
                  <w:tcBorders>
                    <w:tl2br w:val="nil"/>
                    <w:tr2bl w:val="nil"/>
                  </w:tcBorders>
                  <w:vAlign w:val="center"/>
                </w:tcPr>
                <w:p w14:paraId="0DBFC12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cs="Times New Roman"/>
                      <w:color w:val="auto"/>
                      <w:kern w:val="0"/>
                      <w:sz w:val="16"/>
                      <w:szCs w:val="15"/>
                      <w:highlight w:val="none"/>
                      <w:lang w:val="en-US" w:eastAsia="zh-CN"/>
                    </w:rPr>
                    <w:t>3</w:t>
                  </w:r>
                  <w:r>
                    <w:rPr>
                      <w:rFonts w:hint="default" w:ascii="Times New Roman" w:hAnsi="Times New Roman" w:eastAsia="宋体" w:cs="Times New Roman"/>
                      <w:color w:val="auto"/>
                      <w:kern w:val="0"/>
                      <w:sz w:val="16"/>
                      <w:szCs w:val="15"/>
                      <w:highlight w:val="none"/>
                      <w:lang w:eastAsia="en-US"/>
                    </w:rPr>
                    <w:t>mmPb</w:t>
                  </w:r>
                </w:p>
              </w:tc>
              <w:tc>
                <w:tcPr>
                  <w:tcW w:w="1192" w:type="dxa"/>
                  <w:tcBorders>
                    <w:tl2br w:val="nil"/>
                    <w:tr2bl w:val="nil"/>
                  </w:tcBorders>
                  <w:vAlign w:val="center"/>
                </w:tcPr>
                <w:p w14:paraId="6D8E529C">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cs="Times New Roman"/>
                      <w:color w:val="auto"/>
                      <w:kern w:val="0"/>
                      <w:sz w:val="16"/>
                      <w:szCs w:val="15"/>
                      <w:highlight w:val="none"/>
                      <w:lang w:val="en-US" w:eastAsia="zh-CN"/>
                    </w:rPr>
                    <w:t>1</w:t>
                  </w:r>
                </w:p>
              </w:tc>
              <w:tc>
                <w:tcPr>
                  <w:tcW w:w="4016" w:type="dxa"/>
                  <w:tcBorders>
                    <w:tl2br w:val="nil"/>
                    <w:tr2bl w:val="nil"/>
                  </w:tcBorders>
                  <w:vAlign w:val="center"/>
                </w:tcPr>
                <w:p w14:paraId="481B4BC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zh-CN"/>
                    </w:rPr>
                  </w:pPr>
                  <w:r>
                    <w:rPr>
                      <w:rFonts w:hint="default" w:ascii="Times New Roman" w:hAnsi="Times New Roman" w:cs="Times New Roman"/>
                      <w:color w:val="auto"/>
                      <w:kern w:val="0"/>
                      <w:sz w:val="16"/>
                      <w:szCs w:val="15"/>
                      <w:highlight w:val="none"/>
                      <w:lang w:val="en-US" w:eastAsia="zh-CN"/>
                    </w:rPr>
                    <w:t>放射性</w:t>
                  </w:r>
                  <w:r>
                    <w:rPr>
                      <w:rFonts w:hint="default" w:ascii="Times New Roman" w:hAnsi="Times New Roman" w:cs="Times New Roman"/>
                      <w:color w:val="auto"/>
                      <w:kern w:val="0"/>
                      <w:sz w:val="16"/>
                      <w:szCs w:val="15"/>
                      <w:highlight w:val="none"/>
                      <w:lang w:eastAsia="zh-CN"/>
                    </w:rPr>
                    <w:t>药物质控</w:t>
                  </w:r>
                </w:p>
              </w:tc>
              <w:tc>
                <w:tcPr>
                  <w:tcW w:w="871" w:type="dxa"/>
                  <w:tcBorders>
                    <w:tl2br w:val="nil"/>
                    <w:tr2bl w:val="nil"/>
                  </w:tcBorders>
                  <w:vAlign w:val="center"/>
                </w:tcPr>
                <w:p w14:paraId="44B676D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en-US"/>
                    </w:rPr>
                    <w:t>已有</w:t>
                  </w:r>
                </w:p>
              </w:tc>
            </w:tr>
            <w:tr w14:paraId="26B354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091BD2B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p>
              </w:tc>
              <w:tc>
                <w:tcPr>
                  <w:tcW w:w="1815" w:type="dxa"/>
                  <w:tcBorders>
                    <w:tl2br w:val="nil"/>
                    <w:tr2bl w:val="nil"/>
                  </w:tcBorders>
                  <w:shd w:val="clear" w:color="auto" w:fill="auto"/>
                  <w:vAlign w:val="center"/>
                </w:tcPr>
                <w:p w14:paraId="3FB66D0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eastAsia="宋体" w:cs="Times New Roman"/>
                      <w:color w:val="auto"/>
                      <w:kern w:val="0"/>
                      <w:sz w:val="16"/>
                      <w:szCs w:val="15"/>
                      <w:highlight w:val="none"/>
                      <w:lang w:eastAsia="en-US"/>
                    </w:rPr>
                    <w:t>铅橡胶帽子</w:t>
                  </w:r>
                </w:p>
              </w:tc>
              <w:tc>
                <w:tcPr>
                  <w:tcW w:w="754" w:type="dxa"/>
                  <w:tcBorders>
                    <w:tl2br w:val="nil"/>
                    <w:tr2bl w:val="nil"/>
                  </w:tcBorders>
                  <w:shd w:val="clear" w:color="auto" w:fill="auto"/>
                  <w:vAlign w:val="center"/>
                </w:tcPr>
                <w:p w14:paraId="460FC92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eastAsia="宋体" w:cs="Times New Roman"/>
                      <w:color w:val="auto"/>
                      <w:kern w:val="0"/>
                      <w:sz w:val="16"/>
                      <w:szCs w:val="15"/>
                      <w:highlight w:val="none"/>
                      <w:lang w:eastAsia="en-US"/>
                    </w:rPr>
                    <w:t>0.5mmPb</w:t>
                  </w:r>
                </w:p>
              </w:tc>
              <w:tc>
                <w:tcPr>
                  <w:tcW w:w="1192" w:type="dxa"/>
                  <w:tcBorders>
                    <w:tl2br w:val="nil"/>
                    <w:tr2bl w:val="nil"/>
                  </w:tcBorders>
                  <w:shd w:val="clear" w:color="auto" w:fill="auto"/>
                  <w:vAlign w:val="center"/>
                </w:tcPr>
                <w:p w14:paraId="633F33E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eastAsia="宋体" w:cs="Times New Roman"/>
                      <w:color w:val="auto"/>
                      <w:kern w:val="0"/>
                      <w:sz w:val="16"/>
                      <w:szCs w:val="15"/>
                      <w:highlight w:val="none"/>
                      <w:lang w:eastAsia="en-US"/>
                    </w:rPr>
                    <w:t>10</w:t>
                  </w:r>
                </w:p>
              </w:tc>
              <w:tc>
                <w:tcPr>
                  <w:tcW w:w="4016" w:type="dxa"/>
                  <w:tcBorders>
                    <w:tl2br w:val="nil"/>
                    <w:tr2bl w:val="nil"/>
                  </w:tcBorders>
                  <w:shd w:val="clear" w:color="auto" w:fill="auto"/>
                  <w:vAlign w:val="center"/>
                </w:tcPr>
                <w:p w14:paraId="19F5FB46">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eastAsia="宋体" w:cs="Times New Roman"/>
                      <w:color w:val="auto"/>
                      <w:kern w:val="0"/>
                      <w:sz w:val="16"/>
                      <w:szCs w:val="15"/>
                      <w:highlight w:val="none"/>
                      <w:lang w:eastAsia="en-US"/>
                    </w:rPr>
                    <w:t>护士给药及技师摆位时用</w:t>
                  </w:r>
                </w:p>
              </w:tc>
              <w:tc>
                <w:tcPr>
                  <w:tcW w:w="871" w:type="dxa"/>
                  <w:tcBorders>
                    <w:tl2br w:val="nil"/>
                    <w:tr2bl w:val="nil"/>
                  </w:tcBorders>
                  <w:shd w:val="clear" w:color="auto" w:fill="auto"/>
                  <w:vAlign w:val="center"/>
                </w:tcPr>
                <w:p w14:paraId="6D8278F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zh-CN" w:bidi="ar-SA"/>
                    </w:rPr>
                  </w:pPr>
                  <w:r>
                    <w:rPr>
                      <w:rFonts w:hint="default" w:ascii="Times New Roman" w:hAnsi="Times New Roman" w:eastAsia="宋体" w:cs="Times New Roman"/>
                      <w:color w:val="auto"/>
                      <w:kern w:val="0"/>
                      <w:sz w:val="16"/>
                      <w:szCs w:val="15"/>
                      <w:highlight w:val="none"/>
                      <w:lang w:val="en-US" w:eastAsia="zh-CN"/>
                    </w:rPr>
                    <w:t>已有</w:t>
                  </w:r>
                </w:p>
              </w:tc>
            </w:tr>
            <w:tr w14:paraId="292BBD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771C7A1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15</w:t>
                  </w:r>
                </w:p>
              </w:tc>
              <w:tc>
                <w:tcPr>
                  <w:tcW w:w="1815" w:type="dxa"/>
                  <w:tcBorders>
                    <w:tl2br w:val="nil"/>
                    <w:tr2bl w:val="nil"/>
                  </w:tcBorders>
                  <w:vAlign w:val="center"/>
                </w:tcPr>
                <w:p w14:paraId="4DB6CA7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铅橡胶颈套</w:t>
                  </w:r>
                </w:p>
              </w:tc>
              <w:tc>
                <w:tcPr>
                  <w:tcW w:w="754" w:type="dxa"/>
                  <w:tcBorders>
                    <w:tl2br w:val="nil"/>
                    <w:tr2bl w:val="nil"/>
                  </w:tcBorders>
                  <w:vAlign w:val="center"/>
                </w:tcPr>
                <w:p w14:paraId="4046DC8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0.5mmPb</w:t>
                  </w:r>
                </w:p>
              </w:tc>
              <w:tc>
                <w:tcPr>
                  <w:tcW w:w="1192" w:type="dxa"/>
                  <w:tcBorders>
                    <w:tl2br w:val="nil"/>
                    <w:tr2bl w:val="nil"/>
                  </w:tcBorders>
                  <w:vAlign w:val="center"/>
                </w:tcPr>
                <w:p w14:paraId="62FC24A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10</w:t>
                  </w:r>
                </w:p>
              </w:tc>
              <w:tc>
                <w:tcPr>
                  <w:tcW w:w="4016" w:type="dxa"/>
                  <w:tcBorders>
                    <w:tl2br w:val="nil"/>
                    <w:tr2bl w:val="nil"/>
                  </w:tcBorders>
                  <w:vAlign w:val="center"/>
                </w:tcPr>
                <w:p w14:paraId="7A3DACB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护士给药及技师摆位时用</w:t>
                  </w:r>
                </w:p>
              </w:tc>
              <w:tc>
                <w:tcPr>
                  <w:tcW w:w="871" w:type="dxa"/>
                  <w:tcBorders>
                    <w:tl2br w:val="nil"/>
                    <w:tr2bl w:val="nil"/>
                  </w:tcBorders>
                  <w:vAlign w:val="center"/>
                </w:tcPr>
                <w:p w14:paraId="5A34362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7ABFDC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02578F1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16</w:t>
                  </w:r>
                </w:p>
              </w:tc>
              <w:tc>
                <w:tcPr>
                  <w:tcW w:w="1815" w:type="dxa"/>
                  <w:tcBorders>
                    <w:tl2br w:val="nil"/>
                    <w:tr2bl w:val="nil"/>
                  </w:tcBorders>
                  <w:vAlign w:val="center"/>
                </w:tcPr>
                <w:p w14:paraId="029C6D5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铅防护眼镜</w:t>
                  </w:r>
                </w:p>
              </w:tc>
              <w:tc>
                <w:tcPr>
                  <w:tcW w:w="754" w:type="dxa"/>
                  <w:tcBorders>
                    <w:tl2br w:val="nil"/>
                    <w:tr2bl w:val="nil"/>
                  </w:tcBorders>
                  <w:vAlign w:val="center"/>
                </w:tcPr>
                <w:p w14:paraId="113B23BF">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0.5mmPb</w:t>
                  </w:r>
                </w:p>
              </w:tc>
              <w:tc>
                <w:tcPr>
                  <w:tcW w:w="1192" w:type="dxa"/>
                  <w:tcBorders>
                    <w:tl2br w:val="nil"/>
                    <w:tr2bl w:val="nil"/>
                  </w:tcBorders>
                  <w:vAlign w:val="center"/>
                </w:tcPr>
                <w:p w14:paraId="37CB38B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10</w:t>
                  </w:r>
                </w:p>
              </w:tc>
              <w:tc>
                <w:tcPr>
                  <w:tcW w:w="4016" w:type="dxa"/>
                  <w:tcBorders>
                    <w:tl2br w:val="nil"/>
                    <w:tr2bl w:val="nil"/>
                  </w:tcBorders>
                  <w:vAlign w:val="center"/>
                </w:tcPr>
                <w:p w14:paraId="749D834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护士给药及技师摆位时用</w:t>
                  </w:r>
                </w:p>
              </w:tc>
              <w:tc>
                <w:tcPr>
                  <w:tcW w:w="871" w:type="dxa"/>
                  <w:tcBorders>
                    <w:tl2br w:val="nil"/>
                    <w:tr2bl w:val="nil"/>
                  </w:tcBorders>
                  <w:vAlign w:val="center"/>
                </w:tcPr>
                <w:p w14:paraId="7048D06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1939A0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21B5586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17</w:t>
                  </w:r>
                </w:p>
              </w:tc>
              <w:tc>
                <w:tcPr>
                  <w:tcW w:w="1815" w:type="dxa"/>
                  <w:tcBorders>
                    <w:tl2br w:val="nil"/>
                    <w:tr2bl w:val="nil"/>
                  </w:tcBorders>
                  <w:vAlign w:val="center"/>
                </w:tcPr>
                <w:p w14:paraId="36F6256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铅橡胶防护衣</w:t>
                  </w:r>
                </w:p>
              </w:tc>
              <w:tc>
                <w:tcPr>
                  <w:tcW w:w="754" w:type="dxa"/>
                  <w:tcBorders>
                    <w:tl2br w:val="nil"/>
                    <w:tr2bl w:val="nil"/>
                  </w:tcBorders>
                  <w:vAlign w:val="center"/>
                </w:tcPr>
                <w:p w14:paraId="02FD89A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0.5mmPb</w:t>
                  </w:r>
                </w:p>
              </w:tc>
              <w:tc>
                <w:tcPr>
                  <w:tcW w:w="1192" w:type="dxa"/>
                  <w:tcBorders>
                    <w:tl2br w:val="nil"/>
                    <w:tr2bl w:val="nil"/>
                  </w:tcBorders>
                  <w:vAlign w:val="center"/>
                </w:tcPr>
                <w:p w14:paraId="344B8D2D">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10</w:t>
                  </w:r>
                </w:p>
              </w:tc>
              <w:tc>
                <w:tcPr>
                  <w:tcW w:w="4016" w:type="dxa"/>
                  <w:tcBorders>
                    <w:tl2br w:val="nil"/>
                    <w:tr2bl w:val="nil"/>
                  </w:tcBorders>
                  <w:vAlign w:val="center"/>
                </w:tcPr>
                <w:p w14:paraId="46C30DE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护士给药及技师摆位时用</w:t>
                  </w:r>
                </w:p>
              </w:tc>
              <w:tc>
                <w:tcPr>
                  <w:tcW w:w="871" w:type="dxa"/>
                  <w:tcBorders>
                    <w:tl2br w:val="nil"/>
                    <w:tr2bl w:val="nil"/>
                  </w:tcBorders>
                  <w:vAlign w:val="center"/>
                </w:tcPr>
                <w:p w14:paraId="7B0E6E5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65F3DF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0CCB6B72">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18</w:t>
                  </w:r>
                </w:p>
              </w:tc>
              <w:tc>
                <w:tcPr>
                  <w:tcW w:w="1815" w:type="dxa"/>
                  <w:tcBorders>
                    <w:tl2br w:val="nil"/>
                    <w:tr2bl w:val="nil"/>
                  </w:tcBorders>
                  <w:vAlign w:val="center"/>
                </w:tcPr>
                <w:p w14:paraId="4F0D137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放射性污染防护服</w:t>
                  </w:r>
                </w:p>
              </w:tc>
              <w:tc>
                <w:tcPr>
                  <w:tcW w:w="754" w:type="dxa"/>
                  <w:tcBorders>
                    <w:tl2br w:val="nil"/>
                    <w:tr2bl w:val="nil"/>
                  </w:tcBorders>
                  <w:vAlign w:val="center"/>
                </w:tcPr>
                <w:p w14:paraId="2CD75BD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w:t>
                  </w:r>
                </w:p>
              </w:tc>
              <w:tc>
                <w:tcPr>
                  <w:tcW w:w="1192" w:type="dxa"/>
                  <w:tcBorders>
                    <w:tl2br w:val="nil"/>
                    <w:tr2bl w:val="nil"/>
                  </w:tcBorders>
                  <w:vAlign w:val="center"/>
                </w:tcPr>
                <w:p w14:paraId="08F4399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若干</w:t>
                  </w:r>
                </w:p>
              </w:tc>
              <w:tc>
                <w:tcPr>
                  <w:tcW w:w="4016" w:type="dxa"/>
                  <w:tcBorders>
                    <w:tl2br w:val="nil"/>
                    <w:tr2bl w:val="nil"/>
                  </w:tcBorders>
                  <w:vAlign w:val="center"/>
                </w:tcPr>
                <w:p w14:paraId="6BCF1D6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w:t>
                  </w:r>
                </w:p>
              </w:tc>
              <w:tc>
                <w:tcPr>
                  <w:tcW w:w="871" w:type="dxa"/>
                  <w:tcBorders>
                    <w:tl2br w:val="nil"/>
                    <w:tr2bl w:val="nil"/>
                  </w:tcBorders>
                  <w:vAlign w:val="center"/>
                </w:tcPr>
                <w:p w14:paraId="6C3E26A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7A38D8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238A5E4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19</w:t>
                  </w:r>
                </w:p>
              </w:tc>
              <w:tc>
                <w:tcPr>
                  <w:tcW w:w="1815" w:type="dxa"/>
                  <w:tcBorders>
                    <w:tl2br w:val="nil"/>
                    <w:tr2bl w:val="nil"/>
                  </w:tcBorders>
                  <w:vAlign w:val="center"/>
                </w:tcPr>
                <w:p w14:paraId="204E443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一次性手套</w:t>
                  </w:r>
                </w:p>
              </w:tc>
              <w:tc>
                <w:tcPr>
                  <w:tcW w:w="754" w:type="dxa"/>
                  <w:tcBorders>
                    <w:tl2br w:val="nil"/>
                    <w:tr2bl w:val="nil"/>
                  </w:tcBorders>
                  <w:vAlign w:val="center"/>
                </w:tcPr>
                <w:p w14:paraId="46293E9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w:t>
                  </w:r>
                </w:p>
              </w:tc>
              <w:tc>
                <w:tcPr>
                  <w:tcW w:w="1192" w:type="dxa"/>
                  <w:tcBorders>
                    <w:tl2br w:val="nil"/>
                    <w:tr2bl w:val="nil"/>
                  </w:tcBorders>
                  <w:vAlign w:val="center"/>
                </w:tcPr>
                <w:p w14:paraId="732F4F3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若干</w:t>
                  </w:r>
                </w:p>
              </w:tc>
              <w:tc>
                <w:tcPr>
                  <w:tcW w:w="4016" w:type="dxa"/>
                  <w:tcBorders>
                    <w:tl2br w:val="nil"/>
                    <w:tr2bl w:val="nil"/>
                  </w:tcBorders>
                  <w:vAlign w:val="center"/>
                </w:tcPr>
                <w:p w14:paraId="0ADC544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w:t>
                  </w:r>
                </w:p>
              </w:tc>
              <w:tc>
                <w:tcPr>
                  <w:tcW w:w="871" w:type="dxa"/>
                  <w:tcBorders>
                    <w:tl2br w:val="nil"/>
                    <w:tr2bl w:val="nil"/>
                  </w:tcBorders>
                  <w:vAlign w:val="center"/>
                </w:tcPr>
                <w:p w14:paraId="4D038156">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5FCBF1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3635BC0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20</w:t>
                  </w:r>
                </w:p>
              </w:tc>
              <w:tc>
                <w:tcPr>
                  <w:tcW w:w="1815" w:type="dxa"/>
                  <w:tcBorders>
                    <w:tl2br w:val="nil"/>
                    <w:tr2bl w:val="nil"/>
                  </w:tcBorders>
                  <w:vAlign w:val="center"/>
                </w:tcPr>
                <w:p w14:paraId="76EE05E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口罩</w:t>
                  </w:r>
                </w:p>
              </w:tc>
              <w:tc>
                <w:tcPr>
                  <w:tcW w:w="754" w:type="dxa"/>
                  <w:tcBorders>
                    <w:tl2br w:val="nil"/>
                    <w:tr2bl w:val="nil"/>
                  </w:tcBorders>
                  <w:vAlign w:val="center"/>
                </w:tcPr>
                <w:p w14:paraId="74491F3A">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w:t>
                  </w:r>
                </w:p>
              </w:tc>
              <w:tc>
                <w:tcPr>
                  <w:tcW w:w="1192" w:type="dxa"/>
                  <w:tcBorders>
                    <w:tl2br w:val="nil"/>
                    <w:tr2bl w:val="nil"/>
                  </w:tcBorders>
                  <w:vAlign w:val="center"/>
                </w:tcPr>
                <w:p w14:paraId="7DB3786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若干</w:t>
                  </w:r>
                </w:p>
              </w:tc>
              <w:tc>
                <w:tcPr>
                  <w:tcW w:w="4016" w:type="dxa"/>
                  <w:tcBorders>
                    <w:tl2br w:val="nil"/>
                    <w:tr2bl w:val="nil"/>
                  </w:tcBorders>
                  <w:vAlign w:val="center"/>
                </w:tcPr>
                <w:p w14:paraId="4C84C81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w:t>
                  </w:r>
                </w:p>
              </w:tc>
              <w:tc>
                <w:tcPr>
                  <w:tcW w:w="871" w:type="dxa"/>
                  <w:tcBorders>
                    <w:tl2br w:val="nil"/>
                    <w:tr2bl w:val="nil"/>
                  </w:tcBorders>
                  <w:vAlign w:val="center"/>
                </w:tcPr>
                <w:p w14:paraId="09A494A4">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1547CC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6A4483C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21</w:t>
                  </w:r>
                </w:p>
              </w:tc>
              <w:tc>
                <w:tcPr>
                  <w:tcW w:w="1815" w:type="dxa"/>
                  <w:tcBorders>
                    <w:tl2br w:val="nil"/>
                    <w:tr2bl w:val="nil"/>
                  </w:tcBorders>
                  <w:vAlign w:val="center"/>
                </w:tcPr>
                <w:p w14:paraId="311E1B5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鞋套</w:t>
                  </w:r>
                </w:p>
              </w:tc>
              <w:tc>
                <w:tcPr>
                  <w:tcW w:w="754" w:type="dxa"/>
                  <w:tcBorders>
                    <w:tl2br w:val="nil"/>
                    <w:tr2bl w:val="nil"/>
                  </w:tcBorders>
                  <w:vAlign w:val="center"/>
                </w:tcPr>
                <w:p w14:paraId="063639E0">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w:t>
                  </w:r>
                </w:p>
              </w:tc>
              <w:tc>
                <w:tcPr>
                  <w:tcW w:w="1192" w:type="dxa"/>
                  <w:tcBorders>
                    <w:tl2br w:val="nil"/>
                    <w:tr2bl w:val="nil"/>
                  </w:tcBorders>
                  <w:vAlign w:val="center"/>
                </w:tcPr>
                <w:p w14:paraId="26FC4167">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若干</w:t>
                  </w:r>
                </w:p>
              </w:tc>
              <w:tc>
                <w:tcPr>
                  <w:tcW w:w="4016" w:type="dxa"/>
                  <w:tcBorders>
                    <w:tl2br w:val="nil"/>
                    <w:tr2bl w:val="nil"/>
                  </w:tcBorders>
                  <w:vAlign w:val="center"/>
                </w:tcPr>
                <w:p w14:paraId="208F1EB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w:t>
                  </w:r>
                </w:p>
              </w:tc>
              <w:tc>
                <w:tcPr>
                  <w:tcW w:w="871" w:type="dxa"/>
                  <w:tcBorders>
                    <w:tl2br w:val="nil"/>
                    <w:tr2bl w:val="nil"/>
                  </w:tcBorders>
                  <w:vAlign w:val="center"/>
                </w:tcPr>
                <w:p w14:paraId="5AF3DF2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1C4FB6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29A242F9">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val="en-US" w:eastAsia="zh-CN"/>
                    </w:rPr>
                  </w:pPr>
                  <w:r>
                    <w:rPr>
                      <w:rFonts w:hint="default" w:ascii="Times New Roman" w:hAnsi="Times New Roman" w:eastAsia="宋体" w:cs="Times New Roman"/>
                      <w:color w:val="auto"/>
                      <w:kern w:val="0"/>
                      <w:sz w:val="16"/>
                      <w:szCs w:val="15"/>
                      <w:highlight w:val="none"/>
                      <w:lang w:val="en-US" w:eastAsia="zh-CN"/>
                    </w:rPr>
                    <w:t>22</w:t>
                  </w:r>
                </w:p>
              </w:tc>
              <w:tc>
                <w:tcPr>
                  <w:tcW w:w="1815" w:type="dxa"/>
                  <w:tcBorders>
                    <w:tl2br w:val="nil"/>
                    <w:tr2bl w:val="nil"/>
                  </w:tcBorders>
                  <w:vAlign w:val="center"/>
                </w:tcPr>
                <w:p w14:paraId="243BDC11">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帽子</w:t>
                  </w:r>
                </w:p>
              </w:tc>
              <w:tc>
                <w:tcPr>
                  <w:tcW w:w="754" w:type="dxa"/>
                  <w:tcBorders>
                    <w:tl2br w:val="nil"/>
                    <w:tr2bl w:val="nil"/>
                  </w:tcBorders>
                  <w:vAlign w:val="center"/>
                </w:tcPr>
                <w:p w14:paraId="6466AF5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w:t>
                  </w:r>
                </w:p>
              </w:tc>
              <w:tc>
                <w:tcPr>
                  <w:tcW w:w="1192" w:type="dxa"/>
                  <w:tcBorders>
                    <w:tl2br w:val="nil"/>
                    <w:tr2bl w:val="nil"/>
                  </w:tcBorders>
                  <w:vAlign w:val="center"/>
                </w:tcPr>
                <w:p w14:paraId="17FE881E">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若干</w:t>
                  </w:r>
                </w:p>
              </w:tc>
              <w:tc>
                <w:tcPr>
                  <w:tcW w:w="4016" w:type="dxa"/>
                  <w:tcBorders>
                    <w:tl2br w:val="nil"/>
                    <w:tr2bl w:val="nil"/>
                  </w:tcBorders>
                  <w:vAlign w:val="center"/>
                </w:tcPr>
                <w:p w14:paraId="1C361EDB">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eastAsia="en-US"/>
                    </w:rPr>
                    <w:t>—</w:t>
                  </w:r>
                </w:p>
              </w:tc>
              <w:tc>
                <w:tcPr>
                  <w:tcW w:w="871" w:type="dxa"/>
                  <w:tcBorders>
                    <w:tl2br w:val="nil"/>
                    <w:tr2bl w:val="nil"/>
                  </w:tcBorders>
                  <w:vAlign w:val="center"/>
                </w:tcPr>
                <w:p w14:paraId="3FC9EE15">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6"/>
                      <w:szCs w:val="15"/>
                      <w:highlight w:val="none"/>
                      <w:lang w:eastAsia="en-US"/>
                    </w:rPr>
                  </w:pPr>
                  <w:r>
                    <w:rPr>
                      <w:rFonts w:hint="default" w:ascii="Times New Roman" w:hAnsi="Times New Roman" w:eastAsia="宋体" w:cs="Times New Roman"/>
                      <w:color w:val="auto"/>
                      <w:kern w:val="0"/>
                      <w:sz w:val="16"/>
                      <w:szCs w:val="15"/>
                      <w:highlight w:val="none"/>
                      <w:lang w:val="en-US" w:eastAsia="zh-CN"/>
                    </w:rPr>
                    <w:t>已有</w:t>
                  </w:r>
                </w:p>
              </w:tc>
            </w:tr>
            <w:tr w14:paraId="149431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6C270DCA">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eastAsia="宋体" w:cs="Times New Roman"/>
                      <w:color w:val="auto"/>
                      <w:kern w:val="0"/>
                      <w:sz w:val="16"/>
                      <w:szCs w:val="15"/>
                      <w:highlight w:val="none"/>
                      <w:lang w:val="en-US" w:eastAsia="zh-CN"/>
                    </w:rPr>
                    <w:t>25</w:t>
                  </w:r>
                </w:p>
              </w:tc>
              <w:tc>
                <w:tcPr>
                  <w:tcW w:w="1815" w:type="dxa"/>
                  <w:tcBorders>
                    <w:tl2br w:val="nil"/>
                    <w:tr2bl w:val="nil"/>
                  </w:tcBorders>
                  <w:shd w:val="clear" w:color="auto" w:fill="auto"/>
                  <w:vAlign w:val="center"/>
                </w:tcPr>
                <w:p w14:paraId="2D7261C7">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zh-CN" w:bidi="ar-SA"/>
                    </w:rPr>
                  </w:pPr>
                  <w:r>
                    <w:rPr>
                      <w:rFonts w:hint="default" w:ascii="Times New Roman" w:hAnsi="Times New Roman" w:eastAsia="宋体" w:cs="Times New Roman"/>
                      <w:color w:val="auto"/>
                      <w:kern w:val="0"/>
                      <w:sz w:val="16"/>
                      <w:szCs w:val="15"/>
                      <w:highlight w:val="none"/>
                      <w:lang w:val="en-US" w:eastAsia="zh-CN"/>
                    </w:rPr>
                    <w:t>Y-90转运箱</w:t>
                  </w:r>
                </w:p>
              </w:tc>
              <w:tc>
                <w:tcPr>
                  <w:tcW w:w="754" w:type="dxa"/>
                  <w:tcBorders>
                    <w:tl2br w:val="nil"/>
                    <w:tr2bl w:val="nil"/>
                  </w:tcBorders>
                  <w:shd w:val="clear" w:color="auto" w:fill="auto"/>
                  <w:vAlign w:val="center"/>
                </w:tcPr>
                <w:p w14:paraId="23BB1E9E">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cs="Times New Roman"/>
                      <w:color w:val="auto"/>
                      <w:kern w:val="0"/>
                      <w:sz w:val="16"/>
                      <w:szCs w:val="15"/>
                      <w:highlight w:val="none"/>
                      <w:lang w:val="en-US" w:eastAsia="zh-CN"/>
                    </w:rPr>
                    <w:t>20</w:t>
                  </w:r>
                  <w:r>
                    <w:rPr>
                      <w:rFonts w:hint="default" w:ascii="Times New Roman" w:hAnsi="Times New Roman" w:eastAsia="宋体" w:cs="Times New Roman"/>
                      <w:color w:val="auto"/>
                      <w:kern w:val="0"/>
                      <w:sz w:val="16"/>
                      <w:szCs w:val="15"/>
                      <w:highlight w:val="none"/>
                      <w:lang w:eastAsia="en-US"/>
                    </w:rPr>
                    <w:t>mmPb</w:t>
                  </w:r>
                </w:p>
              </w:tc>
              <w:tc>
                <w:tcPr>
                  <w:tcW w:w="1192" w:type="dxa"/>
                  <w:tcBorders>
                    <w:tl2br w:val="nil"/>
                    <w:tr2bl w:val="nil"/>
                  </w:tcBorders>
                  <w:shd w:val="clear" w:color="auto" w:fill="auto"/>
                  <w:vAlign w:val="center"/>
                </w:tcPr>
                <w:p w14:paraId="36713133">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eastAsia="宋体" w:cs="Times New Roman"/>
                      <w:color w:val="auto"/>
                      <w:kern w:val="0"/>
                      <w:sz w:val="16"/>
                      <w:szCs w:val="15"/>
                      <w:highlight w:val="none"/>
                      <w:lang w:eastAsia="en-US"/>
                    </w:rPr>
                    <w:t>1</w:t>
                  </w:r>
                </w:p>
              </w:tc>
              <w:tc>
                <w:tcPr>
                  <w:tcW w:w="4016" w:type="dxa"/>
                  <w:tcBorders>
                    <w:tl2br w:val="nil"/>
                    <w:tr2bl w:val="nil"/>
                  </w:tcBorders>
                  <w:shd w:val="clear" w:color="auto" w:fill="auto"/>
                  <w:vAlign w:val="center"/>
                </w:tcPr>
                <w:p w14:paraId="66C229F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eastAsia="宋体" w:cs="Times New Roman"/>
                      <w:color w:val="auto"/>
                      <w:kern w:val="0"/>
                      <w:sz w:val="16"/>
                      <w:szCs w:val="15"/>
                      <w:highlight w:val="none"/>
                      <w:lang w:val="en-US" w:eastAsia="en-US"/>
                    </w:rPr>
                    <w:t>Y-90转运</w:t>
                  </w:r>
                </w:p>
              </w:tc>
              <w:tc>
                <w:tcPr>
                  <w:tcW w:w="871" w:type="dxa"/>
                  <w:tcBorders>
                    <w:tl2br w:val="nil"/>
                    <w:tr2bl w:val="nil"/>
                  </w:tcBorders>
                  <w:shd w:val="clear" w:color="auto" w:fill="auto"/>
                  <w:vAlign w:val="center"/>
                </w:tcPr>
                <w:p w14:paraId="7469D410">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zh-CN" w:bidi="ar-SA"/>
                    </w:rPr>
                  </w:pPr>
                  <w:r>
                    <w:rPr>
                      <w:rFonts w:hint="default" w:ascii="Times New Roman" w:hAnsi="Times New Roman" w:eastAsia="宋体" w:cs="Times New Roman"/>
                      <w:color w:val="auto"/>
                      <w:kern w:val="0"/>
                      <w:sz w:val="16"/>
                      <w:szCs w:val="15"/>
                      <w:highlight w:val="none"/>
                      <w:lang w:val="en-US" w:eastAsia="zh-CN"/>
                    </w:rPr>
                    <w:t>新增</w:t>
                  </w:r>
                </w:p>
              </w:tc>
            </w:tr>
            <w:tr w14:paraId="38983A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430" w:type="dxa"/>
                  <w:tcBorders>
                    <w:tl2br w:val="nil"/>
                    <w:tr2bl w:val="nil"/>
                  </w:tcBorders>
                  <w:shd w:val="clear" w:color="auto" w:fill="auto"/>
                  <w:vAlign w:val="center"/>
                </w:tcPr>
                <w:p w14:paraId="65B723A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eastAsia="宋体" w:cs="Times New Roman"/>
                      <w:color w:val="auto"/>
                      <w:kern w:val="0"/>
                      <w:sz w:val="16"/>
                      <w:szCs w:val="15"/>
                      <w:highlight w:val="none"/>
                      <w:lang w:val="en-US" w:eastAsia="zh-CN"/>
                    </w:rPr>
                    <w:t>26</w:t>
                  </w:r>
                </w:p>
              </w:tc>
              <w:tc>
                <w:tcPr>
                  <w:tcW w:w="1815" w:type="dxa"/>
                  <w:tcBorders>
                    <w:tl2br w:val="nil"/>
                    <w:tr2bl w:val="nil"/>
                  </w:tcBorders>
                  <w:shd w:val="clear" w:color="auto" w:fill="auto"/>
                  <w:vAlign w:val="center"/>
                </w:tcPr>
                <w:p w14:paraId="6DBD106B">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eastAsia="宋体" w:cs="Times New Roman"/>
                      <w:color w:val="auto"/>
                      <w:kern w:val="0"/>
                      <w:sz w:val="16"/>
                      <w:szCs w:val="15"/>
                      <w:highlight w:val="none"/>
                      <w:lang w:val="en-US" w:eastAsia="zh-CN"/>
                    </w:rPr>
                    <w:t>Y-90屏蔽输液箱</w:t>
                  </w:r>
                </w:p>
              </w:tc>
              <w:tc>
                <w:tcPr>
                  <w:tcW w:w="754" w:type="dxa"/>
                  <w:tcBorders>
                    <w:tl2br w:val="nil"/>
                    <w:tr2bl w:val="nil"/>
                  </w:tcBorders>
                  <w:shd w:val="clear" w:color="auto" w:fill="auto"/>
                  <w:vAlign w:val="center"/>
                </w:tcPr>
                <w:p w14:paraId="130E537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cs="Times New Roman"/>
                      <w:color w:val="auto"/>
                      <w:kern w:val="0"/>
                      <w:sz w:val="16"/>
                      <w:szCs w:val="15"/>
                      <w:highlight w:val="none"/>
                      <w:lang w:val="en-US" w:eastAsia="zh-CN"/>
                    </w:rPr>
                    <w:t>18</w:t>
                  </w:r>
                  <w:r>
                    <w:rPr>
                      <w:rFonts w:hint="default" w:ascii="Times New Roman" w:hAnsi="Times New Roman" w:eastAsia="宋体" w:cs="Times New Roman"/>
                      <w:color w:val="auto"/>
                      <w:kern w:val="0"/>
                      <w:sz w:val="16"/>
                      <w:szCs w:val="15"/>
                      <w:highlight w:val="none"/>
                      <w:lang w:val="en-US" w:eastAsia="zh-CN"/>
                    </w:rPr>
                    <w:t>mm有机玻璃</w:t>
                  </w:r>
                </w:p>
              </w:tc>
              <w:tc>
                <w:tcPr>
                  <w:tcW w:w="1192" w:type="dxa"/>
                  <w:tcBorders>
                    <w:tl2br w:val="nil"/>
                    <w:tr2bl w:val="nil"/>
                  </w:tcBorders>
                  <w:shd w:val="clear" w:color="auto" w:fill="auto"/>
                  <w:vAlign w:val="center"/>
                </w:tcPr>
                <w:p w14:paraId="7DADD148">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zh-CN" w:bidi="ar-SA"/>
                    </w:rPr>
                  </w:pPr>
                  <w:r>
                    <w:rPr>
                      <w:rFonts w:hint="default" w:ascii="Times New Roman" w:hAnsi="Times New Roman" w:eastAsia="宋体" w:cs="Times New Roman"/>
                      <w:color w:val="auto"/>
                      <w:kern w:val="0"/>
                      <w:sz w:val="16"/>
                      <w:szCs w:val="15"/>
                      <w:highlight w:val="none"/>
                      <w:lang w:val="en-US" w:eastAsia="zh-CN"/>
                    </w:rPr>
                    <w:t>1</w:t>
                  </w:r>
                </w:p>
              </w:tc>
              <w:tc>
                <w:tcPr>
                  <w:tcW w:w="4016" w:type="dxa"/>
                  <w:tcBorders>
                    <w:tl2br w:val="nil"/>
                    <w:tr2bl w:val="nil"/>
                  </w:tcBorders>
                  <w:shd w:val="clear" w:color="auto" w:fill="auto"/>
                  <w:vAlign w:val="center"/>
                </w:tcPr>
                <w:p w14:paraId="01A0E799">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zh-CN" w:bidi="ar-SA"/>
                    </w:rPr>
                  </w:pPr>
                  <w:r>
                    <w:rPr>
                      <w:rFonts w:hint="default" w:ascii="Times New Roman" w:hAnsi="Times New Roman" w:eastAsia="宋体" w:cs="Times New Roman"/>
                      <w:color w:val="auto"/>
                      <w:kern w:val="0"/>
                      <w:sz w:val="16"/>
                      <w:szCs w:val="15"/>
                      <w:highlight w:val="none"/>
                      <w:lang w:val="en-US" w:eastAsia="en-US"/>
                    </w:rPr>
                    <w:t>Y-90</w:t>
                  </w:r>
                  <w:r>
                    <w:rPr>
                      <w:rFonts w:hint="default" w:ascii="Times New Roman" w:hAnsi="Times New Roman" w:cs="Times New Roman"/>
                      <w:color w:val="auto"/>
                      <w:kern w:val="0"/>
                      <w:sz w:val="16"/>
                      <w:szCs w:val="15"/>
                      <w:highlight w:val="none"/>
                      <w:lang w:val="en-US" w:eastAsia="zh-CN"/>
                    </w:rPr>
                    <w:t>树脂微球</w:t>
                  </w:r>
                  <w:r>
                    <w:rPr>
                      <w:rFonts w:hint="default" w:ascii="Times New Roman" w:hAnsi="Times New Roman" w:eastAsia="宋体" w:cs="Times New Roman"/>
                      <w:color w:val="auto"/>
                      <w:kern w:val="0"/>
                      <w:sz w:val="16"/>
                      <w:szCs w:val="15"/>
                      <w:highlight w:val="none"/>
                      <w:lang w:val="en-US" w:eastAsia="zh-CN"/>
                    </w:rPr>
                    <w:t>介入</w:t>
                  </w:r>
                  <w:r>
                    <w:rPr>
                      <w:rFonts w:hint="default" w:ascii="Times New Roman" w:hAnsi="Times New Roman" w:cs="Times New Roman"/>
                      <w:color w:val="auto"/>
                      <w:kern w:val="0"/>
                      <w:sz w:val="16"/>
                      <w:szCs w:val="15"/>
                      <w:highlight w:val="none"/>
                      <w:lang w:val="en-US" w:eastAsia="zh-CN"/>
                    </w:rPr>
                    <w:t>手术</w:t>
                  </w:r>
                </w:p>
              </w:tc>
              <w:tc>
                <w:tcPr>
                  <w:tcW w:w="871" w:type="dxa"/>
                  <w:tcBorders>
                    <w:tl2br w:val="nil"/>
                    <w:tr2bl w:val="nil"/>
                  </w:tcBorders>
                  <w:shd w:val="clear" w:color="auto" w:fill="auto"/>
                  <w:vAlign w:val="center"/>
                </w:tcPr>
                <w:p w14:paraId="1946CA9F">
                  <w:pPr>
                    <w:keepNext w:val="0"/>
                    <w:keepLines w:val="0"/>
                    <w:suppressLineNumbers w:val="0"/>
                    <w:autoSpaceDE w:val="0"/>
                    <w:autoSpaceDN w:val="0"/>
                    <w:bidi w:val="0"/>
                    <w:spacing w:before="0" w:beforeAutospacing="0" w:after="0" w:afterAutospacing="0"/>
                    <w:ind w:left="0" w:leftChars="0" w:right="0" w:rightChars="0" w:firstLine="0" w:firstLineChars="0"/>
                    <w:jc w:val="center"/>
                    <w:rPr>
                      <w:rFonts w:hint="default" w:ascii="Times New Roman" w:hAnsi="Times New Roman" w:eastAsia="宋体" w:cs="Times New Roman"/>
                      <w:color w:val="auto"/>
                      <w:kern w:val="0"/>
                      <w:sz w:val="16"/>
                      <w:szCs w:val="15"/>
                      <w:highlight w:val="none"/>
                      <w:lang w:val="en-US" w:eastAsia="en-US" w:bidi="ar-SA"/>
                    </w:rPr>
                  </w:pPr>
                  <w:r>
                    <w:rPr>
                      <w:rFonts w:hint="default" w:ascii="Times New Roman" w:hAnsi="Times New Roman" w:eastAsia="宋体" w:cs="Times New Roman"/>
                      <w:color w:val="auto"/>
                      <w:kern w:val="0"/>
                      <w:sz w:val="16"/>
                      <w:szCs w:val="15"/>
                      <w:highlight w:val="none"/>
                      <w:lang w:val="en-US" w:eastAsia="en-US"/>
                    </w:rPr>
                    <w:t>新增</w:t>
                  </w:r>
                </w:p>
              </w:tc>
            </w:tr>
          </w:tbl>
          <w:p w14:paraId="3522C053">
            <w:pPr>
              <w:keepNext w:val="0"/>
              <w:keepLines w:val="0"/>
              <w:suppressLineNumbers w:val="0"/>
              <w:autoSpaceDE w:val="0"/>
              <w:autoSpaceDN w:val="0"/>
              <w:bidi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6"/>
                <w:highlight w:val="none"/>
              </w:rPr>
            </w:pPr>
          </w:p>
          <w:p w14:paraId="07906ABA">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Cs w:val="24"/>
                <w:highlight w:val="none"/>
              </w:rPr>
            </w:pPr>
            <w:r>
              <w:rPr>
                <w:rFonts w:hint="default" w:ascii="Times New Roman" w:hAnsi="Times New Roman" w:eastAsia="宋体" w:cs="Times New Roman"/>
                <w:b w:val="0"/>
                <w:bCs w:val="0"/>
                <w:color w:val="auto"/>
                <w:szCs w:val="24"/>
                <w:highlight w:val="none"/>
              </w:rPr>
              <w:t>（5）放射性药物的存放控制措施</w:t>
            </w:r>
          </w:p>
          <w:p w14:paraId="72AC0B7A">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val="en-US" w:eastAsia="zh-CN"/>
              </w:rPr>
            </w:pPr>
            <w:r>
              <w:rPr>
                <w:rFonts w:hint="default" w:ascii="Times New Roman" w:hAnsi="Times New Roman" w:eastAsia="宋体" w:cs="Times New Roman"/>
                <w:b w:val="0"/>
                <w:bCs w:val="0"/>
                <w:color w:val="auto"/>
                <w:szCs w:val="24"/>
                <w:highlight w:val="none"/>
              </w:rPr>
              <w:t>本项目</w:t>
            </w:r>
            <w:r>
              <w:rPr>
                <w:rFonts w:hint="eastAsia" w:ascii="Times New Roman" w:hAnsi="Times New Roman" w:cs="Times New Roman"/>
                <w:b w:val="0"/>
                <w:bCs w:val="0"/>
                <w:color w:val="auto"/>
                <w:szCs w:val="24"/>
                <w:highlight w:val="none"/>
                <w:lang w:val="en-US" w:eastAsia="zh-CN"/>
              </w:rPr>
              <w:t>核医学楼</w:t>
            </w:r>
            <w:r>
              <w:rPr>
                <w:rFonts w:hint="default" w:ascii="Times New Roman" w:hAnsi="Times New Roman" w:eastAsia="宋体" w:cs="Times New Roman"/>
                <w:b w:val="0"/>
                <w:bCs w:val="0"/>
                <w:color w:val="auto"/>
                <w:szCs w:val="24"/>
                <w:highlight w:val="none"/>
              </w:rPr>
              <w:t>使用的</w:t>
            </w:r>
            <w:r>
              <w:rPr>
                <w:rFonts w:hint="default" w:ascii="Times New Roman" w:hAnsi="Times New Roman" w:cs="Times New Roman"/>
                <w:b w:val="0"/>
                <w:bCs w:val="0"/>
                <w:color w:val="auto"/>
                <w:szCs w:val="24"/>
                <w:highlight w:val="none"/>
                <w:lang w:val="en-US" w:eastAsia="zh-CN"/>
              </w:rPr>
              <w:t>正电子药物</w:t>
            </w:r>
            <w:r>
              <w:rPr>
                <w:rFonts w:hint="default" w:ascii="Times New Roman" w:hAnsi="Times New Roman" w:cs="Times New Roman"/>
                <w:b w:val="0"/>
                <w:bCs w:val="0"/>
                <w:color w:val="auto"/>
                <w:szCs w:val="24"/>
                <w:highlight w:val="none"/>
                <w:vertAlign w:val="baseline"/>
                <w:lang w:val="en-US" w:eastAsia="zh-CN"/>
              </w:rPr>
              <w:t>F-18</w:t>
            </w:r>
            <w:r>
              <w:rPr>
                <w:rFonts w:hint="default" w:ascii="Times New Roman" w:hAnsi="Times New Roman" w:cs="Times New Roman"/>
                <w:b w:val="0"/>
                <w:bCs w:val="0"/>
                <w:color w:val="auto"/>
                <w:szCs w:val="24"/>
                <w:highlight w:val="none"/>
                <w:lang w:val="en-US" w:eastAsia="zh-CN"/>
              </w:rPr>
              <w:t>、Ga-68、C-11、N-13为医院自行生产，</w:t>
            </w:r>
          </w:p>
          <w:p w14:paraId="5E113A11">
            <w:pPr>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b w:val="0"/>
                <w:bCs w:val="0"/>
                <w:color w:val="auto"/>
                <w:szCs w:val="24"/>
                <w:highlight w:val="none"/>
                <w:lang w:val="en-US" w:eastAsia="zh-CN"/>
              </w:rPr>
            </w:pPr>
            <w:r>
              <w:rPr>
                <w:rFonts w:hint="default" w:ascii="Times New Roman" w:hAnsi="Times New Roman" w:cs="Times New Roman"/>
                <w:b w:val="0"/>
                <w:bCs w:val="0"/>
                <w:color w:val="auto"/>
                <w:szCs w:val="24"/>
                <w:highlight w:val="none"/>
                <w:lang w:val="en-US" w:eastAsia="zh-CN"/>
              </w:rPr>
              <w:t>单光子药物</w:t>
            </w:r>
            <w:r>
              <w:rPr>
                <w:rFonts w:hint="default" w:ascii="Times New Roman" w:hAnsi="Times New Roman" w:eastAsia="宋体" w:cs="Times New Roman"/>
                <w:b w:val="0"/>
                <w:bCs w:val="0"/>
                <w:color w:val="auto"/>
                <w:szCs w:val="24"/>
                <w:highlight w:val="none"/>
              </w:rPr>
              <w:t>Tc-99m</w:t>
            </w:r>
            <w:r>
              <w:rPr>
                <w:rFonts w:hint="default" w:ascii="Times New Roman" w:hAnsi="Times New Roman" w:cs="Times New Roman"/>
                <w:b w:val="0"/>
                <w:bCs w:val="0"/>
                <w:color w:val="auto"/>
                <w:szCs w:val="24"/>
                <w:highlight w:val="none"/>
                <w:lang w:val="en-US" w:eastAsia="zh-CN"/>
              </w:rPr>
              <w:t>在单光子药物生产车间淋洗、分装而成。</w:t>
            </w:r>
            <w:r>
              <w:rPr>
                <w:rFonts w:hint="default" w:ascii="Times New Roman" w:hAnsi="Times New Roman" w:eastAsia="宋体" w:cs="Times New Roman"/>
                <w:b w:val="0"/>
                <w:bCs w:val="0"/>
                <w:color w:val="auto"/>
                <w:szCs w:val="24"/>
                <w:highlight w:val="none"/>
              </w:rPr>
              <w:t>生产完毕</w:t>
            </w:r>
            <w:r>
              <w:rPr>
                <w:rFonts w:hint="default" w:ascii="Times New Roman" w:hAnsi="Times New Roman" w:cs="Times New Roman"/>
                <w:b w:val="0"/>
                <w:bCs w:val="0"/>
                <w:color w:val="auto"/>
                <w:szCs w:val="24"/>
                <w:highlight w:val="none"/>
                <w:lang w:eastAsia="zh-CN"/>
              </w:rPr>
              <w:t>通过药物电梯送至各使用场所；</w:t>
            </w:r>
            <w:r>
              <w:rPr>
                <w:rFonts w:hint="default" w:ascii="Times New Roman" w:hAnsi="Times New Roman" w:cs="Times New Roman"/>
                <w:b w:val="0"/>
                <w:bCs w:val="0"/>
                <w:color w:val="auto"/>
                <w:szCs w:val="24"/>
                <w:highlight w:val="none"/>
                <w:vertAlign w:val="baseline"/>
                <w:lang w:val="en-US" w:eastAsia="zh-CN"/>
              </w:rPr>
              <w:t>I-131</w:t>
            </w:r>
            <w:r>
              <w:rPr>
                <w:rFonts w:hint="eastAsia" w:cs="Times New Roman"/>
                <w:b w:val="0"/>
                <w:bCs w:val="0"/>
                <w:color w:val="auto"/>
                <w:szCs w:val="24"/>
                <w:highlight w:val="none"/>
                <w:lang w:val="en-US" w:eastAsia="zh-CN"/>
              </w:rPr>
              <w:t>液体</w:t>
            </w:r>
            <w:r>
              <w:rPr>
                <w:rFonts w:hint="default" w:ascii="Times New Roman" w:hAnsi="Times New Roman" w:cs="Times New Roman"/>
                <w:b w:val="0"/>
                <w:bCs w:val="0"/>
                <w:color w:val="auto"/>
                <w:szCs w:val="24"/>
                <w:highlight w:val="none"/>
                <w:lang w:val="en-US" w:eastAsia="zh-CN"/>
              </w:rPr>
              <w:t>购买成品</w:t>
            </w:r>
            <w:r>
              <w:rPr>
                <w:rFonts w:hint="eastAsia" w:cs="Times New Roman"/>
                <w:b w:val="0"/>
                <w:bCs w:val="0"/>
                <w:color w:val="auto"/>
                <w:szCs w:val="24"/>
                <w:highlight w:val="none"/>
                <w:lang w:val="en-US" w:eastAsia="zh-CN"/>
              </w:rPr>
              <w:t>，</w:t>
            </w:r>
            <w:r>
              <w:rPr>
                <w:rFonts w:hint="default" w:ascii="Times New Roman" w:hAnsi="Times New Roman" w:cs="Times New Roman"/>
                <w:b w:val="0"/>
                <w:bCs w:val="0"/>
                <w:color w:val="auto"/>
                <w:szCs w:val="24"/>
                <w:highlight w:val="none"/>
                <w:vertAlign w:val="baseline"/>
                <w:lang w:val="en-US" w:eastAsia="zh-CN"/>
              </w:rPr>
              <w:t>I-131</w:t>
            </w:r>
            <w:r>
              <w:rPr>
                <w:rFonts w:hint="default" w:ascii="Times New Roman" w:hAnsi="Times New Roman" w:cs="Times New Roman"/>
                <w:b w:val="0"/>
                <w:bCs w:val="0"/>
                <w:color w:val="auto"/>
                <w:szCs w:val="24"/>
                <w:highlight w:val="none"/>
                <w:lang w:val="en-US" w:eastAsia="zh-CN"/>
              </w:rPr>
              <w:t>胶囊购买成品无需分装测活，</w:t>
            </w:r>
            <w:r>
              <w:rPr>
                <w:rFonts w:hint="default" w:ascii="Times New Roman" w:hAnsi="Times New Roman" w:cs="Times New Roman"/>
                <w:b w:val="0"/>
                <w:bCs w:val="0"/>
                <w:color w:val="auto"/>
                <w:szCs w:val="24"/>
                <w:highlight w:val="none"/>
                <w:vertAlign w:val="baseline"/>
                <w:lang w:val="en-US" w:eastAsia="zh-CN"/>
              </w:rPr>
              <w:t>I-131</w:t>
            </w:r>
            <w:r>
              <w:rPr>
                <w:rFonts w:hint="default" w:ascii="Times New Roman" w:hAnsi="Times New Roman" w:cs="Times New Roman"/>
                <w:b w:val="0"/>
                <w:bCs w:val="0"/>
                <w:color w:val="auto"/>
                <w:szCs w:val="24"/>
                <w:highlight w:val="none"/>
                <w:lang w:val="en-US" w:eastAsia="zh-CN"/>
              </w:rPr>
              <w:t>液体</w:t>
            </w:r>
            <w:r>
              <w:rPr>
                <w:rFonts w:hint="eastAsia" w:cs="Times New Roman"/>
                <w:b w:val="0"/>
                <w:bCs w:val="0"/>
                <w:color w:val="auto"/>
                <w:szCs w:val="24"/>
                <w:highlight w:val="none"/>
                <w:lang w:val="en-US" w:eastAsia="zh-CN"/>
              </w:rPr>
              <w:t>、</w:t>
            </w:r>
            <w:r>
              <w:rPr>
                <w:rFonts w:hint="default" w:ascii="Times New Roman" w:hAnsi="Times New Roman" w:cs="Times New Roman"/>
                <w:b w:val="0"/>
                <w:bCs w:val="0"/>
                <w:color w:val="auto"/>
                <w:szCs w:val="24"/>
                <w:highlight w:val="none"/>
                <w:lang w:val="en-US" w:eastAsia="zh-CN"/>
              </w:rPr>
              <w:t>I</w:t>
            </w:r>
            <w:r>
              <w:rPr>
                <w:rFonts w:hint="default" w:ascii="Times New Roman" w:hAnsi="Times New Roman" w:cs="Times New Roman"/>
                <w:b w:val="0"/>
                <w:bCs w:val="0"/>
                <w:color w:val="auto"/>
                <w:szCs w:val="24"/>
                <w:highlight w:val="none"/>
                <w:lang w:val="en-US" w:eastAsia="zh-CN"/>
              </w:rPr>
              <w:noBreakHyphen/>
            </w:r>
            <w:r>
              <w:rPr>
                <w:rFonts w:hint="default" w:ascii="Times New Roman" w:hAnsi="Times New Roman" w:cs="Times New Roman"/>
                <w:b w:val="0"/>
                <w:bCs w:val="0"/>
                <w:color w:val="auto"/>
                <w:szCs w:val="24"/>
                <w:highlight w:val="none"/>
                <w:lang w:val="en-US" w:eastAsia="zh-CN"/>
              </w:rPr>
              <w:t>131 胶囊、Lu</w:t>
            </w:r>
            <w:r>
              <w:rPr>
                <w:rFonts w:hint="default" w:ascii="Times New Roman" w:hAnsi="Times New Roman" w:cs="Times New Roman"/>
                <w:b w:val="0"/>
                <w:bCs w:val="0"/>
                <w:color w:val="auto"/>
                <w:szCs w:val="24"/>
                <w:highlight w:val="none"/>
                <w:lang w:val="en-US" w:eastAsia="zh-CN"/>
              </w:rPr>
              <w:noBreakHyphen/>
            </w:r>
            <w:r>
              <w:rPr>
                <w:rFonts w:hint="default" w:ascii="Times New Roman" w:hAnsi="Times New Roman" w:cs="Times New Roman"/>
                <w:b w:val="0"/>
                <w:bCs w:val="0"/>
                <w:color w:val="auto"/>
                <w:szCs w:val="24"/>
                <w:highlight w:val="none"/>
                <w:lang w:val="en-US" w:eastAsia="zh-CN"/>
              </w:rPr>
              <w:t>177、Ra</w:t>
            </w:r>
            <w:r>
              <w:rPr>
                <w:rFonts w:hint="default" w:ascii="Times New Roman" w:hAnsi="Times New Roman" w:cs="Times New Roman"/>
                <w:b w:val="0"/>
                <w:bCs w:val="0"/>
                <w:color w:val="auto"/>
                <w:szCs w:val="24"/>
                <w:highlight w:val="none"/>
                <w:lang w:val="en-US" w:eastAsia="zh-CN"/>
              </w:rPr>
              <w:noBreakHyphen/>
            </w:r>
            <w:r>
              <w:rPr>
                <w:rFonts w:hint="default" w:ascii="Times New Roman" w:hAnsi="Times New Roman" w:cs="Times New Roman"/>
                <w:b w:val="0"/>
                <w:bCs w:val="0"/>
                <w:color w:val="auto"/>
                <w:szCs w:val="24"/>
                <w:highlight w:val="none"/>
                <w:lang w:val="en-US" w:eastAsia="zh-CN"/>
              </w:rPr>
              <w:t>223、Ac</w:t>
            </w:r>
            <w:r>
              <w:rPr>
                <w:rFonts w:hint="default" w:ascii="Times New Roman" w:hAnsi="Times New Roman" w:cs="Times New Roman"/>
                <w:b w:val="0"/>
                <w:bCs w:val="0"/>
                <w:color w:val="auto"/>
                <w:szCs w:val="24"/>
                <w:highlight w:val="none"/>
                <w:lang w:val="en-US" w:eastAsia="zh-CN"/>
              </w:rPr>
              <w:noBreakHyphen/>
            </w:r>
            <w:r>
              <w:rPr>
                <w:rFonts w:hint="default" w:ascii="Times New Roman" w:hAnsi="Times New Roman" w:cs="Times New Roman"/>
                <w:b w:val="0"/>
                <w:bCs w:val="0"/>
                <w:color w:val="auto"/>
                <w:szCs w:val="24"/>
                <w:highlight w:val="none"/>
                <w:lang w:val="en-US" w:eastAsia="zh-CN"/>
              </w:rPr>
              <w:t>225、Y</w:t>
            </w:r>
            <w:r>
              <w:rPr>
                <w:rFonts w:hint="default" w:ascii="Times New Roman" w:hAnsi="Times New Roman" w:cs="Times New Roman"/>
                <w:b w:val="0"/>
                <w:bCs w:val="0"/>
                <w:color w:val="auto"/>
                <w:szCs w:val="24"/>
                <w:highlight w:val="none"/>
                <w:lang w:val="en-US" w:eastAsia="zh-CN"/>
              </w:rPr>
              <w:noBreakHyphen/>
            </w:r>
            <w:r>
              <w:rPr>
                <w:rFonts w:hint="default" w:ascii="Times New Roman" w:hAnsi="Times New Roman" w:cs="Times New Roman"/>
                <w:b w:val="0"/>
                <w:bCs w:val="0"/>
                <w:color w:val="auto"/>
                <w:szCs w:val="24"/>
                <w:highlight w:val="none"/>
                <w:lang w:val="en-US" w:eastAsia="zh-CN"/>
              </w:rPr>
              <w:t>90放射性药物使用须提前一日向供药单位预约采购；供药单位按约定时间配送预约量药物至</w:t>
            </w:r>
            <w:r>
              <w:rPr>
                <w:rFonts w:hint="eastAsia" w:ascii="Times New Roman" w:hAnsi="Times New Roman" w:cs="Times New Roman"/>
                <w:b w:val="0"/>
                <w:bCs w:val="0"/>
                <w:color w:val="auto"/>
                <w:szCs w:val="24"/>
                <w:highlight w:val="none"/>
                <w:lang w:val="en-US" w:eastAsia="zh-CN"/>
              </w:rPr>
              <w:t>核医学楼</w:t>
            </w:r>
            <w:r>
              <w:rPr>
                <w:rFonts w:hint="default" w:ascii="Times New Roman" w:hAnsi="Times New Roman" w:cs="Times New Roman"/>
                <w:b w:val="0"/>
                <w:bCs w:val="0"/>
                <w:color w:val="auto"/>
                <w:szCs w:val="24"/>
                <w:highlight w:val="none"/>
                <w:lang w:val="en-US" w:eastAsia="zh-CN"/>
              </w:rPr>
              <w:t>。由</w:t>
            </w:r>
            <w:r>
              <w:rPr>
                <w:rFonts w:hint="eastAsia" w:ascii="Times New Roman" w:hAnsi="Times New Roman" w:cs="Times New Roman"/>
                <w:b w:val="0"/>
                <w:bCs w:val="0"/>
                <w:color w:val="auto"/>
                <w:szCs w:val="24"/>
                <w:highlight w:val="none"/>
                <w:lang w:val="en-US" w:eastAsia="zh-CN"/>
              </w:rPr>
              <w:t>核医学楼</w:t>
            </w:r>
            <w:r>
              <w:rPr>
                <w:rFonts w:hint="default" w:ascii="Times New Roman" w:hAnsi="Times New Roman" w:cs="Times New Roman"/>
                <w:b w:val="0"/>
                <w:bCs w:val="0"/>
                <w:color w:val="auto"/>
                <w:szCs w:val="24"/>
                <w:highlight w:val="none"/>
                <w:lang w:val="en-US" w:eastAsia="zh-CN"/>
              </w:rPr>
              <w:t>专人接收放射性核素，逐项核验确认，完成交接，随后存放至储源室暂存。</w:t>
            </w:r>
          </w:p>
          <w:p w14:paraId="39451600">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本项目已取得相关核素使用许可。建设单位配置专（兼）职人员负责放射性药物管理工作，建立健全放射性物质保管、领用、注销登记及定期检查管理制度；设立放射性药物专项台账，包含交收台账、库存台账、消耗台账等，强化放射性药物全流程管控，严防放射性物质丢失。存放放射性物质的容器应便于启闭，容器外部张贴清晰醒目的标识标签，注明核素名称、理化状态、射线类型、活度水平等信息。</w:t>
            </w:r>
          </w:p>
          <w:p w14:paraId="66F74FF2">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放射性药物贮存场所布设专用、可靠的防火、防盗等安全防护设施；项目实施后，各类放射相关用品均能够得到规范、妥善的安全存放管理。</w:t>
            </w:r>
          </w:p>
          <w:p w14:paraId="753E3764">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（6）表面污染控制措施</w:t>
            </w:r>
          </w:p>
          <w:p w14:paraId="3E2F1EEB">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为保证非密封源工作场所的表面污染水平达到《电离辐射防护源安全基本标准》 （GB18871-2002）中规定的标准，环评提出以下管理措施和要求：</w:t>
            </w:r>
          </w:p>
          <w:p w14:paraId="4BA16EB4">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2  放射性药物应当有良好的外包装，送入后要妥善储存及转移，防止意外撒漏；</w:t>
            </w:r>
          </w:p>
          <w:p w14:paraId="540B5742">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②操作放射性药物时，须在有负压的手套箱内进行，防止放射性物质撒漏；</w:t>
            </w:r>
          </w:p>
          <w:p w14:paraId="32A5FE41">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③放射性药物操作人员应当定期参加相关专业培训，具备相应的技能与防护知识，并配备有适当的防护用品。</w:t>
            </w:r>
          </w:p>
          <w:p w14:paraId="27C856ED">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④操作台、地面应当选用易于清污的材料或材质，并且每次操作完成后应当使用表面污染监测仪器对操作台、地面、个人防护用品等进行表面污染监测，并购买放射性表面去污用品和试剂进行去污，以满足《电离辐射防护源安全基本标准》（GB18871-2002）中规定的标准值。</w:t>
            </w:r>
          </w:p>
          <w:p w14:paraId="4410591F">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（7）人员防护措施</w:t>
            </w:r>
          </w:p>
          <w:p w14:paraId="40172CA8">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①辐射工作人员的防护</w:t>
            </w:r>
          </w:p>
          <w:p w14:paraId="55786603">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在实际工作中，为了减少辐射工作人员所受到的照射剂量，普遍采用屏蔽防护、时间防护和距离防护。</w:t>
            </w:r>
          </w:p>
          <w:p w14:paraId="5FA23602">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屏蔽防护：通过场所的有效实体屏蔽辐射源产生的辐射危害；为核素操作人员配备铅防护手套、铅衣等个人防护用品，注射器配备注射防护套和注射器防护提盒。</w:t>
            </w:r>
          </w:p>
          <w:p w14:paraId="481C0B3E">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时间防护：在满足工作质量的前提下，尽量减少扫描时间，使照射时间最小化。</w:t>
            </w:r>
          </w:p>
          <w:p w14:paraId="17C3543E">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距离防护：在不影响工作质量的前提下，保持与辐射源尽可能大的距离，使距离最大化。</w:t>
            </w:r>
          </w:p>
          <w:p w14:paraId="1BA37356">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②其他人员防护</w:t>
            </w:r>
          </w:p>
          <w:p w14:paraId="5364BEC1">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屏蔽防护：辐射工作场所外围环境中的其他人员主要依托辐射场所墙体、顶棚、门、窗等实体进行屏蔽防护。</w:t>
            </w:r>
          </w:p>
          <w:p w14:paraId="2EA17ACD">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时间防护：设置明显的警示措施，提示其他人员尽可能减少在辐射工作场所周围的停留时间。</w:t>
            </w:r>
          </w:p>
          <w:p w14:paraId="4A254298">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距离防护：设置必要的防护、隔离、警示措施，尽可能增大人员与辐射场所之间的防护距离。</w:t>
            </w:r>
          </w:p>
          <w:p w14:paraId="552211CA">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（8）操作过程中的防护措施</w:t>
            </w:r>
          </w:p>
          <w:p w14:paraId="119CF411">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工作人员在进行放射性药品分装、测活、注射操作时首先做好个人防护，包括穿戴铅衣，铅眼镜、铅手套、口罩、工作帽、放射性防护服等。分装时，通过自动分装装置将定量的药物移至注射器，将其置于注射器防护提盒内后，经测量核定药物活度后转移给病人注射。分药时药品、铅罐均放置在垫有滤纸的瓷盘内进行，以防止放射性药液洒漏造成操作台污染。手套箱底部设有废物铅桶，用于暂时收集放射性废物。注射时注射器外还配有注射器铅防护套，注射操作台拟采用铅玻璃防护，并在注射位设置铅挡板。注射操作时，医生（采取相应防护措施）与病人及药物分别位于铅玻璃的两侧，病人注射后进入注射后候诊室候诊。</w:t>
            </w:r>
          </w:p>
          <w:p w14:paraId="08847CBA">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（9）对服药和注射后病人防护措施</w:t>
            </w:r>
          </w:p>
          <w:p w14:paraId="3A89A67A">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首先告知病人及家属辐射可能带来的危害性，患者要与陪护人员实行隔离，陪护人员不允许在候诊室内驻留，医院需要划定专门的陪护人员等候区并尽量远离非密封源工作场所，同时要求患者在注射后在注射后候诊室静候，禁止随意走动，呕吐物和排泄物要排入注射后候诊室内专用厕所，最终排入衰变池组。</w:t>
            </w:r>
          </w:p>
          <w:p w14:paraId="523830D1">
            <w:pPr>
              <w:pStyle w:val="12"/>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b w:val="0"/>
                <w:bCs w:val="0"/>
                <w:color w:val="auto"/>
                <w:szCs w:val="24"/>
                <w:highlight w:val="none"/>
                <w:lang w:eastAsia="zh-CN"/>
              </w:rPr>
            </w:pPr>
            <w:r>
              <w:rPr>
                <w:rFonts w:hint="default" w:ascii="Times New Roman" w:hAnsi="Times New Roman" w:cs="Times New Roman"/>
                <w:b w:val="0"/>
                <w:bCs w:val="0"/>
                <w:color w:val="auto"/>
                <w:szCs w:val="24"/>
                <w:highlight w:val="none"/>
                <w:lang w:eastAsia="zh-CN"/>
              </w:rPr>
              <w:t>甲癌治疗患者在给药室口服药物后到指定病房住院治疗，住院期间不应随意走动，并在病房内专用厕所如厕。住院结束后在病人出口处测量体内放射性活度低于400MBq（体表外1m出剂量率小于25μSv/h）方可由患者专用出口出院。甲癌治疗患者通道入口防护门和出口防护门均带门禁系统的单向门，实现“入口患者只入不出、出口患者只出不入”，保证控制区内受检者的单向流动，避免无关人员进入控制区。病人离院时医院应给出书面指导，限制与儿童或孕妇密切接触，避免与他人长时间接触，近期避免到公共场所活动。</w:t>
            </w:r>
          </w:p>
          <w:p w14:paraId="3E923974">
            <w:pPr>
              <w:pStyle w:val="12"/>
              <w:keepNext w:val="0"/>
              <w:keepLines w:val="0"/>
              <w:suppressLineNumbers w:val="0"/>
              <w:bidi w:val="0"/>
              <w:spacing w:before="0" w:beforeAutospacing="0" w:after="0" w:afterAutospacing="0" w:line="360" w:lineRule="auto"/>
              <w:ind w:left="0" w:right="0" w:firstLine="482" w:firstLineChars="200"/>
              <w:jc w:val="both"/>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10.2</w:t>
            </w:r>
            <w:r>
              <w:rPr>
                <w:rFonts w:hint="default" w:ascii="Times New Roman" w:hAnsi="Times New Roman" w:eastAsia="宋体" w:cs="Times New Roman"/>
                <w:b/>
                <w:bCs/>
                <w:color w:val="auto"/>
                <w:highlight w:val="none"/>
                <w:lang w:eastAsia="zh-CN"/>
              </w:rPr>
              <w:t>三废的治理</w:t>
            </w:r>
            <w:r>
              <w:rPr>
                <w:rFonts w:hint="default" w:ascii="Times New Roman" w:hAnsi="Times New Roman" w:cs="Times New Roman"/>
                <w:b/>
                <w:bCs/>
                <w:color w:val="auto"/>
                <w:highlight w:val="none"/>
                <w:lang w:val="en-US" w:eastAsia="zh-CN"/>
              </w:rPr>
              <w:t xml:space="preserve">  </w:t>
            </w:r>
          </w:p>
          <w:p w14:paraId="14900A56">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2" w:firstLineChars="200"/>
              <w:jc w:val="both"/>
              <w:textAlignment w:val="auto"/>
              <w:rPr>
                <w:rFonts w:hint="default" w:ascii="Times New Roman" w:hAnsi="Times New Roman" w:eastAsia="宋体" w:cs="Times New Roman"/>
                <w:b/>
                <w:bCs/>
                <w:color w:val="auto"/>
                <w:szCs w:val="32"/>
                <w:highlight w:val="none"/>
                <w:lang w:eastAsia="zh-CN"/>
              </w:rPr>
            </w:pPr>
            <w:r>
              <w:rPr>
                <w:rFonts w:hint="default" w:ascii="Times New Roman" w:hAnsi="Times New Roman" w:eastAsia="宋体" w:cs="Times New Roman"/>
                <w:b/>
                <w:bCs/>
                <w:color w:val="auto"/>
                <w:szCs w:val="32"/>
                <w:highlight w:val="none"/>
                <w:lang w:eastAsia="zh-CN"/>
              </w:rPr>
              <w:t>（1）</w:t>
            </w:r>
            <w:r>
              <w:rPr>
                <w:rFonts w:hint="default" w:ascii="Times New Roman" w:hAnsi="Times New Roman" w:cs="Times New Roman"/>
                <w:b/>
                <w:bCs/>
                <w:color w:val="auto"/>
                <w:szCs w:val="32"/>
                <w:highlight w:val="none"/>
                <w:lang w:val="en-US" w:eastAsia="zh-CN"/>
              </w:rPr>
              <w:t>放射性</w:t>
            </w:r>
            <w:r>
              <w:rPr>
                <w:rFonts w:hint="default" w:ascii="Times New Roman" w:hAnsi="Times New Roman" w:eastAsia="宋体" w:cs="Times New Roman"/>
                <w:b/>
                <w:bCs/>
                <w:color w:val="auto"/>
                <w:szCs w:val="32"/>
                <w:highlight w:val="none"/>
                <w:lang w:eastAsia="zh-CN"/>
              </w:rPr>
              <w:t>废气</w:t>
            </w:r>
          </w:p>
          <w:p w14:paraId="0BF76966">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负一层单光子药物生产车间、正电子药物生产车间均各使用排风系统，其中回旋加速器室使用独立的1套排风系统，分装热室及合成热室使用独立的1套排风系统。单光子药物生产车间使用独立的1套排风系统，质控室使用独立的1套排风系统；放射性原料库和放射性废物库共同使用1套排风系统。项目放射性废气走向图</w:t>
            </w:r>
            <w:r>
              <w:rPr>
                <w:rFonts w:hint="eastAsia" w:cs="Times New Roman"/>
                <w:color w:val="auto"/>
                <w:highlight w:val="none"/>
                <w:lang w:val="en-US" w:eastAsia="zh-CN"/>
              </w:rPr>
              <w:t>见附图4。</w:t>
            </w:r>
          </w:p>
          <w:p w14:paraId="7C41A9BA">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本项目一层SPECT诊断区共设置4间SPECT/CT机房。每2间SPECT/CT机房与其配套的休息室、留观室、放废库共同使用1套排风系统；2间注射室共同使用1套排风系统。</w:t>
            </w:r>
          </w:p>
          <w:p w14:paraId="33ABC475">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本项目二层PET诊断区共设置2间PET/CT机房。每1间PET/CT机房与其配套的休息室、留观室共同使用1套排风系统；2间注射室、放废库共同使用1套排风系统。</w:t>
            </w:r>
          </w:p>
          <w:p w14:paraId="0DD83D13">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本项目三层核素治疗区共设置2套排风系统，其中核素病房使用1套排风系统，分碘、注射室、放废库共同使用1套排风系统。</w:t>
            </w:r>
          </w:p>
          <w:p w14:paraId="6B4A537D">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各排风管道安装独立机械排风装置，各通风柜内风速不小于0.5m/s，排风口安装大功率排风机。每路排风管道进入风井前均拟设置止回阀，各直管均设置防倒灌装置，避免废气倒灌和泄露。通风气流设计为非放射性区域气压＞监督区气压＞控制区气压。最终各股气流统一汇入放射性排放废气风井后，经风井内排风管道排至核医学大楼楼顶，现有排风管道已远离了周围高层建筑，排风口设置活性炭吸附过滤，设有防鸟、防虫、防雨措施，且与普通通风管道分开设计，通风满足《核医学辐射防护与安全要求》(HJ1188-2021)以及《放射诊断放射防护要求》（GBZ130-2020）的要求。</w:t>
            </w:r>
          </w:p>
          <w:p w14:paraId="64C468DF">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综合楼一层介入2室设有动力通风</w:t>
            </w:r>
            <w:r>
              <w:rPr>
                <w:rFonts w:hint="eastAsia" w:cs="Times New Roman"/>
                <w:color w:val="auto"/>
                <w:highlight w:val="none"/>
                <w:lang w:val="en-US" w:eastAsia="zh-CN"/>
              </w:rPr>
              <w:t>装置，</w:t>
            </w:r>
            <w:r>
              <w:rPr>
                <w:rFonts w:hint="default" w:ascii="Times New Roman" w:hAnsi="Times New Roman" w:cs="Times New Roman"/>
                <w:color w:val="auto"/>
                <w:highlight w:val="none"/>
                <w:lang w:val="en-US" w:eastAsia="zh-CN"/>
              </w:rPr>
              <w:t>在手术室内经介入植入患者体内不挥发，无需单独设置通风系统。</w:t>
            </w:r>
          </w:p>
          <w:p w14:paraId="5EBCE594">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（2）放射性固体废弃物</w:t>
            </w:r>
          </w:p>
          <w:p w14:paraId="33C3BC29">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正电子药物生产区回旋加速器日常维护保养定期更换的废靶部件，年产生约1kg，此部分固体废物为长半衰期放射性固体废弃物，收集暂存在回旋加速器自带的铅桶中，靶废料由厂家专人处理。</w:t>
            </w:r>
          </w:p>
          <w:p w14:paraId="0F53F244">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核医学项目放射性药物制备、质控、分装、测活时会产生一次性注射器、针头、棉签、口罩、擦拭纸、手套、药瓶等，核素治疗住院患者还会产生沾有核素的生活垃圾，放射性固废（门诊）按50g/人•d，放射性固废（住院）按100</w:t>
            </w:r>
            <w:r>
              <w:rPr>
                <w:rFonts w:hint="eastAsia" w:cs="Times New Roman"/>
                <w:color w:val="auto"/>
                <w:highlight w:val="none"/>
                <w:lang w:val="en-US" w:eastAsia="zh-CN"/>
              </w:rPr>
              <w:t>0</w:t>
            </w:r>
            <w:r>
              <w:rPr>
                <w:rFonts w:hint="default" w:ascii="Times New Roman" w:hAnsi="Times New Roman" w:cs="Times New Roman"/>
                <w:color w:val="auto"/>
                <w:highlight w:val="none"/>
                <w:lang w:val="en-US" w:eastAsia="zh-CN"/>
              </w:rPr>
              <w:t>g/人•d。医院每周使用 4 套活度 500 mCi 的钼锝发生器，全年工作按 50 周计，全年共产生 200 套废钼锝发生器；每套废钼锝发生器质量约 1 kg，废钼锝发生器总质量合计 200 kg。则全年产生长半衰期固体废物5283kg、短半衰期固体废物</w:t>
            </w:r>
            <w:r>
              <w:rPr>
                <w:rFonts w:hint="eastAsia" w:cs="Times New Roman"/>
                <w:color w:val="auto"/>
                <w:highlight w:val="none"/>
                <w:lang w:val="en-US" w:eastAsia="zh-CN"/>
              </w:rPr>
              <w:t>2667.5</w:t>
            </w:r>
            <w:r>
              <w:rPr>
                <w:rFonts w:hint="default" w:ascii="Times New Roman" w:hAnsi="Times New Roman" w:cs="Times New Roman"/>
                <w:color w:val="auto"/>
                <w:highlight w:val="none"/>
                <w:lang w:val="en-US" w:eastAsia="zh-CN"/>
              </w:rPr>
              <w:t>kg，合计</w:t>
            </w:r>
            <w:r>
              <w:rPr>
                <w:rFonts w:hint="eastAsia" w:cs="Times New Roman"/>
                <w:color w:val="auto"/>
                <w:highlight w:val="none"/>
                <w:lang w:val="en-US" w:eastAsia="zh-CN"/>
              </w:rPr>
              <w:t>7950.5</w:t>
            </w:r>
            <w:r>
              <w:rPr>
                <w:rFonts w:hint="default" w:ascii="Times New Roman" w:hAnsi="Times New Roman" w:cs="Times New Roman"/>
                <w:color w:val="auto"/>
                <w:highlight w:val="none"/>
                <w:lang w:val="en-US" w:eastAsia="zh-CN"/>
              </w:rPr>
              <w:t>kg。</w:t>
            </w:r>
          </w:p>
          <w:p w14:paraId="69CF71B8">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在正电子药物生产区、单光子药物生产区、注射室、质控室等各产污场所均设有铅废物桶。放射性废物按照半衰期分别放置于长半衰期，短半衰期垃圾桶内，当废物桶装满后，废物打包转移至放射性废物库进行暂存，在外包装上的显著位置标明废物类型、核素种类、比活度和存放日期等。等待自然衰变，满足清洁解控水平后作为一般医疗废物依托院区设置的医疗废物暂存间暂存后，执行医疗废物转移联单制度，由有资质的单位统一回收处理。</w:t>
            </w:r>
          </w:p>
          <w:p w14:paraId="36B976C6">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设置了6间废物库，用于暂存项目开展过程中产生的放射性废物，其中负一层药物生产区设置1座放射性废物库，建筑面积17.28m²；一层SPECT诊断区设置2座放射性废物库，建筑面积分别为7.52m²、8.33m²；二层PET诊断区设置2座放射性废物库，建筑面积分别为8.26m²、9.22m²；核素治疗区放射性废物库建筑面积6.98m²。</w:t>
            </w:r>
          </w:p>
          <w:p w14:paraId="27F6B3B8">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本次评价对放射性固废的收集、贮存和处理提出如下管理措施要求：</w:t>
            </w:r>
          </w:p>
          <w:p w14:paraId="6A6EF25B">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a.放射性固体废物收集</w:t>
            </w:r>
          </w:p>
          <w:p w14:paraId="392B5474">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①固体放射性废物应收集于具有屏蔽结构和电离辐射标志的专用废物桶。废物桶内应放专用塑料袋直接收纳废物。</w:t>
            </w:r>
          </w:p>
          <w:p w14:paraId="0C4027E7">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②含尖刺及棱角的放射性废物，应预先进行包装处理，再装入废物桶，防止刺破废物袋。</w:t>
            </w:r>
          </w:p>
          <w:p w14:paraId="016357F7">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③放射性废物每袋重量不超过20kg。装满废物的塑料袋应密封后及时转送至放射性废物库贮存。</w:t>
            </w:r>
          </w:p>
          <w:p w14:paraId="0B62E453">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b.放射性固废贮存</w:t>
            </w:r>
          </w:p>
          <w:p w14:paraId="1D793400">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①产生少量放射性废物和利用贮存衰变方式处理放射性废物的单位，经审管部门批准可以将废物暂存在许可的场所和专用容器中。暂存时间和总活度不能超过审管部门批准的限制要求。</w:t>
            </w:r>
          </w:p>
          <w:p w14:paraId="6CAC3183">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②放射性废物贮存场所应安装通风换气装置，放射性废物中含有易挥发放射性核素的通风换气装置应有单独的排风管道。入口处应设置电离辐射警告标志，采取有效的防火、防丢失、防射线泄漏等措施。</w:t>
            </w:r>
          </w:p>
          <w:p w14:paraId="65F95741">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③废物暂存间内应设置专用容器盛放固体放射性废物袋（桶），不同类别废物应分开存放。容器表面应注明废物所含核索的名称</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废物的类别、入库日期等信息，并做好登记记录。</w:t>
            </w:r>
          </w:p>
          <w:p w14:paraId="18CEB8DD">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④废物暂存间内不得存放易燃、易爆、腐蚀性物品。</w:t>
            </w:r>
          </w:p>
          <w:p w14:paraId="2F8187D3">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c.放射性固废处理</w:t>
            </w:r>
          </w:p>
          <w:p w14:paraId="22A38FD8">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①固体放射性废物</w:t>
            </w:r>
            <w:r>
              <w:rPr>
                <w:rFonts w:hint="eastAsia" w:cs="Times New Roman"/>
                <w:color w:val="auto"/>
                <w:highlight w:val="none"/>
                <w:lang w:val="en-US" w:eastAsia="zh-CN"/>
              </w:rPr>
              <w:t>贮存</w:t>
            </w:r>
            <w:r>
              <w:rPr>
                <w:rFonts w:hint="default" w:ascii="Times New Roman" w:hAnsi="Times New Roman" w:cs="Times New Roman"/>
                <w:color w:val="auto"/>
                <w:highlight w:val="none"/>
                <w:lang w:val="en-US" w:eastAsia="zh-CN"/>
              </w:rPr>
              <w:t>时间满足下列要求的，经监测辐射剂量率满足所处环境本底水平，a表面污染小于0.08Bq/cm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、β表面污染小于0.8Bq/cm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的，可对废物清洁解控并作为医疗废物处理。</w:t>
            </w:r>
          </w:p>
          <w:p w14:paraId="718A07D2">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②含</w:t>
            </w:r>
            <w:r>
              <w:rPr>
                <w:rFonts w:hint="default" w:ascii="Times New Roman" w:hAnsi="Times New Roman" w:cs="Times New Roman"/>
                <w:color w:val="auto"/>
                <w:highlight w:val="none"/>
                <w:vertAlign w:val="baseline"/>
                <w:lang w:val="en-US" w:eastAsia="zh-CN"/>
              </w:rPr>
              <w:t>F-18</w:t>
            </w:r>
            <w:r>
              <w:rPr>
                <w:rFonts w:hint="default" w:ascii="Times New Roman" w:hAnsi="Times New Roman" w:cs="Times New Roman"/>
                <w:color w:val="auto"/>
                <w:highlight w:val="none"/>
                <w:lang w:val="en-US" w:eastAsia="zh-CN"/>
              </w:rPr>
              <w:t>、Ga-68</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C-11、N-13、Tc-99m、Y-90的短半衰期放射性固体废物暂存时间需超过30天，含</w:t>
            </w:r>
            <w:r>
              <w:rPr>
                <w:rFonts w:hint="default" w:ascii="Times New Roman" w:hAnsi="Times New Roman" w:cs="Times New Roman"/>
                <w:color w:val="auto"/>
                <w:highlight w:val="none"/>
                <w:vertAlign w:val="baseline"/>
                <w:lang w:val="en-US" w:eastAsia="zh-CN"/>
              </w:rPr>
              <w:t>I-131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vertAlign w:val="baseline"/>
                <w:lang w:val="en-US" w:eastAsia="zh-CN"/>
              </w:rPr>
              <w:t>Lu-177</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vertAlign w:val="baseline"/>
                <w:lang w:val="en-US" w:eastAsia="zh-CN"/>
              </w:rPr>
              <w:t>Ra-223</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vertAlign w:val="baseline"/>
                <w:lang w:val="en-US" w:eastAsia="zh-CN"/>
              </w:rPr>
              <w:t>Ac-225</w:t>
            </w:r>
            <w:r>
              <w:rPr>
                <w:rFonts w:hint="default" w:ascii="Times New Roman" w:hAnsi="Times New Roman" w:cs="Times New Roman"/>
                <w:color w:val="auto"/>
                <w:highlight w:val="none"/>
                <w:lang w:val="en-US" w:eastAsia="zh-CN"/>
              </w:rPr>
              <w:t>的长半衰期放射性固体废物暂存时间，按照《核医学辐射防护与安全要求》（HJ1188-2021 ）要求，暂存超过 180 天。</w:t>
            </w:r>
          </w:p>
          <w:p w14:paraId="07D1FDDD">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③不能解控的放射性固体废物应该按照放射性废物处理的相关规定予以收集、整备，并送交有资质的单位处理，放射性废物包装体外的表面剂量率应不超过0.1mSv/h，表面污染水平对β和γ发射体应小4Bq/cm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w:t>
            </w:r>
          </w:p>
          <w:p w14:paraId="57E0EBE5">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④固体放射性废物的存储和处理应安排专人负责，并建立废物存储和处理台账，详细记录放射性废物的核素名称、重量、废物产生起始日期、责任人员、出库时间和监测结果等信息。</w:t>
            </w:r>
          </w:p>
          <w:p w14:paraId="7EA27454">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d.贮存能力分析：</w:t>
            </w:r>
          </w:p>
          <w:p w14:paraId="7916CDEB">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负一层药物生产区设置</w:t>
            </w: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座放射性废物库，建筑面积17.28m²；一层SPECT诊断区设置2座放射性废物库，建筑面积分别为7.52m²、8.33m²；二层PET诊断区设置2座放射性废物库，建筑面积分别为8.26m²、9.22m²；核素治疗区设置1座放射性废物库建筑面积6.98m²。本项目放射性废物库面积较大，积完全能够满足贮存周期内存放的放射性固体废物。</w:t>
            </w:r>
          </w:p>
          <w:p w14:paraId="6D8704FD">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（3）放射性废水治理措施</w:t>
            </w:r>
          </w:p>
          <w:p w14:paraId="45A775EE">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本项目核医学诊疗场所产生的含放射性核素清洗废水、患者专用卫生间放射性排泄物下水，统一收集进入放射性废水衰变池，经足够时间贮存衰变，监测达标后排入院内医疗污水收集系统，最终经医院污水处理设施处理后排入院外市政污水管网。工作人员产生的普通生活污水，单独收集直接接入院内医疗污水收集系统。项目放射性废液走向</w:t>
            </w:r>
            <w:r>
              <w:rPr>
                <w:rFonts w:hint="eastAsia" w:cs="Times New Roman"/>
                <w:color w:val="auto"/>
                <w:sz w:val="24"/>
                <w:szCs w:val="22"/>
                <w:highlight w:val="none"/>
                <w:lang w:val="en-US" w:eastAsia="zh-CN" w:bidi="ar-SA"/>
              </w:rPr>
              <w:t>见附图5。</w:t>
            </w:r>
          </w:p>
          <w:p w14:paraId="2F1D0653">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放射性药物的主要使用方式是给病人注射或口服，订购的药品几乎全部用完，残剩微量余液仍存放于原容器。操作过</w:t>
            </w:r>
            <w:r>
              <w:rPr>
                <w:rFonts w:hint="eastAsia" w:cs="Times New Roman"/>
                <w:color w:val="auto"/>
                <w:sz w:val="24"/>
                <w:szCs w:val="22"/>
                <w:highlight w:val="none"/>
                <w:lang w:val="en-US" w:eastAsia="zh-CN" w:bidi="ar-SA"/>
              </w:rPr>
              <w:t>程中</w:t>
            </w:r>
            <w:r>
              <w:rPr>
                <w:rFonts w:hint="default" w:ascii="Times New Roman" w:hAnsi="Times New Roman" w:eastAsia="宋体" w:cs="Times New Roman"/>
                <w:color w:val="auto"/>
                <w:sz w:val="24"/>
                <w:szCs w:val="22"/>
                <w:highlight w:val="none"/>
                <w:lang w:val="en-US" w:eastAsia="zh-CN" w:bidi="ar-SA"/>
              </w:rPr>
              <w:t>使用的器械、用具均系一次性使用，无需洗涤。放射性药物生产场所清洁使用擦拭纸巾，事故情况下需要对地面台面用水进行清洁。在放射性核素操作过程中发生放射性物质泼撒事故，往往造成的是地面、台面或墙面表面污染，一般采用脱脂棉花、吸水纸等将撒泼液滴吸干，再用清洗剂擦洗去污，使表面放射性物质转移到棉花、吸水纸上，作为固体废物收集储存后再</w:t>
            </w:r>
            <w:r>
              <w:rPr>
                <w:rFonts w:hint="eastAsia" w:cs="Times New Roman"/>
                <w:color w:val="auto"/>
                <w:sz w:val="24"/>
                <w:szCs w:val="22"/>
                <w:highlight w:val="none"/>
                <w:lang w:val="en-US" w:eastAsia="zh-CN" w:bidi="ar-SA"/>
              </w:rPr>
              <w:t>做</w:t>
            </w:r>
            <w:r>
              <w:rPr>
                <w:rFonts w:hint="default" w:ascii="Times New Roman" w:hAnsi="Times New Roman" w:eastAsia="宋体" w:cs="Times New Roman"/>
                <w:color w:val="auto"/>
                <w:sz w:val="24"/>
                <w:szCs w:val="22"/>
                <w:highlight w:val="none"/>
                <w:lang w:val="en-US" w:eastAsia="zh-CN" w:bidi="ar-SA"/>
              </w:rPr>
              <w:t>处理，实际进入废水的放射性活度是较低的。</w:t>
            </w:r>
          </w:p>
          <w:p w14:paraId="2FFDB6CC">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放射性废水的处理主要是通过建造衰变池来进行收集和存储，根据《核医学辐射防护与安全要求》HJ1188—2021的要求，a）所含核素半衰期小于24小时的放射性废液暂存时间超过30天后可直接解控排放；b）所含核素半衰期大于24小时的放射性废液暂存时间超过10倍最长半衰期（含</w:t>
            </w:r>
            <w:r>
              <w:rPr>
                <w:rFonts w:hint="default" w:ascii="Times New Roman" w:hAnsi="Times New Roman" w:eastAsia="宋体" w:cs="Times New Roman"/>
                <w:color w:val="auto"/>
                <w:sz w:val="24"/>
                <w:szCs w:val="22"/>
                <w:highlight w:val="none"/>
                <w:vertAlign w:val="baseline"/>
                <w:lang w:val="en-US" w:eastAsia="zh-CN" w:bidi="ar-SA"/>
              </w:rPr>
              <w:t>碘-131</w:t>
            </w:r>
            <w:r>
              <w:rPr>
                <w:rFonts w:hint="default" w:ascii="Times New Roman" w:hAnsi="Times New Roman" w:eastAsia="宋体" w:cs="Times New Roman"/>
                <w:color w:val="auto"/>
                <w:sz w:val="24"/>
                <w:szCs w:val="22"/>
                <w:highlight w:val="none"/>
                <w:lang w:val="en-US" w:eastAsia="zh-CN" w:bidi="ar-SA"/>
              </w:rPr>
              <w:t>核素的暂存超过180天），监测结果经审管部门认可后，按照GB18871中8.6.2规定方式进行排放。放射性废液总排放口总α不大于1Bq/L、总β不大于10Bq/L、</w:t>
            </w:r>
            <w:r>
              <w:rPr>
                <w:rFonts w:hint="default" w:ascii="Times New Roman" w:hAnsi="Times New Roman" w:eastAsia="宋体" w:cs="Times New Roman"/>
                <w:color w:val="auto"/>
                <w:sz w:val="24"/>
                <w:szCs w:val="22"/>
                <w:highlight w:val="none"/>
                <w:vertAlign w:val="baseline"/>
                <w:lang w:val="en-US" w:eastAsia="zh-CN" w:bidi="ar-SA"/>
              </w:rPr>
              <w:t>碘-131</w:t>
            </w:r>
            <w:r>
              <w:rPr>
                <w:rFonts w:hint="default" w:ascii="Times New Roman" w:hAnsi="Times New Roman" w:eastAsia="宋体" w:cs="Times New Roman"/>
                <w:color w:val="auto"/>
                <w:sz w:val="24"/>
                <w:szCs w:val="22"/>
                <w:highlight w:val="none"/>
                <w:lang w:val="en-US" w:eastAsia="zh-CN" w:bidi="ar-SA"/>
              </w:rPr>
              <w:t>的放射性活度浓度不大于10Bq/L。</w:t>
            </w:r>
          </w:p>
          <w:p w14:paraId="31F8C402">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1）衰变池位置及容积</w:t>
            </w:r>
          </w:p>
          <w:p w14:paraId="0955518A">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本项目衰变池在负三层设置2套衰变池系统，一套储存长半衰期废水（8个114m</w:t>
            </w:r>
            <w:r>
              <w:rPr>
                <w:rFonts w:hint="default" w:ascii="Times New Roman" w:hAnsi="Times New Roman" w:eastAsia="宋体" w:cs="Times New Roman"/>
                <w:color w:val="auto"/>
                <w:sz w:val="24"/>
                <w:szCs w:val="22"/>
                <w:highlight w:val="none"/>
                <w:vertAlign w:val="superscript"/>
                <w:lang w:val="en-US" w:eastAsia="zh-CN" w:bidi="ar-SA"/>
              </w:rPr>
              <w:t>3</w:t>
            </w:r>
            <w:r>
              <w:rPr>
                <w:rFonts w:hint="default" w:ascii="Times New Roman" w:hAnsi="Times New Roman" w:eastAsia="宋体" w:cs="Times New Roman"/>
                <w:color w:val="auto"/>
                <w:sz w:val="24"/>
                <w:szCs w:val="22"/>
                <w:highlight w:val="none"/>
                <w:lang w:val="en-US" w:eastAsia="zh-CN" w:bidi="ar-SA"/>
              </w:rPr>
              <w:t>集水池+2个40m</w:t>
            </w:r>
            <w:r>
              <w:rPr>
                <w:rFonts w:hint="default" w:ascii="Times New Roman" w:hAnsi="Times New Roman" w:eastAsia="宋体" w:cs="Times New Roman"/>
                <w:color w:val="auto"/>
                <w:sz w:val="24"/>
                <w:szCs w:val="22"/>
                <w:highlight w:val="none"/>
                <w:vertAlign w:val="superscript"/>
                <w:lang w:val="en-US" w:eastAsia="zh-CN" w:bidi="ar-SA"/>
              </w:rPr>
              <w:t>3</w:t>
            </w:r>
            <w:r>
              <w:rPr>
                <w:rFonts w:hint="default" w:ascii="Times New Roman" w:hAnsi="Times New Roman" w:eastAsia="宋体" w:cs="Times New Roman"/>
                <w:color w:val="auto"/>
                <w:sz w:val="24"/>
                <w:szCs w:val="22"/>
                <w:highlight w:val="none"/>
                <w:lang w:val="en-US" w:eastAsia="zh-CN" w:bidi="ar-SA"/>
              </w:rPr>
              <w:t>沉淀池），一套储存短半衰期废水（3个60m</w:t>
            </w:r>
            <w:r>
              <w:rPr>
                <w:rFonts w:hint="default" w:ascii="Times New Roman" w:hAnsi="Times New Roman" w:eastAsia="宋体" w:cs="Times New Roman"/>
                <w:color w:val="auto"/>
                <w:sz w:val="24"/>
                <w:szCs w:val="22"/>
                <w:highlight w:val="none"/>
                <w:vertAlign w:val="superscript"/>
                <w:lang w:val="en-US" w:eastAsia="zh-CN" w:bidi="ar-SA"/>
              </w:rPr>
              <w:t>3</w:t>
            </w:r>
            <w:r>
              <w:rPr>
                <w:rFonts w:hint="default" w:ascii="Times New Roman" w:hAnsi="Times New Roman" w:eastAsia="宋体" w:cs="Times New Roman"/>
                <w:color w:val="auto"/>
                <w:sz w:val="24"/>
                <w:szCs w:val="22"/>
                <w:highlight w:val="none"/>
                <w:lang w:val="en-US" w:eastAsia="zh-CN" w:bidi="ar-SA"/>
              </w:rPr>
              <w:t>集水池+2个30m</w:t>
            </w:r>
            <w:r>
              <w:rPr>
                <w:rFonts w:hint="default" w:ascii="Times New Roman" w:hAnsi="Times New Roman" w:eastAsia="宋体" w:cs="Times New Roman"/>
                <w:color w:val="auto"/>
                <w:sz w:val="24"/>
                <w:szCs w:val="22"/>
                <w:highlight w:val="none"/>
                <w:vertAlign w:val="superscript"/>
                <w:lang w:val="en-US" w:eastAsia="zh-CN" w:bidi="ar-SA"/>
              </w:rPr>
              <w:t>3</w:t>
            </w:r>
            <w:r>
              <w:rPr>
                <w:rFonts w:hint="default" w:ascii="Times New Roman" w:hAnsi="Times New Roman" w:eastAsia="宋体" w:cs="Times New Roman"/>
                <w:color w:val="auto"/>
                <w:sz w:val="24"/>
                <w:szCs w:val="22"/>
                <w:highlight w:val="none"/>
                <w:lang w:val="en-US" w:eastAsia="zh-CN" w:bidi="ar-SA"/>
              </w:rPr>
              <w:t>沉淀池）。单个长半衰期衰变池规格（长×宽×高）为7.50m×5.60m×2.85m，单个衰变池的有效容积114m</w:t>
            </w:r>
            <w:r>
              <w:rPr>
                <w:rFonts w:hint="default" w:ascii="Times New Roman" w:hAnsi="Times New Roman" w:eastAsia="宋体" w:cs="Times New Roman"/>
                <w:color w:val="auto"/>
                <w:sz w:val="24"/>
                <w:szCs w:val="22"/>
                <w:highlight w:val="none"/>
                <w:vertAlign w:val="superscript"/>
                <w:lang w:val="en-US" w:eastAsia="zh-CN" w:bidi="ar-SA"/>
              </w:rPr>
              <w:t>3</w:t>
            </w:r>
            <w:r>
              <w:rPr>
                <w:rFonts w:hint="default" w:ascii="Times New Roman" w:hAnsi="Times New Roman" w:eastAsia="宋体" w:cs="Times New Roman"/>
                <w:color w:val="auto"/>
                <w:sz w:val="24"/>
                <w:szCs w:val="22"/>
                <w:highlight w:val="none"/>
                <w:lang w:val="en-US" w:eastAsia="zh-CN" w:bidi="ar-SA"/>
              </w:rPr>
              <w:t>，单个短半衰期衰变池规格（长×宽×高）为8.00m×3.50m×2.10m，单个衰变池的有效容积60m</w:t>
            </w:r>
            <w:r>
              <w:rPr>
                <w:rFonts w:hint="default" w:ascii="Times New Roman" w:hAnsi="Times New Roman" w:eastAsia="宋体" w:cs="Times New Roman"/>
                <w:color w:val="auto"/>
                <w:sz w:val="24"/>
                <w:szCs w:val="22"/>
                <w:highlight w:val="none"/>
                <w:vertAlign w:val="superscript"/>
                <w:lang w:val="en-US" w:eastAsia="zh-CN" w:bidi="ar-SA"/>
              </w:rPr>
              <w:t>3</w:t>
            </w:r>
            <w:r>
              <w:rPr>
                <w:rFonts w:hint="default" w:ascii="Times New Roman" w:hAnsi="Times New Roman" w:eastAsia="宋体" w:cs="Times New Roman"/>
                <w:color w:val="auto"/>
                <w:sz w:val="24"/>
                <w:szCs w:val="22"/>
                <w:highlight w:val="none"/>
                <w:lang w:val="en-US" w:eastAsia="zh-CN" w:bidi="ar-SA"/>
              </w:rPr>
              <w:t>。</w:t>
            </w:r>
          </w:p>
          <w:p w14:paraId="0509A9E8">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2）排水管道</w:t>
            </w:r>
          </w:p>
          <w:p w14:paraId="150EDDAF">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根据核医学楼已投运部分的验收资料负一层放药生产区放射性废水排水管道使用3mmPb铅包裹；一层SPECT区放射性废水排水管道使用2mmPb铅包裹；二层PET区放射性废水排水管道使用3mmPb铅包裹；三核素病房区放射性废水排水管道使用5mmPb铅包裹。</w:t>
            </w:r>
          </w:p>
          <w:p w14:paraId="7595D644">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3）防渗措施</w:t>
            </w:r>
          </w:p>
          <w:p w14:paraId="48C3F04E">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放射性废水衰变池采用钢筋混凝土结构，混凝土标号不小于C30，抗渗等级S8，四周池壁厚度300mm混凝土，并内衬不锈钢内胆，衰变池池壁、池底具有一定抗压强度，且需耐酸碱、抗渗漏，顶盖拟采用混凝土浇筑，进行抗渗处理。施工单位要进行严格的渗漏检测，确保放射性废水在暂存期间不发生渗漏，防止对地下水造成污染。</w:t>
            </w:r>
          </w:p>
          <w:p w14:paraId="0360D604">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4）衰变池控制和管理</w:t>
            </w:r>
          </w:p>
          <w:p w14:paraId="05786D4F">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本项目衰变池的每个池子均拟设置液位传感器及潜污泵，泵一备一用，可编程控制器采集到每个衰变池的液位情况来控制相应的电磁阀开闭状态。当某一液位到高水位时，触发声光报警装置，并将其信号发送控制中心，控制中心可以显示每个衰变池的液位情况及每个电磁阀的开闭状态。</w:t>
            </w:r>
          </w:p>
          <w:p w14:paraId="24E4722E">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衰变池工艺流程如下：</w:t>
            </w:r>
          </w:p>
          <w:p w14:paraId="415CC112">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废水经管道流进衰变池系统前处理池（沉淀池），后再由提升泵抽进衰变池中。短半衰废水衰变池系统为并联式三级衰变，每个衰变池进水管上设电动球阀，出水采用潜污泵排出。衰变池运行时先关闭第二、第三衰变池进水管上的电动阀，使废水进入第一级衰变池；待第一级衰变池达到设计液位后，打开第二级衰变池进水管上的电动阀，关闭第一级衰变池进水管上的电动阀，使废水进入第二级衰变池，待第二级衰变池达到设计液位后，打开第三级衰变池进水管上的电动阀，关闭第二级衰变池进水管上的电动阀，使废水进入第三级衰变池，在第三级衰变池注水快达到设计液位时，准备排放第一级衰变池的废水；以此类推，每套衰变池系统的各个池子循环。</w:t>
            </w:r>
          </w:p>
          <w:p w14:paraId="41CADD87">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长半衰废水衰变池系统为并联式八级衰变，工艺流程与短半衰废水衰变池系统相同。</w:t>
            </w:r>
          </w:p>
          <w:p w14:paraId="614AAE75">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5）衰变池容积可行性</w:t>
            </w:r>
          </w:p>
          <w:p w14:paraId="25F4ACBA">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根据前文估算，</w:t>
            </w:r>
            <w:r>
              <w:rPr>
                <w:rFonts w:hint="eastAsia" w:cs="Times New Roman"/>
                <w:color w:val="auto"/>
                <w:sz w:val="24"/>
                <w:szCs w:val="22"/>
                <w:highlight w:val="none"/>
                <w:lang w:val="en-US" w:eastAsia="zh-CN" w:bidi="ar-SA"/>
              </w:rPr>
              <w:t>全年</w:t>
            </w:r>
            <w:r>
              <w:rPr>
                <w:rFonts w:hint="default" w:ascii="Times New Roman" w:hAnsi="Times New Roman" w:eastAsia="宋体" w:cs="Times New Roman"/>
                <w:color w:val="auto"/>
                <w:sz w:val="24"/>
                <w:szCs w:val="22"/>
                <w:highlight w:val="none"/>
                <w:lang w:val="en-US" w:eastAsia="zh-CN" w:bidi="ar-SA"/>
              </w:rPr>
              <w:t>放射性长半衰期废水产生量1020.4m</w:t>
            </w:r>
            <w:r>
              <w:rPr>
                <w:rFonts w:hint="default" w:ascii="Times New Roman" w:hAnsi="Times New Roman" w:eastAsia="宋体" w:cs="Times New Roman"/>
                <w:color w:val="auto"/>
                <w:sz w:val="24"/>
                <w:szCs w:val="22"/>
                <w:highlight w:val="none"/>
                <w:vertAlign w:val="superscript"/>
                <w:lang w:val="en-US" w:eastAsia="zh-CN" w:bidi="ar-SA"/>
              </w:rPr>
              <w:t>3</w:t>
            </w:r>
            <w:r>
              <w:rPr>
                <w:rFonts w:hint="default" w:ascii="Times New Roman" w:hAnsi="Times New Roman" w:eastAsia="宋体" w:cs="Times New Roman"/>
                <w:color w:val="auto"/>
                <w:sz w:val="24"/>
                <w:szCs w:val="22"/>
                <w:highlight w:val="none"/>
                <w:lang w:val="en-US" w:eastAsia="zh-CN" w:bidi="ar-SA"/>
              </w:rPr>
              <w:t>，长半衰期废水排放量816.32m</w:t>
            </w:r>
            <w:r>
              <w:rPr>
                <w:rFonts w:hint="default" w:ascii="Times New Roman" w:hAnsi="Times New Roman" w:eastAsia="宋体" w:cs="Times New Roman"/>
                <w:color w:val="auto"/>
                <w:sz w:val="24"/>
                <w:szCs w:val="22"/>
                <w:highlight w:val="none"/>
                <w:vertAlign w:val="superscript"/>
                <w:lang w:val="en-US" w:eastAsia="zh-CN" w:bidi="ar-SA"/>
              </w:rPr>
              <w:t>3</w:t>
            </w:r>
            <w:r>
              <w:rPr>
                <w:rFonts w:hint="default" w:ascii="Times New Roman" w:hAnsi="Times New Roman" w:eastAsia="宋体" w:cs="Times New Roman"/>
                <w:color w:val="auto"/>
                <w:sz w:val="24"/>
                <w:szCs w:val="22"/>
                <w:highlight w:val="none"/>
                <w:lang w:val="en-US" w:eastAsia="zh-CN" w:bidi="ar-SA"/>
              </w:rPr>
              <w:t xml:space="preserve"> ，短半衰期废水产生量1487.5m</w:t>
            </w:r>
            <w:r>
              <w:rPr>
                <w:rFonts w:hint="default" w:ascii="Times New Roman" w:hAnsi="Times New Roman" w:eastAsia="宋体" w:cs="Times New Roman"/>
                <w:color w:val="auto"/>
                <w:sz w:val="24"/>
                <w:szCs w:val="22"/>
                <w:highlight w:val="none"/>
                <w:vertAlign w:val="superscript"/>
                <w:lang w:val="en-US" w:eastAsia="zh-CN" w:bidi="ar-SA"/>
              </w:rPr>
              <w:t>3</w:t>
            </w:r>
            <w:r>
              <w:rPr>
                <w:rFonts w:hint="default" w:ascii="Times New Roman" w:hAnsi="Times New Roman" w:eastAsia="宋体" w:cs="Times New Roman"/>
                <w:color w:val="auto"/>
                <w:sz w:val="24"/>
                <w:szCs w:val="22"/>
                <w:highlight w:val="none"/>
                <w:lang w:val="en-US" w:eastAsia="zh-CN" w:bidi="ar-SA"/>
              </w:rPr>
              <w:t>，短半衰期废水排放量1190m</w:t>
            </w:r>
            <w:r>
              <w:rPr>
                <w:rFonts w:hint="default" w:ascii="Times New Roman" w:hAnsi="Times New Roman" w:eastAsia="宋体" w:cs="Times New Roman"/>
                <w:color w:val="auto"/>
                <w:sz w:val="24"/>
                <w:szCs w:val="22"/>
                <w:highlight w:val="none"/>
                <w:vertAlign w:val="superscript"/>
                <w:lang w:val="en-US" w:eastAsia="zh-CN" w:bidi="ar-SA"/>
              </w:rPr>
              <w:t>3</w:t>
            </w:r>
            <w:r>
              <w:rPr>
                <w:rFonts w:hint="default" w:ascii="Times New Roman" w:hAnsi="Times New Roman" w:eastAsia="宋体" w:cs="Times New Roman"/>
                <w:color w:val="auto"/>
                <w:sz w:val="24"/>
                <w:szCs w:val="22"/>
                <w:highlight w:val="none"/>
                <w:lang w:val="en-US" w:eastAsia="zh-CN" w:bidi="ar-SA"/>
              </w:rPr>
              <w:t>。</w:t>
            </w:r>
          </w:p>
          <w:p w14:paraId="2A7EB48B">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长半衰期废水系统：按年排放量816.32m³计算，日均排放约2.24m³，8个114m³集水池总容积912m³。若每池注满后需暂存180天方可排放，则单池从开始进水到注满约需51天（114÷2.24），加上180天暂存期，单池完整周期约231天。8个池子按序轮换，当第8池注满时，第1池已暂存约357天（7×51），远超180天要求。系统年处理能力为8×114÷(231/365)≈1441m³/年，大于实际排放量816.32m³/年，容积可行且余量充足。</w:t>
            </w:r>
          </w:p>
          <w:p w14:paraId="138E92E0">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短半衰期废水系统：按年排放量1190m³计算，日均排放约3.26m³，3个60m³集水池总容积180m³。单池注满约需18.4天，加上30天暂存期，单池完整周期约48.4天。系统年处理能力为3×60÷(48.4/365)≈1357m³/年，大于实际排放量1190m³/年，容积可行且余量充足。</w:t>
            </w:r>
          </w:p>
          <w:p w14:paraId="74201B25">
            <w:pPr>
              <w:keepNext w:val="0"/>
              <w:keepLines w:val="0"/>
              <w:suppressLineNumbers w:val="0"/>
              <w:bidi w:val="0"/>
              <w:spacing w:before="0" w:beforeAutospacing="0" w:after="0" w:afterAutospacing="0" w:line="360" w:lineRule="auto"/>
              <w:ind w:left="0" w:right="0" w:firstLine="480" w:firstLineChars="200"/>
              <w:jc w:val="both"/>
              <w:rPr>
                <w:rFonts w:hint="default" w:cs="Times New Roman"/>
                <w:color w:val="auto"/>
                <w:highlight w:val="none"/>
                <w:lang w:val="en-US" w:eastAsia="zh-CN"/>
              </w:rPr>
            </w:pPr>
            <w:r>
              <w:rPr>
                <w:rFonts w:hint="eastAsia" w:cs="Times New Roman"/>
                <w:color w:val="auto"/>
                <w:highlight w:val="none"/>
                <w:lang w:val="en-US" w:eastAsia="zh-CN"/>
              </w:rPr>
              <w:t>本项目原有的</w:t>
            </w:r>
            <w:r>
              <w:rPr>
                <w:rFonts w:hint="eastAsia" w:cs="Times New Roman"/>
                <w:color w:val="auto"/>
                <w:highlight w:val="none"/>
                <w:vertAlign w:val="superscript"/>
                <w:lang w:val="en-US" w:eastAsia="zh-CN"/>
              </w:rPr>
              <w:t>89</w:t>
            </w:r>
            <w:r>
              <w:rPr>
                <w:rFonts w:hint="eastAsia" w:cs="Times New Roman"/>
                <w:color w:val="auto"/>
                <w:highlight w:val="none"/>
                <w:lang w:val="en-US" w:eastAsia="zh-CN"/>
              </w:rPr>
              <w:t>Sr日最大操作量为2.96E+8（8mCi），根据原环评：本项目</w:t>
            </w:r>
            <w:r>
              <w:rPr>
                <w:rFonts w:hint="eastAsia" w:cs="Times New Roman"/>
                <w:color w:val="auto"/>
                <w:highlight w:val="none"/>
                <w:vertAlign w:val="superscript"/>
                <w:lang w:val="en-US" w:eastAsia="zh-CN"/>
              </w:rPr>
              <w:t>89</w:t>
            </w:r>
            <w:r>
              <w:rPr>
                <w:rFonts w:hint="eastAsia" w:cs="Times New Roman"/>
                <w:color w:val="auto"/>
                <w:highlight w:val="none"/>
                <w:lang w:val="en-US" w:eastAsia="zh-CN"/>
              </w:rPr>
              <w:t xml:space="preserve">Sr核素治疗单人次最大用量为4mCi，满足《临床核医学患者防护要求》（WS533-2017），接受 </w:t>
            </w:r>
            <w:r>
              <w:rPr>
                <w:rFonts w:hint="eastAsia" w:cs="Times New Roman"/>
                <w:color w:val="auto"/>
                <w:highlight w:val="none"/>
                <w:vertAlign w:val="superscript"/>
                <w:lang w:val="en-US" w:eastAsia="zh-CN"/>
              </w:rPr>
              <w:t>89</w:t>
            </w:r>
            <w:r>
              <w:rPr>
                <w:rFonts w:hint="eastAsia" w:cs="Times New Roman"/>
                <w:color w:val="auto"/>
                <w:highlight w:val="none"/>
                <w:lang w:val="en-US" w:eastAsia="zh-CN"/>
              </w:rPr>
              <w:t>Sr 患者体内放射性活度低于 200MBq（5.4mCi）方可离开医院的要求，故原项目中的</w:t>
            </w:r>
            <w:r>
              <w:rPr>
                <w:rFonts w:hint="eastAsia" w:cs="Times New Roman"/>
                <w:color w:val="auto"/>
                <w:highlight w:val="none"/>
                <w:vertAlign w:val="superscript"/>
                <w:lang w:val="en-US" w:eastAsia="zh-CN"/>
              </w:rPr>
              <w:t>89</w:t>
            </w:r>
            <w:r>
              <w:rPr>
                <w:rFonts w:hint="eastAsia" w:cs="Times New Roman"/>
                <w:color w:val="auto"/>
                <w:highlight w:val="none"/>
                <w:lang w:val="en-US" w:eastAsia="zh-CN"/>
              </w:rPr>
              <w:t>Sr核素的使用对本项目衰变池容积不会产生影响。</w:t>
            </w:r>
          </w:p>
          <w:p w14:paraId="409C67ED">
            <w:pPr>
              <w:keepNext w:val="0"/>
              <w:keepLines w:val="0"/>
              <w:suppressLineNumbers w:val="0"/>
              <w:bidi w:val="0"/>
              <w:spacing w:before="0" w:beforeAutospacing="0" w:after="0" w:afterAutospacing="0" w:line="360" w:lineRule="auto"/>
              <w:ind w:left="0" w:right="0" w:firstLine="480" w:firstLineChars="200"/>
              <w:jc w:val="both"/>
              <w:rPr>
                <w:rFonts w:hint="eastAsia" w:cs="Times New Roman"/>
                <w:color w:val="auto"/>
                <w:highlight w:val="none"/>
                <w:lang w:val="en-US" w:eastAsia="zh-CN"/>
              </w:rPr>
            </w:pPr>
            <w:r>
              <w:rPr>
                <w:rFonts w:hint="eastAsia"/>
                <w:color w:val="auto"/>
                <w:highlight w:val="none"/>
                <w:lang w:val="en-US" w:eastAsia="zh-CN"/>
              </w:rPr>
              <w:t>核医学科楼中的小动物实验室也会产生放射性废水，根据原环评：</w:t>
            </w:r>
            <w:r>
              <w:rPr>
                <w:rFonts w:hint="eastAsia" w:cs="Times New Roman"/>
                <w:color w:val="auto"/>
                <w:highlight w:val="none"/>
                <w:lang w:val="en-US" w:eastAsia="zh-CN"/>
              </w:rPr>
              <w:t>本项目注射室、防护动物实验室、鼠笼的清洁不使用水，放射性废水仅解剖小动物时产生，放射性医疗废水产生量（排放量）按50L/·d计。因本项目产生含有Lu-177，其半衰期为6.73d，超过了24h，放射性废水排入长半衰期衰变池内。</w:t>
            </w:r>
          </w:p>
          <w:p w14:paraId="78F7E129">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本项目长半衰期废水叠加小动物实验室每日产生的50L长半衰期废水后，</w:t>
            </w:r>
            <w:r>
              <w:rPr>
                <w:rFonts w:hint="default" w:ascii="Times New Roman" w:hAnsi="Times New Roman" w:eastAsia="宋体" w:cs="Times New Roman"/>
                <w:color w:val="auto"/>
                <w:highlight w:val="none"/>
                <w:lang w:val="en-US" w:eastAsia="zh-CN"/>
              </w:rPr>
              <w:t>长半衰期废水日均排放约2.29m³</w:t>
            </w:r>
            <w:r>
              <w:rPr>
                <w:rFonts w:hint="eastAsia" w:ascii="Times New Roman" w:hAnsi="Times New Roman" w:eastAsia="宋体" w:cs="Times New Roman"/>
                <w:color w:val="auto"/>
                <w:highlight w:val="none"/>
                <w:lang w:val="en-US" w:eastAsia="zh-CN"/>
              </w:rPr>
              <w:t>。本项目</w:t>
            </w:r>
            <w:r>
              <w:rPr>
                <w:rFonts w:hint="default" w:ascii="Times New Roman" w:hAnsi="Times New Roman" w:eastAsia="宋体" w:cs="Times New Roman"/>
                <w:color w:val="auto"/>
                <w:highlight w:val="none"/>
                <w:lang w:val="en-US" w:eastAsia="zh-CN"/>
              </w:rPr>
              <w:t>设置8座114m³集水池，总容积912m³。若每池注满后需暂存180天方可排放，则单池从开始进水到注满约需49.78天（114÷2.29），加上180天暂存期，单池完整周期约229.78天。8个池子按序轮换，当第8池注满时，第1池已暂存约348.46天（7×49.78），远超180天暂存要求。系统年处理能力为8×114÷(229.78/365)≈1447.81m³/年，大于实际年排放量835.85m³/年，容积可行且余量充足。</w:t>
            </w:r>
          </w:p>
          <w:p w14:paraId="5219C713">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综上所述，本项目实施后产生的放射性废水，叠加原有项目产生的放射性废水，衰变池容积仍有余量，放射性废水排放能满足《核医学辐射防护与安全要求》（HJ1188—2021）中暂存时间的要求。</w:t>
            </w:r>
          </w:p>
          <w:p w14:paraId="5CCF691F">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10.2.3 非放射性污染防治措施 </w:t>
            </w:r>
          </w:p>
          <w:p w14:paraId="064F1574">
            <w:pPr>
              <w:keepNext w:val="0"/>
              <w:keepLines w:val="0"/>
              <w:suppressLineNumbers w:val="0"/>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（1）废气</w:t>
            </w:r>
          </w:p>
          <w:p w14:paraId="07E3CC5C">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cs="Times New Roman"/>
                <w:color w:val="auto"/>
                <w:sz w:val="24"/>
                <w:szCs w:val="22"/>
                <w:highlight w:val="none"/>
                <w:lang w:val="en-US" w:eastAsia="zh-CN" w:bidi="ar-SA"/>
              </w:rPr>
              <w:t>各工作</w:t>
            </w:r>
            <w:r>
              <w:rPr>
                <w:rFonts w:hint="default" w:ascii="Times New Roman" w:hAnsi="Times New Roman" w:eastAsia="宋体" w:cs="Times New Roman"/>
                <w:color w:val="auto"/>
                <w:sz w:val="24"/>
                <w:szCs w:val="22"/>
                <w:highlight w:val="none"/>
                <w:lang w:val="en-US" w:eastAsia="zh-CN" w:bidi="ar-SA"/>
              </w:rPr>
              <w:t>场所内</w:t>
            </w:r>
            <w:r>
              <w:rPr>
                <w:rFonts w:hint="default" w:ascii="Times New Roman" w:hAnsi="Times New Roman" w:cs="Times New Roman"/>
                <w:color w:val="auto"/>
                <w:sz w:val="24"/>
                <w:szCs w:val="22"/>
                <w:highlight w:val="none"/>
                <w:lang w:val="en-US" w:eastAsia="zh-CN" w:bidi="ar-SA"/>
              </w:rPr>
              <w:t>的</w:t>
            </w:r>
            <w:r>
              <w:rPr>
                <w:rFonts w:hint="default" w:ascii="Times New Roman" w:hAnsi="Times New Roman" w:eastAsia="宋体" w:cs="Times New Roman"/>
                <w:color w:val="auto"/>
                <w:sz w:val="24"/>
                <w:szCs w:val="22"/>
                <w:highlight w:val="none"/>
                <w:lang w:val="en-US" w:eastAsia="zh-CN" w:bidi="ar-SA"/>
              </w:rPr>
              <w:t>空气受电离辐射作用会生成臭氧、氮氧化物。项目</w:t>
            </w:r>
            <w:r>
              <w:rPr>
                <w:rFonts w:hint="default" w:ascii="Times New Roman" w:hAnsi="Times New Roman" w:cs="Times New Roman"/>
                <w:color w:val="auto"/>
                <w:sz w:val="24"/>
                <w:szCs w:val="22"/>
                <w:highlight w:val="none"/>
                <w:lang w:val="en-US" w:eastAsia="zh-CN" w:bidi="ar-SA"/>
              </w:rPr>
              <w:t>场所</w:t>
            </w:r>
            <w:r>
              <w:rPr>
                <w:rFonts w:hint="default" w:ascii="Times New Roman" w:hAnsi="Times New Roman" w:eastAsia="宋体" w:cs="Times New Roman"/>
                <w:color w:val="auto"/>
                <w:sz w:val="24"/>
                <w:szCs w:val="22"/>
                <w:highlight w:val="none"/>
                <w:lang w:val="en-US" w:eastAsia="zh-CN" w:bidi="ar-SA"/>
              </w:rPr>
              <w:t>均配套动力通风设施，产生的臭氧、氮氧化物经动力通风系统排放至室外，在大气环境中自然稀释扩散，对周边大气环境影响较小。</w:t>
            </w:r>
          </w:p>
          <w:p w14:paraId="29759CEE">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（2）废水</w:t>
            </w:r>
          </w:p>
          <w:p w14:paraId="4721545B">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项目废水主要为工作人员日常工作及</w:t>
            </w:r>
            <w:r>
              <w:rPr>
                <w:rFonts w:hint="default" w:ascii="Times New Roman" w:hAnsi="Times New Roman" w:cs="Times New Roman"/>
                <w:color w:val="auto"/>
                <w:sz w:val="24"/>
                <w:szCs w:val="22"/>
                <w:highlight w:val="none"/>
                <w:lang w:val="en-US" w:eastAsia="zh-CN" w:bidi="ar-SA"/>
              </w:rPr>
              <w:t>陪</w:t>
            </w:r>
            <w:r>
              <w:rPr>
                <w:rFonts w:hint="default" w:ascii="Times New Roman" w:hAnsi="Times New Roman" w:eastAsia="宋体" w:cs="Times New Roman"/>
                <w:color w:val="auto"/>
                <w:sz w:val="24"/>
                <w:szCs w:val="22"/>
                <w:highlight w:val="none"/>
                <w:lang w:val="en-US" w:eastAsia="zh-CN" w:bidi="ar-SA"/>
              </w:rPr>
              <w:t>诊</w:t>
            </w:r>
            <w:r>
              <w:rPr>
                <w:rFonts w:hint="default" w:ascii="Times New Roman" w:hAnsi="Times New Roman" w:cs="Times New Roman"/>
                <w:color w:val="auto"/>
                <w:sz w:val="24"/>
                <w:szCs w:val="22"/>
                <w:highlight w:val="none"/>
                <w:lang w:val="en-US" w:eastAsia="zh-CN" w:bidi="ar-SA"/>
              </w:rPr>
              <w:t>人员</w:t>
            </w:r>
            <w:r>
              <w:rPr>
                <w:rFonts w:hint="default" w:ascii="Times New Roman" w:hAnsi="Times New Roman" w:eastAsia="宋体" w:cs="Times New Roman"/>
                <w:color w:val="auto"/>
                <w:sz w:val="24"/>
                <w:szCs w:val="22"/>
                <w:highlight w:val="none"/>
                <w:lang w:val="en-US" w:eastAsia="zh-CN" w:bidi="ar-SA"/>
              </w:rPr>
              <w:t>产生</w:t>
            </w:r>
            <w:r>
              <w:rPr>
                <w:rFonts w:hint="default" w:ascii="Times New Roman" w:hAnsi="Times New Roman" w:cs="Times New Roman"/>
                <w:color w:val="auto"/>
                <w:sz w:val="24"/>
                <w:szCs w:val="22"/>
                <w:highlight w:val="none"/>
                <w:lang w:val="en-US" w:eastAsia="zh-CN" w:bidi="ar-SA"/>
              </w:rPr>
              <w:t>的</w:t>
            </w:r>
            <w:r>
              <w:rPr>
                <w:rFonts w:hint="default" w:ascii="Times New Roman" w:hAnsi="Times New Roman" w:eastAsia="宋体" w:cs="Times New Roman"/>
                <w:color w:val="auto"/>
                <w:sz w:val="24"/>
                <w:szCs w:val="22"/>
                <w:highlight w:val="none"/>
                <w:lang w:val="en-US" w:eastAsia="zh-CN" w:bidi="ar-SA"/>
              </w:rPr>
              <w:t>生活污水，生活污水依托医院现有污水处理系统统一处理。</w:t>
            </w:r>
          </w:p>
          <w:p w14:paraId="3566683A">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（3）固体废物</w:t>
            </w:r>
          </w:p>
          <w:p w14:paraId="25BA51E7">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项目固体废物主要为办公垃圾、候诊人员产生的生活垃圾，依托医院生活垃圾收集系统统一收集处置。</w:t>
            </w:r>
          </w:p>
          <w:p w14:paraId="120A20F4">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（4）噪声</w:t>
            </w:r>
          </w:p>
          <w:p w14:paraId="20E37388">
            <w:pPr>
              <w:keepNext w:val="0"/>
              <w:keepLines w:val="0"/>
              <w:pageBreakBefore w:val="0"/>
              <w:widowControl w:val="0"/>
              <w:suppressLineNumbers w:val="0"/>
              <w:shd w:val="clear"/>
              <w:kinsoku/>
              <w:wordWrap/>
              <w:overflowPunct/>
              <w:topLinePunct w:val="0"/>
              <w:autoSpaceDE w:val="0"/>
              <w:autoSpaceDN w:val="0"/>
              <w:bidi w:val="0"/>
              <w:adjustRightInd/>
              <w:snapToGrid/>
              <w:spacing w:before="4" w:beforeLines="0" w:beforeAutospacing="0" w:after="0" w:afterLines="0" w:afterAutospacing="0" w:line="360"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szCs w:val="22"/>
                <w:highlight w:val="none"/>
                <w:lang w:val="en-US" w:eastAsia="zh-CN" w:bidi="ar-SA"/>
              </w:rPr>
              <w:t>项目噪声源主要为通排风系统风机。本项目选用低噪声节能排风机、低噪声节能空气处理机组，设备原生噪声一般低于 60dB (A)；经空间距离衰减后，噪声贡献值进一步降低，无需额外设置专项降噪设施，对周边声环境影响可忽略。</w:t>
            </w:r>
          </w:p>
          <w:p w14:paraId="4B81AD6B">
            <w:pPr>
              <w:pStyle w:val="59"/>
              <w:keepNext w:val="0"/>
              <w:keepLines w:val="0"/>
              <w:suppressLineNumbers w:val="0"/>
              <w:bidi w:val="0"/>
              <w:spacing w:before="0" w:beforeAutospacing="0" w:after="0" w:afterAutospacing="0"/>
              <w:ind w:left="0" w:leftChars="0" w:right="0" w:firstLine="0" w:firstLineChars="0"/>
              <w:jc w:val="both"/>
              <w:rPr>
                <w:rFonts w:hint="default" w:ascii="Times New Roman" w:hAnsi="Times New Roman" w:cs="Times New Roman"/>
                <w:color w:val="auto"/>
                <w:highlight w:val="none"/>
                <w:lang w:val="en-US" w:eastAsia="zh-CN"/>
              </w:rPr>
            </w:pPr>
          </w:p>
        </w:tc>
      </w:tr>
    </w:tbl>
    <w:p w14:paraId="5CEB9D69">
      <w:pPr>
        <w:shd w:val="clear"/>
        <w:rPr>
          <w:rFonts w:hint="default" w:ascii="Times New Roman" w:hAnsi="Times New Roman" w:eastAsia="宋体" w:cs="Times New Roman"/>
          <w:color w:val="auto"/>
          <w:sz w:val="2"/>
          <w:szCs w:val="2"/>
          <w:highlight w:val="none"/>
        </w:rPr>
        <w:sectPr>
          <w:pgSz w:w="11910" w:h="16840"/>
          <w:pgMar w:top="1219" w:right="1185" w:bottom="1219" w:left="1100" w:header="0" w:footer="1417" w:gutter="0"/>
          <w:pgBorders>
            <w:top w:val="none" w:sz="0" w:space="0"/>
            <w:left w:val="none" w:sz="0" w:space="0"/>
            <w:bottom w:val="none" w:sz="0" w:space="0"/>
            <w:right w:val="none" w:sz="0" w:space="0"/>
          </w:pgBorders>
          <w:pgNumType w:fmt="decimal"/>
          <w:cols w:space="0" w:num="1"/>
        </w:sectPr>
      </w:pPr>
    </w:p>
    <w:p w14:paraId="6EDF0CAC">
      <w:pPr>
        <w:pStyle w:val="6"/>
        <w:shd w:val="clear"/>
        <w:rPr>
          <w:rFonts w:hint="default" w:ascii="Times New Roman" w:hAnsi="Times New Roman" w:eastAsia="宋体" w:cs="Times New Roman"/>
          <w:color w:val="auto"/>
          <w:highlight w:val="none"/>
        </w:rPr>
      </w:pPr>
      <w:bookmarkStart w:id="21" w:name="表11环境影响分析"/>
      <w:bookmarkEnd w:id="21"/>
      <w:bookmarkStart w:id="22" w:name="_Toc4390"/>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11 环境影响分析</w:t>
      </w:r>
      <w:bookmarkEnd w:id="22"/>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1"/>
      </w:tblGrid>
      <w:tr w14:paraId="1619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2" w:hRule="atLeast"/>
          <w:jc w:val="center"/>
        </w:trPr>
        <w:tc>
          <w:tcPr>
            <w:tcW w:w="9841" w:type="dxa"/>
          </w:tcPr>
          <w:p w14:paraId="25963E06">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lang w:val="en-US" w:eastAsia="zh-CN"/>
              </w:rPr>
              <w:t>11.1</w:t>
            </w:r>
            <w:r>
              <w:rPr>
                <w:rFonts w:hint="default" w:ascii="Times New Roman" w:hAnsi="Times New Roman" w:eastAsia="宋体" w:cs="Times New Roman"/>
                <w:b/>
                <w:bCs/>
                <w:color w:val="auto"/>
                <w:highlight w:val="none"/>
              </w:rPr>
              <w:t>建设阶段对环境的影响</w:t>
            </w:r>
          </w:p>
          <w:p w14:paraId="16867A73">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本项目均在已许可的工作场所内增加核素的使用，本项目不存在土建施工产生的污染影响。</w:t>
            </w:r>
          </w:p>
          <w:p w14:paraId="38DE4844">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施工期产生的污染源主要为射线装置及核素调试阶段产生的电离辐射影响，射线装置、核素调试由设备供货方专业人员进行，医院方不得自行调试。安装调试阶段是在辐射防护设计完成后进行，在此过程中各屏蔽体屏蔽到位，关闭防护门，在机房门外设立辐射警告标志，禁止无关人员靠近。设备安装过程中会产生包装废物及电离辐射。</w:t>
            </w:r>
          </w:p>
          <w:p w14:paraId="383CF2D0">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调试过程可能产生的放射性污染及防治措施</w:t>
            </w:r>
          </w:p>
          <w:p w14:paraId="5EE07E53">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设备的安装和调试均在机房内完成，由厂家专业人员进行，医院方不得自行拆卸、安装设备，并应保证各屏蔽体屏蔽到位，安装调试期间操作人员必须持证上岗并采取足够的个人防护措施。非密封放射源工作场所调试阶段，在机房门外设立辐射警示标志，工作人员使用个人剂量报警仪，调试完毕对工作场所进行αβ表面污染监测，产生放射性沾染的，应及时去污，场所清洁产生的放射性废物及其他含有放射性沾染的物品，按放射性废物管理。其中，所含核素半衰期小于24小时的放射性固体废物暂存时间超过30天；所含核素半衰期大于24小时的放射性固体废物暂存时间超过核素最长半衰期的10倍。暂存期满后，经监测辐射剂量率满足所处环境本底水平，</w:t>
            </w:r>
            <w:r>
              <w:rPr>
                <w:rFonts w:hint="default" w:ascii="Times New Roman" w:hAnsi="Times New Roman" w:cs="Times New Roman"/>
                <w:color w:val="auto"/>
                <w:highlight w:val="none"/>
                <w:lang w:val="en-US" w:eastAsia="zh-CN"/>
              </w:rPr>
              <w:t>a表面污染小于0.08Bq/cm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β表面污染小于0.8Bq/cm</w:t>
            </w:r>
            <w:r>
              <w:rPr>
                <w:rFonts w:hint="default" w:ascii="Times New Roman" w:hAnsi="Times New Roman" w:eastAsia="宋体" w:cs="Times New Roman"/>
                <w:color w:val="auto"/>
                <w:highlight w:val="none"/>
                <w:vertAlign w:val="superscript"/>
                <w:lang w:val="en-US" w:eastAsia="zh-CN"/>
              </w:rPr>
              <w:t>2</w:t>
            </w:r>
            <w:r>
              <w:rPr>
                <w:rFonts w:hint="default" w:ascii="Times New Roman" w:hAnsi="Times New Roman" w:eastAsia="宋体" w:cs="Times New Roman"/>
                <w:color w:val="auto"/>
                <w:highlight w:val="none"/>
                <w:lang w:val="en-US" w:eastAsia="zh-CN"/>
              </w:rPr>
              <w:t>的，可对废物清洁解控并作为医疗废物处理。</w:t>
            </w:r>
          </w:p>
          <w:p w14:paraId="5C6B9514">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本项目施工期对外界的影响是暂时的，随着施工期的结束，影响也将消失。通过采取相应的污染防治措施后，本项目施工期对外界影响小，不存在环保遗留问题。</w:t>
            </w:r>
          </w:p>
          <w:p w14:paraId="7C09903F">
            <w:pPr>
              <w:pStyle w:val="12"/>
              <w:keepNext w:val="0"/>
              <w:keepLines w:val="0"/>
              <w:suppressLineNumbers w:val="0"/>
              <w:bidi w:val="0"/>
              <w:spacing w:before="0" w:beforeAutospacing="0" w:after="0" w:afterAutospacing="0" w:line="360" w:lineRule="auto"/>
              <w:ind w:left="0" w:right="0" w:firstLine="482" w:firstLineChars="200"/>
              <w:jc w:val="both"/>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11.2运行阶段对环境的影响</w:t>
            </w:r>
          </w:p>
          <w:p w14:paraId="676AA3BD">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11.2.1放射性药品生产场所辐射环境影响分析</w:t>
            </w:r>
          </w:p>
          <w:p w14:paraId="1279D3FA">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11.2.1.1回旋加速器辐射影响分析</w:t>
            </w:r>
          </w:p>
          <w:p w14:paraId="4506E73E">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（1）回旋加速器室外剂量率估算</w:t>
            </w:r>
          </w:p>
          <w:p w14:paraId="7A74EFFC">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根据医院提供的资料，</w:t>
            </w:r>
            <w:r>
              <w:rPr>
                <w:rFonts w:hint="eastAsia" w:cs="Times New Roman"/>
                <w:color w:val="auto"/>
                <w:sz w:val="24"/>
                <w:szCs w:val="24"/>
                <w:highlight w:val="none"/>
                <w:lang w:val="en-US" w:eastAsia="zh-CN"/>
              </w:rPr>
              <w:t>医院现有</w:t>
            </w:r>
            <w:r>
              <w:rPr>
                <w:rFonts w:hint="default" w:ascii="Times New Roman" w:hAnsi="Times New Roman" w:cs="Times New Roman"/>
                <w:color w:val="auto"/>
                <w:sz w:val="24"/>
                <w:szCs w:val="24"/>
                <w:highlight w:val="none"/>
                <w:lang w:val="en-US" w:eastAsia="zh-CN"/>
              </w:rPr>
              <w:t>的回旋加速器是一套完整的全自动的，具有自屏蔽功能的正电子药物生产系统，为HM-10HC+型自屏蔽式回旋加速器，其最大质子束流能量最大为10MeV，引出质子束流强度最大为100μA，本项目拟建回旋加速器自屏蔽体外的剂量率根据日本住友重机械工业株式会社公司生产的HM-10HC+型自屏蔽式回旋加速器生产厂家提供的泄露辐射剂量等高线进行确定。</w:t>
            </w:r>
          </w:p>
          <w:p w14:paraId="448680BE">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sz w:val="24"/>
                <w:szCs w:val="24"/>
                <w:highlight w:val="none"/>
                <w:lang w:val="en-US" w:eastAsia="zh-CN"/>
              </w:rPr>
              <w:t>根据生产商提供的回旋加速器的屏蔽设计技术文件，本项目回旋加速器正常运行状态下，自屏蔽体外1m处的中子辐射剂量率和γ辐射剂量率见表11-1和图11-1。</w:t>
            </w:r>
          </w:p>
        </w:tc>
      </w:tr>
      <w:tr w14:paraId="4D1C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41" w:type="dxa"/>
          </w:tcPr>
          <w:tbl>
            <w:tblPr>
              <w:tblStyle w:val="23"/>
              <w:tblW w:w="9363" w:type="dxa"/>
              <w:tblInd w:w="30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363"/>
            </w:tblGrid>
            <w:tr w14:paraId="1A6A5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363" w:type="dxa"/>
                  <w:tcBorders>
                    <w:tl2br w:val="nil"/>
                    <w:tr2bl w:val="nil"/>
                  </w:tcBorders>
                </w:tcPr>
                <w:p w14:paraId="2DEF3EC7">
                  <w:pPr>
                    <w:keepNext w:val="0"/>
                    <w:keepLines w:val="0"/>
                    <w:suppressLineNumbers w:val="0"/>
                    <w:bidi w:val="0"/>
                    <w:spacing w:before="0" w:beforeAutospacing="0" w:after="0" w:afterAutospacing="0" w:line="360" w:lineRule="auto"/>
                    <w:ind w:left="0" w:right="0"/>
                    <w:jc w:val="center"/>
                    <w:rPr>
                      <w:rFonts w:hint="default" w:ascii="Times New Roman" w:hAnsi="Times New Roman" w:cs="Times New Roman"/>
                      <w:color w:val="auto"/>
                      <w:highlight w:val="none"/>
                      <w:vertAlign w:val="baseline"/>
                      <w:lang w:val="en-US" w:eastAsia="zh-CN"/>
                    </w:rPr>
                  </w:pPr>
                </w:p>
                <w:p w14:paraId="59B4BA10">
                  <w:pPr>
                    <w:keepNext w:val="0"/>
                    <w:keepLines w:val="0"/>
                    <w:suppressLineNumbers w:val="0"/>
                    <w:bidi w:val="0"/>
                    <w:spacing w:before="0" w:beforeAutospacing="0" w:after="0" w:afterAutospacing="0" w:line="360" w:lineRule="auto"/>
                    <w:ind w:left="0" w:right="0"/>
                    <w:jc w:val="center"/>
                    <w:rPr>
                      <w:rFonts w:hint="default" w:ascii="Times New Roman" w:hAnsi="Times New Roman" w:cs="Times New Roman"/>
                      <w:color w:val="auto"/>
                      <w:highlight w:val="none"/>
                      <w:vertAlign w:val="baseline"/>
                      <w:lang w:val="en-US" w:eastAsia="zh-CN"/>
                    </w:rPr>
                  </w:pPr>
                </w:p>
                <w:p w14:paraId="35095D13">
                  <w:pPr>
                    <w:keepNext w:val="0"/>
                    <w:keepLines w:val="0"/>
                    <w:suppressLineNumbers w:val="0"/>
                    <w:bidi w:val="0"/>
                    <w:spacing w:before="0" w:beforeAutospacing="0" w:after="0" w:afterAutospacing="0" w:line="360" w:lineRule="auto"/>
                    <w:ind w:left="0" w:right="0"/>
                    <w:jc w:val="center"/>
                    <w:rPr>
                      <w:rFonts w:hint="default" w:ascii="Times New Roman" w:hAnsi="Times New Roman" w:cs="Times New Roman"/>
                      <w:color w:val="auto"/>
                      <w:highlight w:val="none"/>
                      <w:vertAlign w:val="baseline"/>
                      <w:lang w:val="en-US" w:eastAsia="zh-CN"/>
                    </w:rPr>
                  </w:pPr>
                  <w:r>
                    <w:rPr>
                      <w:rFonts w:hint="default" w:ascii="Times New Roman" w:hAnsi="Times New Roman" w:cs="Times New Roman"/>
                      <w:b/>
                      <w:bCs/>
                      <w:color w:val="auto"/>
                      <w:sz w:val="24"/>
                      <w:szCs w:val="24"/>
                      <w:highlight w:val="none"/>
                      <w:lang w:val="en-US" w:eastAsia="zh-CN"/>
                    </w:rPr>
                    <w:t>图11-1  自屏蔽体外1m处的中子辐射剂量率和γ辐射剂量率示意图</w:t>
                  </w:r>
                </w:p>
              </w:tc>
            </w:tr>
          </w:tbl>
          <w:p w14:paraId="26174FF2">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sz w:val="24"/>
                <w:szCs w:val="24"/>
                <w:highlight w:val="none"/>
                <w:lang w:val="en-US" w:eastAsia="zh-CN"/>
              </w:rPr>
            </w:pPr>
          </w:p>
          <w:p w14:paraId="2F08C5C8">
            <w:pPr>
              <w:keepNext w:val="0"/>
              <w:keepLines w:val="0"/>
              <w:suppressLineNumbers w:val="0"/>
              <w:shd w:val="clear"/>
              <w:bidi w:val="0"/>
              <w:spacing w:before="0" w:beforeAutospacing="0" w:after="0" w:afterAutospacing="0" w:line="360" w:lineRule="auto"/>
              <w:ind w:left="0" w:right="0" w:firstLine="482" w:firstLineChars="200"/>
              <w:jc w:val="center"/>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表 11-1 HM-10HC+型回旋加速器自屏蔽体表面 1m 处的最大剂量率一览表</w:t>
            </w:r>
          </w:p>
          <w:tbl>
            <w:tblPr>
              <w:tblStyle w:val="30"/>
              <w:tblW w:w="9139" w:type="dxa"/>
              <w:tblInd w:w="97"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939"/>
              <w:gridCol w:w="1893"/>
              <w:gridCol w:w="2387"/>
              <w:gridCol w:w="1920"/>
            </w:tblGrid>
            <w:tr w14:paraId="66E5F4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2939" w:type="dxa"/>
                  <w:tcBorders>
                    <w:tl2br w:val="nil"/>
                    <w:tr2bl w:val="nil"/>
                  </w:tcBorders>
                  <w:vAlign w:val="center"/>
                </w:tcPr>
                <w:p w14:paraId="6897DEE7">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方位</w:t>
                  </w:r>
                </w:p>
              </w:tc>
              <w:tc>
                <w:tcPr>
                  <w:tcW w:w="1893" w:type="dxa"/>
                  <w:tcBorders>
                    <w:tl2br w:val="nil"/>
                    <w:tr2bl w:val="nil"/>
                  </w:tcBorders>
                  <w:vAlign w:val="center"/>
                </w:tcPr>
                <w:p w14:paraId="3EA37E92">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中子辐射剂量率</w:t>
                  </w:r>
                </w:p>
                <w:p w14:paraId="7D7C4A37">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 μSv/h）</w:t>
                  </w:r>
                </w:p>
              </w:tc>
              <w:tc>
                <w:tcPr>
                  <w:tcW w:w="2387" w:type="dxa"/>
                  <w:tcBorders>
                    <w:tl2br w:val="nil"/>
                    <w:tr2bl w:val="nil"/>
                  </w:tcBorders>
                  <w:vAlign w:val="center"/>
                </w:tcPr>
                <w:p w14:paraId="2F2F4FCE">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γ辐射剂量率( μSv/h）</w:t>
                  </w:r>
                </w:p>
              </w:tc>
              <w:tc>
                <w:tcPr>
                  <w:tcW w:w="1920" w:type="dxa"/>
                  <w:tcBorders>
                    <w:tl2br w:val="nil"/>
                    <w:tr2bl w:val="nil"/>
                  </w:tcBorders>
                  <w:vAlign w:val="center"/>
                </w:tcPr>
                <w:p w14:paraId="19B78992">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总辐射剂量率( μSv/h）</w:t>
                  </w:r>
                </w:p>
              </w:tc>
            </w:tr>
            <w:tr w14:paraId="4C5E59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3" w:hRule="atLeast"/>
              </w:trPr>
              <w:tc>
                <w:tcPr>
                  <w:tcW w:w="2939" w:type="dxa"/>
                  <w:tcBorders>
                    <w:tl2br w:val="nil"/>
                    <w:tr2bl w:val="nil"/>
                  </w:tcBorders>
                  <w:vAlign w:val="center"/>
                </w:tcPr>
                <w:p w14:paraId="501D8C59">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加速器自屏蔽体背面 1m 处</w:t>
                  </w:r>
                </w:p>
              </w:tc>
              <w:tc>
                <w:tcPr>
                  <w:tcW w:w="1893" w:type="dxa"/>
                  <w:tcBorders>
                    <w:tl2br w:val="nil"/>
                    <w:tr2bl w:val="nil"/>
                  </w:tcBorders>
                  <w:vAlign w:val="center"/>
                </w:tcPr>
                <w:p w14:paraId="0CA5319B">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15.9</w:t>
                  </w:r>
                </w:p>
              </w:tc>
              <w:tc>
                <w:tcPr>
                  <w:tcW w:w="2387" w:type="dxa"/>
                  <w:tcBorders>
                    <w:tl2br w:val="nil"/>
                    <w:tr2bl w:val="nil"/>
                  </w:tcBorders>
                  <w:vAlign w:val="center"/>
                </w:tcPr>
                <w:p w14:paraId="54095703">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14. 1</w:t>
                  </w:r>
                </w:p>
              </w:tc>
              <w:tc>
                <w:tcPr>
                  <w:tcW w:w="1920" w:type="dxa"/>
                  <w:tcBorders>
                    <w:tl2br w:val="nil"/>
                    <w:tr2bl w:val="nil"/>
                  </w:tcBorders>
                  <w:vAlign w:val="center"/>
                </w:tcPr>
                <w:p w14:paraId="35822423">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30.0</w:t>
                  </w:r>
                </w:p>
              </w:tc>
            </w:tr>
            <w:tr w14:paraId="1A288C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3" w:hRule="atLeast"/>
              </w:trPr>
              <w:tc>
                <w:tcPr>
                  <w:tcW w:w="2939" w:type="dxa"/>
                  <w:tcBorders>
                    <w:tl2br w:val="nil"/>
                    <w:tr2bl w:val="nil"/>
                  </w:tcBorders>
                  <w:vAlign w:val="center"/>
                </w:tcPr>
                <w:p w14:paraId="5CC1E911">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加速器自屏蔽体正面 1m 处</w:t>
                  </w:r>
                </w:p>
              </w:tc>
              <w:tc>
                <w:tcPr>
                  <w:tcW w:w="1893" w:type="dxa"/>
                  <w:tcBorders>
                    <w:tl2br w:val="nil"/>
                    <w:tr2bl w:val="nil"/>
                  </w:tcBorders>
                  <w:vAlign w:val="center"/>
                </w:tcPr>
                <w:p w14:paraId="79C4EAFC">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6.7</w:t>
                  </w:r>
                </w:p>
              </w:tc>
              <w:tc>
                <w:tcPr>
                  <w:tcW w:w="2387" w:type="dxa"/>
                  <w:tcBorders>
                    <w:tl2br w:val="nil"/>
                    <w:tr2bl w:val="nil"/>
                  </w:tcBorders>
                  <w:vAlign w:val="center"/>
                </w:tcPr>
                <w:p w14:paraId="050A1E49">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34.6</w:t>
                  </w:r>
                </w:p>
              </w:tc>
              <w:tc>
                <w:tcPr>
                  <w:tcW w:w="1920" w:type="dxa"/>
                  <w:tcBorders>
                    <w:tl2br w:val="nil"/>
                    <w:tr2bl w:val="nil"/>
                  </w:tcBorders>
                  <w:vAlign w:val="center"/>
                </w:tcPr>
                <w:p w14:paraId="506AE5E0">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41.3</w:t>
                  </w:r>
                </w:p>
              </w:tc>
            </w:tr>
            <w:tr w14:paraId="1BD4FC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3" w:hRule="atLeast"/>
              </w:trPr>
              <w:tc>
                <w:tcPr>
                  <w:tcW w:w="2939" w:type="dxa"/>
                  <w:tcBorders>
                    <w:tl2br w:val="nil"/>
                    <w:tr2bl w:val="nil"/>
                  </w:tcBorders>
                  <w:vAlign w:val="center"/>
                </w:tcPr>
                <w:p w14:paraId="072699EF">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加速器自屏蔽体左面 1m 处</w:t>
                  </w:r>
                </w:p>
              </w:tc>
              <w:tc>
                <w:tcPr>
                  <w:tcW w:w="1893" w:type="dxa"/>
                  <w:tcBorders>
                    <w:tl2br w:val="nil"/>
                    <w:tr2bl w:val="nil"/>
                  </w:tcBorders>
                  <w:vAlign w:val="center"/>
                </w:tcPr>
                <w:p w14:paraId="363311C4">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30.3</w:t>
                  </w:r>
                </w:p>
              </w:tc>
              <w:tc>
                <w:tcPr>
                  <w:tcW w:w="2387" w:type="dxa"/>
                  <w:tcBorders>
                    <w:tl2br w:val="nil"/>
                    <w:tr2bl w:val="nil"/>
                  </w:tcBorders>
                  <w:vAlign w:val="center"/>
                </w:tcPr>
                <w:p w14:paraId="07B81C70">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42.5</w:t>
                  </w:r>
                </w:p>
              </w:tc>
              <w:tc>
                <w:tcPr>
                  <w:tcW w:w="1920" w:type="dxa"/>
                  <w:tcBorders>
                    <w:tl2br w:val="nil"/>
                    <w:tr2bl w:val="nil"/>
                  </w:tcBorders>
                  <w:vAlign w:val="center"/>
                </w:tcPr>
                <w:p w14:paraId="27DB6B48">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72.8</w:t>
                  </w:r>
                </w:p>
              </w:tc>
            </w:tr>
            <w:tr w14:paraId="1FD305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3" w:hRule="atLeast"/>
              </w:trPr>
              <w:tc>
                <w:tcPr>
                  <w:tcW w:w="2939" w:type="dxa"/>
                  <w:tcBorders>
                    <w:tl2br w:val="nil"/>
                    <w:tr2bl w:val="nil"/>
                  </w:tcBorders>
                  <w:vAlign w:val="center"/>
                </w:tcPr>
                <w:p w14:paraId="1FF6DC4C">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加速器自屏蔽体右面 1m 处</w:t>
                  </w:r>
                </w:p>
              </w:tc>
              <w:tc>
                <w:tcPr>
                  <w:tcW w:w="1893" w:type="dxa"/>
                  <w:tcBorders>
                    <w:tl2br w:val="nil"/>
                    <w:tr2bl w:val="nil"/>
                  </w:tcBorders>
                  <w:vAlign w:val="center"/>
                </w:tcPr>
                <w:p w14:paraId="353D8B60">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0"/>
                      <w:highlight w:val="none"/>
                      <w:lang w:val="en-US" w:eastAsia="zh-CN"/>
                    </w:rPr>
                  </w:pPr>
                  <w:r>
                    <w:rPr>
                      <w:rFonts w:hint="default" w:ascii="Times New Roman" w:hAnsi="Times New Roman" w:eastAsia="宋体" w:cs="Times New Roman"/>
                      <w:b/>
                      <w:bCs/>
                      <w:color w:val="auto"/>
                      <w:kern w:val="2"/>
                      <w:sz w:val="21"/>
                      <w:szCs w:val="20"/>
                      <w:highlight w:val="none"/>
                      <w:lang w:val="en-US" w:eastAsia="zh-CN"/>
                    </w:rPr>
                    <w:t>112.7</w:t>
                  </w:r>
                </w:p>
              </w:tc>
              <w:tc>
                <w:tcPr>
                  <w:tcW w:w="2387" w:type="dxa"/>
                  <w:tcBorders>
                    <w:tl2br w:val="nil"/>
                    <w:tr2bl w:val="nil"/>
                  </w:tcBorders>
                  <w:vAlign w:val="center"/>
                </w:tcPr>
                <w:p w14:paraId="3FA020AA">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b/>
                      <w:bCs/>
                      <w:color w:val="auto"/>
                      <w:kern w:val="2"/>
                      <w:sz w:val="21"/>
                      <w:szCs w:val="20"/>
                      <w:highlight w:val="none"/>
                      <w:lang w:val="en-US" w:eastAsia="zh-CN"/>
                    </w:rPr>
                  </w:pPr>
                  <w:r>
                    <w:rPr>
                      <w:rFonts w:hint="default" w:ascii="Times New Roman" w:hAnsi="Times New Roman" w:eastAsia="宋体" w:cs="Times New Roman"/>
                      <w:b/>
                      <w:bCs/>
                      <w:color w:val="auto"/>
                      <w:kern w:val="2"/>
                      <w:sz w:val="21"/>
                      <w:szCs w:val="20"/>
                      <w:highlight w:val="none"/>
                      <w:lang w:val="en-US" w:eastAsia="zh-CN"/>
                    </w:rPr>
                    <w:t>55.9</w:t>
                  </w:r>
                </w:p>
              </w:tc>
              <w:tc>
                <w:tcPr>
                  <w:tcW w:w="1920" w:type="dxa"/>
                  <w:tcBorders>
                    <w:tl2br w:val="nil"/>
                    <w:tr2bl w:val="nil"/>
                  </w:tcBorders>
                  <w:vAlign w:val="center"/>
                </w:tcPr>
                <w:p w14:paraId="7D806AA4">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168.6</w:t>
                  </w:r>
                </w:p>
              </w:tc>
            </w:tr>
            <w:tr w14:paraId="33A3667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2939" w:type="dxa"/>
                  <w:tcBorders>
                    <w:tl2br w:val="nil"/>
                    <w:tr2bl w:val="nil"/>
                  </w:tcBorders>
                  <w:vAlign w:val="center"/>
                </w:tcPr>
                <w:p w14:paraId="23248A15">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加速器自屏蔽体上面 1m 处</w:t>
                  </w:r>
                </w:p>
              </w:tc>
              <w:tc>
                <w:tcPr>
                  <w:tcW w:w="1893" w:type="dxa"/>
                  <w:tcBorders>
                    <w:tl2br w:val="nil"/>
                    <w:tr2bl w:val="nil"/>
                  </w:tcBorders>
                  <w:vAlign w:val="center"/>
                </w:tcPr>
                <w:p w14:paraId="2496430E">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14.4</w:t>
                  </w:r>
                </w:p>
              </w:tc>
              <w:tc>
                <w:tcPr>
                  <w:tcW w:w="2387" w:type="dxa"/>
                  <w:tcBorders>
                    <w:tl2br w:val="nil"/>
                    <w:tr2bl w:val="nil"/>
                  </w:tcBorders>
                  <w:vAlign w:val="center"/>
                </w:tcPr>
                <w:p w14:paraId="78EB680A">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16.5</w:t>
                  </w:r>
                </w:p>
              </w:tc>
              <w:tc>
                <w:tcPr>
                  <w:tcW w:w="1920" w:type="dxa"/>
                  <w:tcBorders>
                    <w:tl2br w:val="nil"/>
                    <w:tr2bl w:val="nil"/>
                  </w:tcBorders>
                  <w:vAlign w:val="center"/>
                </w:tcPr>
                <w:p w14:paraId="1730CF57">
                  <w:pPr>
                    <w:keepNext w:val="0"/>
                    <w:keepLines w:val="0"/>
                    <w:suppressLineNumbers w:val="0"/>
                    <w:autoSpaceDE/>
                    <w:autoSpaceDN/>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0"/>
                      <w:highlight w:val="none"/>
                      <w:lang w:val="en-US" w:eastAsia="zh-CN"/>
                    </w:rPr>
                  </w:pPr>
                  <w:r>
                    <w:rPr>
                      <w:rFonts w:hint="default" w:ascii="Times New Roman" w:hAnsi="Times New Roman" w:eastAsia="宋体" w:cs="Times New Roman"/>
                      <w:color w:val="auto"/>
                      <w:kern w:val="2"/>
                      <w:sz w:val="21"/>
                      <w:szCs w:val="20"/>
                      <w:highlight w:val="none"/>
                      <w:lang w:val="en-US" w:eastAsia="zh-CN"/>
                    </w:rPr>
                    <w:t>30.9</w:t>
                  </w:r>
                </w:p>
              </w:tc>
            </w:tr>
          </w:tbl>
          <w:p w14:paraId="238D8895">
            <w:pPr>
              <w:keepNext w:val="0"/>
              <w:keepLines w:val="0"/>
              <w:suppressLineNumbers w:val="0"/>
              <w:shd w:val="clear"/>
              <w:bidi w:val="0"/>
              <w:spacing w:before="0" w:beforeAutospacing="0" w:after="0" w:afterAutospacing="0" w:line="360" w:lineRule="auto"/>
              <w:ind w:left="0" w:right="0" w:firstLine="480" w:firstLineChars="200"/>
              <w:jc w:val="both"/>
              <w:rPr>
                <w:rFonts w:hint="default" w:ascii="Times New Roman" w:hAnsi="Times New Roman" w:cs="Times New Roman"/>
                <w:color w:val="auto"/>
                <w:highlight w:val="none"/>
                <w:lang w:val="en-US" w:eastAsia="zh-CN"/>
              </w:rPr>
            </w:pPr>
          </w:p>
          <w:p w14:paraId="15B9B80B">
            <w:pPr>
              <w:keepNext w:val="0"/>
              <w:keepLines w:val="0"/>
              <w:suppressLineNumbers w:val="0"/>
              <w:spacing w:before="21" w:beforeAutospacing="0" w:after="0" w:afterAutospacing="0" w:line="210" w:lineRule="auto"/>
              <w:ind w:left="1486" w:right="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2"/>
                <w:sz w:val="24"/>
                <w:szCs w:val="24"/>
                <w:highlight w:val="none"/>
              </w:rPr>
              <w:t>表</w:t>
            </w:r>
            <w:r>
              <w:rPr>
                <w:rFonts w:hint="default" w:ascii="Times New Roman" w:hAnsi="Times New Roman" w:eastAsia="Times New Roman" w:cs="Times New Roman"/>
                <w:b/>
                <w:bCs/>
                <w:color w:val="auto"/>
                <w:spacing w:val="-2"/>
                <w:sz w:val="24"/>
                <w:szCs w:val="24"/>
                <w:highlight w:val="none"/>
              </w:rPr>
              <w:t>11-</w:t>
            </w:r>
            <w:r>
              <w:rPr>
                <w:rFonts w:hint="default" w:ascii="Times New Roman" w:hAnsi="Times New Roman" w:eastAsia="宋体" w:cs="Times New Roman"/>
                <w:b/>
                <w:bCs/>
                <w:color w:val="auto"/>
                <w:spacing w:val="-2"/>
                <w:sz w:val="24"/>
                <w:szCs w:val="24"/>
                <w:highlight w:val="none"/>
                <w:lang w:val="en-US" w:eastAsia="zh-CN"/>
              </w:rPr>
              <w:t xml:space="preserve">2  </w:t>
            </w:r>
            <w:r>
              <w:rPr>
                <w:rFonts w:hint="default" w:ascii="Times New Roman" w:hAnsi="Times New Roman" w:eastAsia="宋体" w:cs="Times New Roman"/>
                <w:b/>
                <w:bCs/>
                <w:color w:val="auto"/>
                <w:spacing w:val="-2"/>
                <w:sz w:val="24"/>
                <w:szCs w:val="24"/>
                <w:highlight w:val="none"/>
              </w:rPr>
              <w:t>不同屏蔽物质对</w:t>
            </w:r>
            <w:r>
              <w:rPr>
                <w:rFonts w:hint="default" w:ascii="Times New Roman" w:hAnsi="Times New Roman" w:eastAsia="Times New Roman" w:cs="Times New Roman"/>
                <w:b/>
                <w:bCs/>
                <w:color w:val="auto"/>
                <w:spacing w:val="-2"/>
                <w:sz w:val="24"/>
                <w:szCs w:val="24"/>
                <w:highlight w:val="none"/>
              </w:rPr>
              <w:t>5MeV</w:t>
            </w:r>
            <w:r>
              <w:rPr>
                <w:rFonts w:hint="default" w:ascii="Times New Roman" w:hAnsi="Times New Roman" w:eastAsia="宋体" w:cs="Times New Roman"/>
                <w:b/>
                <w:bCs/>
                <w:color w:val="auto"/>
                <w:spacing w:val="-2"/>
                <w:sz w:val="24"/>
                <w:szCs w:val="24"/>
                <w:highlight w:val="none"/>
              </w:rPr>
              <w:t>中子和</w:t>
            </w:r>
            <w:r>
              <w:rPr>
                <w:rFonts w:hint="default" w:ascii="Times New Roman" w:hAnsi="Times New Roman" w:eastAsia="Times New Roman" w:cs="Times New Roman"/>
                <w:b/>
                <w:bCs/>
                <w:color w:val="auto"/>
                <w:spacing w:val="-2"/>
                <w:sz w:val="24"/>
                <w:szCs w:val="24"/>
                <w:highlight w:val="none"/>
              </w:rPr>
              <w:t>8MeVγ</w:t>
            </w:r>
            <w:r>
              <w:rPr>
                <w:rFonts w:hint="default" w:ascii="Times New Roman" w:hAnsi="Times New Roman" w:eastAsia="宋体" w:cs="Times New Roman"/>
                <w:b/>
                <w:bCs/>
                <w:color w:val="auto"/>
                <w:spacing w:val="-2"/>
                <w:sz w:val="24"/>
                <w:szCs w:val="24"/>
                <w:highlight w:val="none"/>
              </w:rPr>
              <w:t>射线的</w:t>
            </w:r>
            <w:r>
              <w:rPr>
                <w:rFonts w:hint="default" w:ascii="Times New Roman" w:hAnsi="Times New Roman" w:eastAsia="Times New Roman" w:cs="Times New Roman"/>
                <w:b/>
                <w:bCs/>
                <w:color w:val="auto"/>
                <w:spacing w:val="-2"/>
                <w:sz w:val="24"/>
                <w:szCs w:val="24"/>
                <w:highlight w:val="none"/>
              </w:rPr>
              <w:t>TVL</w:t>
            </w:r>
            <w:r>
              <w:rPr>
                <w:rFonts w:hint="default" w:ascii="Times New Roman" w:hAnsi="Times New Roman" w:eastAsia="宋体" w:cs="Times New Roman"/>
                <w:b/>
                <w:bCs/>
                <w:color w:val="auto"/>
                <w:spacing w:val="-2"/>
                <w:sz w:val="24"/>
                <w:szCs w:val="24"/>
                <w:highlight w:val="none"/>
              </w:rPr>
              <w:t>值</w:t>
            </w:r>
          </w:p>
          <w:p w14:paraId="1B1BE830">
            <w:pPr>
              <w:keepNext w:val="0"/>
              <w:keepLines w:val="0"/>
              <w:suppressLineNumbers w:val="0"/>
              <w:spacing w:before="0" w:beforeAutospacing="0" w:after="0" w:afterAutospacing="0" w:line="34" w:lineRule="auto"/>
              <w:ind w:left="0" w:right="0"/>
              <w:jc w:val="both"/>
              <w:rPr>
                <w:rFonts w:hint="default" w:ascii="Times New Roman" w:hAnsi="Times New Roman" w:cs="Times New Roman"/>
                <w:color w:val="auto"/>
                <w:sz w:val="2"/>
                <w:highlight w:val="none"/>
              </w:rPr>
            </w:pPr>
          </w:p>
          <w:tbl>
            <w:tblPr>
              <w:tblStyle w:val="30"/>
              <w:tblW w:w="935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202"/>
              <w:gridCol w:w="2202"/>
              <w:gridCol w:w="2479"/>
              <w:gridCol w:w="2475"/>
            </w:tblGrid>
            <w:tr w14:paraId="75367A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1" w:hRule="atLeast"/>
                <w:jc w:val="center"/>
              </w:trPr>
              <w:tc>
                <w:tcPr>
                  <w:tcW w:w="2202" w:type="dxa"/>
                  <w:tcBorders>
                    <w:tl2br w:val="nil"/>
                    <w:tr2bl w:val="nil"/>
                  </w:tcBorders>
                  <w:vAlign w:val="top"/>
                </w:tcPr>
                <w:p w14:paraId="1D22F0FA">
                  <w:pPr>
                    <w:keepNext w:val="0"/>
                    <w:keepLines w:val="0"/>
                    <w:suppressLineNumbers w:val="0"/>
                    <w:spacing w:before="93" w:beforeAutospacing="0" w:after="0" w:afterAutospacing="0" w:line="227" w:lineRule="auto"/>
                    <w:ind w:left="558"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6"/>
                      <w:sz w:val="20"/>
                      <w:szCs w:val="20"/>
                      <w:highlight w:val="none"/>
                    </w:rPr>
                    <w:t>材料名称</w:t>
                  </w:r>
                </w:p>
              </w:tc>
              <w:tc>
                <w:tcPr>
                  <w:tcW w:w="2202" w:type="dxa"/>
                  <w:tcBorders>
                    <w:tl2br w:val="nil"/>
                    <w:tr2bl w:val="nil"/>
                  </w:tcBorders>
                  <w:vAlign w:val="top"/>
                </w:tcPr>
                <w:p w14:paraId="46088D92">
                  <w:pPr>
                    <w:keepNext w:val="0"/>
                    <w:keepLines w:val="0"/>
                    <w:suppressLineNumbers w:val="0"/>
                    <w:spacing w:before="94" w:beforeAutospacing="0" w:after="0" w:afterAutospacing="0" w:line="228" w:lineRule="auto"/>
                    <w:ind w:left="770"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3"/>
                      <w:sz w:val="20"/>
                      <w:szCs w:val="20"/>
                      <w:highlight w:val="none"/>
                    </w:rPr>
                    <w:t>密度</w:t>
                  </w:r>
                </w:p>
              </w:tc>
              <w:tc>
                <w:tcPr>
                  <w:tcW w:w="2479" w:type="dxa"/>
                  <w:tcBorders>
                    <w:tl2br w:val="nil"/>
                    <w:tr2bl w:val="nil"/>
                  </w:tcBorders>
                  <w:vAlign w:val="top"/>
                </w:tcPr>
                <w:p w14:paraId="5C204781">
                  <w:pPr>
                    <w:keepNext w:val="0"/>
                    <w:keepLines w:val="0"/>
                    <w:suppressLineNumbers w:val="0"/>
                    <w:spacing w:before="93" w:beforeAutospacing="0" w:after="0" w:afterAutospacing="0" w:line="228" w:lineRule="auto"/>
                    <w:ind w:left="430"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b/>
                      <w:bCs/>
                      <w:color w:val="auto"/>
                      <w:spacing w:val="16"/>
                      <w:sz w:val="20"/>
                      <w:szCs w:val="20"/>
                      <w:highlight w:val="none"/>
                    </w:rPr>
                    <w:t>中子的</w:t>
                  </w:r>
                  <w:r>
                    <w:rPr>
                      <w:rFonts w:hint="default" w:ascii="Times New Roman" w:hAnsi="Times New Roman" w:eastAsia="Times New Roman" w:cs="Times New Roman"/>
                      <w:b/>
                      <w:bCs/>
                      <w:color w:val="auto"/>
                      <w:sz w:val="20"/>
                      <w:szCs w:val="20"/>
                      <w:highlight w:val="none"/>
                    </w:rPr>
                    <w:t>TVL</w:t>
                  </w:r>
                  <w:r>
                    <w:rPr>
                      <w:rFonts w:hint="default" w:ascii="Times New Roman" w:hAnsi="Times New Roman" w:eastAsia="Times New Roman" w:cs="Times New Roman"/>
                      <w:b/>
                      <w:bCs/>
                      <w:color w:val="auto"/>
                      <w:spacing w:val="16"/>
                      <w:sz w:val="20"/>
                      <w:szCs w:val="20"/>
                      <w:highlight w:val="none"/>
                    </w:rPr>
                    <w:t xml:space="preserve"> </w:t>
                  </w:r>
                  <w:r>
                    <w:rPr>
                      <w:rFonts w:hint="default" w:ascii="Times New Roman" w:hAnsi="Times New Roman" w:eastAsia="宋体" w:cs="Times New Roman"/>
                      <w:b/>
                      <w:bCs/>
                      <w:color w:val="auto"/>
                      <w:spacing w:val="16"/>
                      <w:sz w:val="20"/>
                      <w:szCs w:val="20"/>
                      <w:highlight w:val="none"/>
                    </w:rPr>
                    <w:t>值</w:t>
                  </w:r>
                </w:p>
              </w:tc>
              <w:tc>
                <w:tcPr>
                  <w:tcW w:w="2475" w:type="dxa"/>
                  <w:tcBorders>
                    <w:tl2br w:val="nil"/>
                    <w:tr2bl w:val="nil"/>
                  </w:tcBorders>
                  <w:shd w:val="clear" w:color="auto" w:fill="auto"/>
                  <w:vAlign w:val="top"/>
                </w:tcPr>
                <w:p w14:paraId="57E4915F">
                  <w:pPr>
                    <w:keepNext w:val="0"/>
                    <w:keepLines w:val="0"/>
                    <w:suppressLineNumbers w:val="0"/>
                    <w:spacing w:before="93" w:beforeAutospacing="0" w:after="0" w:afterAutospacing="0" w:line="221" w:lineRule="auto"/>
                    <w:ind w:left="353" w:leftChars="0" w:right="0"/>
                    <w:rPr>
                      <w:rFonts w:hint="default" w:ascii="Times New Roman" w:hAnsi="Times New Roman" w:eastAsia="宋体" w:cs="Times New Roman"/>
                      <w:color w:val="auto"/>
                      <w:sz w:val="20"/>
                      <w:szCs w:val="20"/>
                      <w:highlight w:val="none"/>
                      <w:lang w:val="en-US" w:eastAsia="zh-CN" w:bidi="ar-SA"/>
                    </w:rPr>
                  </w:pPr>
                  <w:r>
                    <w:rPr>
                      <w:rFonts w:hint="default" w:ascii="Times New Roman" w:hAnsi="Times New Roman" w:eastAsia="Times New Roman" w:cs="Times New Roman"/>
                      <w:b/>
                      <w:bCs/>
                      <w:color w:val="auto"/>
                      <w:spacing w:val="18"/>
                      <w:sz w:val="20"/>
                      <w:szCs w:val="20"/>
                      <w:highlight w:val="none"/>
                    </w:rPr>
                    <w:t>γ</w:t>
                  </w:r>
                  <w:r>
                    <w:rPr>
                      <w:rFonts w:hint="default" w:ascii="Times New Roman" w:hAnsi="Times New Roman" w:eastAsia="宋体" w:cs="Times New Roman"/>
                      <w:b/>
                      <w:bCs/>
                      <w:color w:val="auto"/>
                      <w:spacing w:val="18"/>
                      <w:sz w:val="20"/>
                      <w:szCs w:val="20"/>
                      <w:highlight w:val="none"/>
                    </w:rPr>
                    <w:t>射线的</w:t>
                  </w:r>
                  <w:r>
                    <w:rPr>
                      <w:rFonts w:hint="default" w:ascii="Times New Roman" w:hAnsi="Times New Roman" w:eastAsia="Times New Roman" w:cs="Times New Roman"/>
                      <w:b/>
                      <w:bCs/>
                      <w:color w:val="auto"/>
                      <w:sz w:val="20"/>
                      <w:szCs w:val="20"/>
                      <w:highlight w:val="none"/>
                    </w:rPr>
                    <w:t>TVL</w:t>
                  </w:r>
                  <w:r>
                    <w:rPr>
                      <w:rFonts w:hint="default" w:ascii="Times New Roman" w:hAnsi="Times New Roman" w:eastAsia="Times New Roman" w:cs="Times New Roman"/>
                      <w:b/>
                      <w:bCs/>
                      <w:color w:val="auto"/>
                      <w:spacing w:val="18"/>
                      <w:sz w:val="20"/>
                      <w:szCs w:val="20"/>
                      <w:highlight w:val="none"/>
                    </w:rPr>
                    <w:t xml:space="preserve"> </w:t>
                  </w:r>
                  <w:r>
                    <w:rPr>
                      <w:rFonts w:hint="default" w:ascii="Times New Roman" w:hAnsi="Times New Roman" w:eastAsia="宋体" w:cs="Times New Roman"/>
                      <w:b/>
                      <w:bCs/>
                      <w:color w:val="auto"/>
                      <w:spacing w:val="18"/>
                      <w:sz w:val="20"/>
                      <w:szCs w:val="20"/>
                      <w:highlight w:val="none"/>
                    </w:rPr>
                    <w:t>值</w:t>
                  </w:r>
                </w:p>
              </w:tc>
            </w:tr>
            <w:tr w14:paraId="5DA214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6" w:hRule="atLeast"/>
                <w:jc w:val="center"/>
              </w:trPr>
              <w:tc>
                <w:tcPr>
                  <w:tcW w:w="2202" w:type="dxa"/>
                  <w:tcBorders>
                    <w:tl2br w:val="nil"/>
                    <w:tr2bl w:val="nil"/>
                  </w:tcBorders>
                  <w:vAlign w:val="top"/>
                </w:tcPr>
                <w:p w14:paraId="62261B7E">
                  <w:pPr>
                    <w:keepNext w:val="0"/>
                    <w:keepLines w:val="0"/>
                    <w:suppressLineNumbers w:val="0"/>
                    <w:spacing w:before="60" w:beforeAutospacing="0" w:after="0" w:afterAutospacing="0" w:line="238" w:lineRule="auto"/>
                    <w:ind w:left="874"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1"/>
                      <w:sz w:val="20"/>
                      <w:szCs w:val="20"/>
                      <w:highlight w:val="none"/>
                    </w:rPr>
                    <w:t>砼</w:t>
                  </w:r>
                </w:p>
              </w:tc>
              <w:tc>
                <w:tcPr>
                  <w:tcW w:w="2202" w:type="dxa"/>
                  <w:tcBorders>
                    <w:tl2br w:val="nil"/>
                    <w:tr2bl w:val="nil"/>
                  </w:tcBorders>
                  <w:vAlign w:val="top"/>
                </w:tcPr>
                <w:p w14:paraId="1EFED75D">
                  <w:pPr>
                    <w:keepNext w:val="0"/>
                    <w:keepLines w:val="0"/>
                    <w:suppressLineNumbers w:val="0"/>
                    <w:spacing w:before="76" w:beforeAutospacing="0" w:after="0" w:afterAutospacing="0" w:line="218" w:lineRule="auto"/>
                    <w:ind w:left="595" w:right="0"/>
                    <w:rPr>
                      <w:rFonts w:hint="default" w:ascii="Times New Roman" w:hAnsi="Times New Roman" w:eastAsia="Times New Roman" w:cs="Times New Roman"/>
                      <w:color w:val="auto"/>
                      <w:sz w:val="13"/>
                      <w:szCs w:val="13"/>
                      <w:highlight w:val="none"/>
                    </w:rPr>
                  </w:pPr>
                  <w:r>
                    <w:rPr>
                      <w:rFonts w:hint="default" w:ascii="Times New Roman" w:hAnsi="Times New Roman" w:eastAsia="Times New Roman" w:cs="Times New Roman"/>
                      <w:color w:val="auto"/>
                      <w:spacing w:val="3"/>
                      <w:sz w:val="20"/>
                      <w:szCs w:val="20"/>
                      <w:highlight w:val="none"/>
                    </w:rPr>
                    <w:t>2.35g/m</w:t>
                  </w:r>
                  <w:r>
                    <w:rPr>
                      <w:rFonts w:hint="default" w:ascii="Times New Roman" w:hAnsi="Times New Roman" w:eastAsia="Times New Roman" w:cs="Times New Roman"/>
                      <w:color w:val="auto"/>
                      <w:spacing w:val="3"/>
                      <w:position w:val="6"/>
                      <w:sz w:val="13"/>
                      <w:szCs w:val="13"/>
                      <w:highlight w:val="none"/>
                    </w:rPr>
                    <w:t>3</w:t>
                  </w:r>
                </w:p>
              </w:tc>
              <w:tc>
                <w:tcPr>
                  <w:tcW w:w="2479" w:type="dxa"/>
                  <w:tcBorders>
                    <w:tl2br w:val="nil"/>
                    <w:tr2bl w:val="nil"/>
                  </w:tcBorders>
                  <w:vAlign w:val="top"/>
                </w:tcPr>
                <w:p w14:paraId="6563317A">
                  <w:pPr>
                    <w:keepNext w:val="0"/>
                    <w:keepLines w:val="0"/>
                    <w:suppressLineNumbers w:val="0"/>
                    <w:spacing w:before="97" w:beforeAutospacing="0" w:after="0" w:afterAutospacing="0" w:line="195" w:lineRule="auto"/>
                    <w:ind w:left="864" w:right="0"/>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color w:val="auto"/>
                      <w:spacing w:val="9"/>
                      <w:sz w:val="20"/>
                      <w:szCs w:val="20"/>
                      <w:highlight w:val="none"/>
                    </w:rPr>
                    <w:t>43</w:t>
                  </w:r>
                  <w:r>
                    <w:rPr>
                      <w:rFonts w:hint="default" w:ascii="Times New Roman" w:hAnsi="Times New Roman" w:eastAsia="Times New Roman" w:cs="Times New Roman"/>
                      <w:color w:val="auto"/>
                      <w:sz w:val="20"/>
                      <w:szCs w:val="20"/>
                      <w:highlight w:val="none"/>
                    </w:rPr>
                    <w:t>cm</w:t>
                  </w:r>
                </w:p>
              </w:tc>
              <w:tc>
                <w:tcPr>
                  <w:tcW w:w="2475" w:type="dxa"/>
                  <w:tcBorders>
                    <w:tl2br w:val="nil"/>
                    <w:tr2bl w:val="nil"/>
                  </w:tcBorders>
                  <w:shd w:val="clear" w:color="auto" w:fill="auto"/>
                  <w:vAlign w:val="top"/>
                </w:tcPr>
                <w:p w14:paraId="14CA4C64">
                  <w:pPr>
                    <w:keepNext w:val="0"/>
                    <w:keepLines w:val="0"/>
                    <w:suppressLineNumbers w:val="0"/>
                    <w:spacing w:before="97" w:beforeAutospacing="0" w:after="0" w:afterAutospacing="0" w:line="195" w:lineRule="auto"/>
                    <w:ind w:left="868" w:leftChars="0" w:right="0"/>
                    <w:rPr>
                      <w:rFonts w:hint="default" w:ascii="Times New Roman" w:hAnsi="Times New Roman" w:eastAsia="Times New Roman" w:cs="Times New Roman"/>
                      <w:color w:val="auto"/>
                      <w:sz w:val="20"/>
                      <w:szCs w:val="20"/>
                      <w:highlight w:val="none"/>
                      <w:lang w:val="en-US" w:eastAsia="zh-CN" w:bidi="ar-SA"/>
                    </w:rPr>
                  </w:pPr>
                  <w:r>
                    <w:rPr>
                      <w:rFonts w:hint="default" w:ascii="Times New Roman" w:hAnsi="Times New Roman" w:eastAsia="Times New Roman" w:cs="Times New Roman"/>
                      <w:color w:val="auto"/>
                      <w:spacing w:val="7"/>
                      <w:sz w:val="20"/>
                      <w:szCs w:val="20"/>
                      <w:highlight w:val="none"/>
                    </w:rPr>
                    <w:t>38</w:t>
                  </w:r>
                  <w:r>
                    <w:rPr>
                      <w:rFonts w:hint="default" w:ascii="Times New Roman" w:hAnsi="Times New Roman" w:eastAsia="Times New Roman" w:cs="Times New Roman"/>
                      <w:color w:val="auto"/>
                      <w:sz w:val="20"/>
                      <w:szCs w:val="20"/>
                      <w:highlight w:val="none"/>
                    </w:rPr>
                    <w:t>cm</w:t>
                  </w:r>
                </w:p>
              </w:tc>
            </w:tr>
            <w:tr w14:paraId="2D2BBF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8" w:hRule="atLeast"/>
                <w:jc w:val="center"/>
              </w:trPr>
              <w:tc>
                <w:tcPr>
                  <w:tcW w:w="2202" w:type="dxa"/>
                  <w:tcBorders>
                    <w:tl2br w:val="nil"/>
                    <w:tr2bl w:val="nil"/>
                  </w:tcBorders>
                  <w:vAlign w:val="top"/>
                </w:tcPr>
                <w:p w14:paraId="4F19D578">
                  <w:pPr>
                    <w:keepNext w:val="0"/>
                    <w:keepLines w:val="0"/>
                    <w:suppressLineNumbers w:val="0"/>
                    <w:spacing w:before="35" w:beforeAutospacing="0" w:after="0" w:afterAutospacing="0" w:line="213" w:lineRule="auto"/>
                    <w:ind w:left="875"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z w:val="20"/>
                      <w:szCs w:val="20"/>
                      <w:highlight w:val="none"/>
                    </w:rPr>
                    <w:t>铅</w:t>
                  </w:r>
                </w:p>
              </w:tc>
              <w:tc>
                <w:tcPr>
                  <w:tcW w:w="2202" w:type="dxa"/>
                  <w:tcBorders>
                    <w:tl2br w:val="nil"/>
                    <w:tr2bl w:val="nil"/>
                  </w:tcBorders>
                  <w:vAlign w:val="top"/>
                </w:tcPr>
                <w:p w14:paraId="7043CBA5">
                  <w:pPr>
                    <w:keepNext w:val="0"/>
                    <w:keepLines w:val="0"/>
                    <w:suppressLineNumbers w:val="0"/>
                    <w:spacing w:before="50" w:beforeAutospacing="0" w:after="0" w:afterAutospacing="0" w:line="218" w:lineRule="auto"/>
                    <w:ind w:left="618" w:right="0"/>
                    <w:rPr>
                      <w:rFonts w:hint="default" w:ascii="Times New Roman" w:hAnsi="Times New Roman" w:eastAsia="Times New Roman" w:cs="Times New Roman"/>
                      <w:color w:val="auto"/>
                      <w:sz w:val="13"/>
                      <w:szCs w:val="13"/>
                      <w:highlight w:val="none"/>
                    </w:rPr>
                  </w:pPr>
                  <w:r>
                    <w:rPr>
                      <w:rFonts w:hint="default" w:ascii="Times New Roman" w:hAnsi="Times New Roman" w:eastAsia="Times New Roman" w:cs="Times New Roman"/>
                      <w:color w:val="auto"/>
                      <w:sz w:val="20"/>
                      <w:szCs w:val="20"/>
                      <w:highlight w:val="none"/>
                    </w:rPr>
                    <w:t>11.3g/m</w:t>
                  </w:r>
                  <w:r>
                    <w:rPr>
                      <w:rFonts w:hint="default" w:ascii="Times New Roman" w:hAnsi="Times New Roman" w:eastAsia="Times New Roman" w:cs="Times New Roman"/>
                      <w:color w:val="auto"/>
                      <w:position w:val="6"/>
                      <w:sz w:val="13"/>
                      <w:szCs w:val="13"/>
                      <w:highlight w:val="none"/>
                    </w:rPr>
                    <w:t>3</w:t>
                  </w:r>
                </w:p>
              </w:tc>
              <w:tc>
                <w:tcPr>
                  <w:tcW w:w="2479" w:type="dxa"/>
                  <w:tcBorders>
                    <w:tl2br w:val="nil"/>
                    <w:tr2bl w:val="nil"/>
                  </w:tcBorders>
                  <w:vAlign w:val="top"/>
                </w:tcPr>
                <w:p w14:paraId="271541D6">
                  <w:pPr>
                    <w:keepNext w:val="0"/>
                    <w:keepLines w:val="0"/>
                    <w:suppressLineNumbers w:val="0"/>
                    <w:spacing w:before="71" w:beforeAutospacing="0" w:after="0" w:afterAutospacing="0" w:line="195" w:lineRule="auto"/>
                    <w:ind w:left="785" w:right="0"/>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color w:val="auto"/>
                      <w:spacing w:val="6"/>
                      <w:sz w:val="20"/>
                      <w:szCs w:val="20"/>
                      <w:highlight w:val="none"/>
                    </w:rPr>
                    <w:t>47.8</w:t>
                  </w:r>
                  <w:r>
                    <w:rPr>
                      <w:rFonts w:hint="default" w:ascii="Times New Roman" w:hAnsi="Times New Roman" w:eastAsia="Times New Roman" w:cs="Times New Roman"/>
                      <w:color w:val="auto"/>
                      <w:sz w:val="20"/>
                      <w:szCs w:val="20"/>
                      <w:highlight w:val="none"/>
                    </w:rPr>
                    <w:t>cm</w:t>
                  </w:r>
                </w:p>
              </w:tc>
              <w:tc>
                <w:tcPr>
                  <w:tcW w:w="2475" w:type="dxa"/>
                  <w:tcBorders>
                    <w:tl2br w:val="nil"/>
                    <w:tr2bl w:val="nil"/>
                  </w:tcBorders>
                  <w:shd w:val="clear" w:color="auto" w:fill="auto"/>
                  <w:vAlign w:val="top"/>
                </w:tcPr>
                <w:p w14:paraId="24E3558C">
                  <w:pPr>
                    <w:keepNext w:val="0"/>
                    <w:keepLines w:val="0"/>
                    <w:suppressLineNumbers w:val="0"/>
                    <w:spacing w:before="74" w:beforeAutospacing="0" w:after="0" w:afterAutospacing="0" w:line="192" w:lineRule="auto"/>
                    <w:ind w:left="922" w:leftChars="0" w:right="0"/>
                    <w:rPr>
                      <w:rFonts w:hint="default" w:ascii="Times New Roman" w:hAnsi="Times New Roman" w:eastAsia="Times New Roman" w:cs="Times New Roman"/>
                      <w:color w:val="auto"/>
                      <w:sz w:val="20"/>
                      <w:szCs w:val="20"/>
                      <w:highlight w:val="none"/>
                      <w:lang w:val="en-US" w:eastAsia="zh-CN" w:bidi="ar-SA"/>
                    </w:rPr>
                  </w:pPr>
                  <w:r>
                    <w:rPr>
                      <w:rFonts w:hint="default" w:ascii="Times New Roman" w:hAnsi="Times New Roman" w:eastAsia="Times New Roman" w:cs="Times New Roman"/>
                      <w:color w:val="auto"/>
                      <w:spacing w:val="7"/>
                      <w:sz w:val="20"/>
                      <w:szCs w:val="20"/>
                      <w:highlight w:val="none"/>
                    </w:rPr>
                    <w:t>5</w:t>
                  </w:r>
                  <w:r>
                    <w:rPr>
                      <w:rFonts w:hint="default" w:ascii="Times New Roman" w:hAnsi="Times New Roman" w:eastAsia="Times New Roman" w:cs="Times New Roman"/>
                      <w:color w:val="auto"/>
                      <w:sz w:val="20"/>
                      <w:szCs w:val="20"/>
                      <w:highlight w:val="none"/>
                    </w:rPr>
                    <w:t>cm</w:t>
                  </w:r>
                </w:p>
              </w:tc>
            </w:tr>
            <w:tr w14:paraId="6595BA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74" w:hRule="atLeast"/>
                <w:jc w:val="center"/>
              </w:trPr>
              <w:tc>
                <w:tcPr>
                  <w:tcW w:w="2202" w:type="dxa"/>
                  <w:tcBorders>
                    <w:tl2br w:val="nil"/>
                    <w:tr2bl w:val="nil"/>
                  </w:tcBorders>
                  <w:vAlign w:val="top"/>
                </w:tcPr>
                <w:p w14:paraId="6629D670">
                  <w:pPr>
                    <w:keepNext w:val="0"/>
                    <w:keepLines w:val="0"/>
                    <w:suppressLineNumbers w:val="0"/>
                    <w:spacing w:before="61" w:beforeAutospacing="0" w:after="0" w:afterAutospacing="0" w:line="228" w:lineRule="auto"/>
                    <w:ind w:left="675" w:right="0"/>
                    <w:rPr>
                      <w:rFonts w:hint="default" w:ascii="Times New Roman" w:hAnsi="Times New Roman" w:eastAsia="宋体" w:cs="Times New Roman"/>
                      <w:color w:val="auto"/>
                      <w:sz w:val="20"/>
                      <w:szCs w:val="20"/>
                      <w:highlight w:val="none"/>
                    </w:rPr>
                  </w:pPr>
                  <w:r>
                    <w:rPr>
                      <w:rFonts w:hint="default" w:ascii="Times New Roman" w:hAnsi="Times New Roman" w:eastAsia="宋体" w:cs="Times New Roman"/>
                      <w:color w:val="auto"/>
                      <w:spacing w:val="4"/>
                      <w:sz w:val="20"/>
                      <w:szCs w:val="20"/>
                      <w:highlight w:val="none"/>
                    </w:rPr>
                    <w:t>聚乙烯</w:t>
                  </w:r>
                </w:p>
              </w:tc>
              <w:tc>
                <w:tcPr>
                  <w:tcW w:w="2202" w:type="dxa"/>
                  <w:tcBorders>
                    <w:tl2br w:val="nil"/>
                    <w:tr2bl w:val="nil"/>
                  </w:tcBorders>
                  <w:vAlign w:val="top"/>
                </w:tcPr>
                <w:p w14:paraId="7D2DB8EF">
                  <w:pPr>
                    <w:keepNext w:val="0"/>
                    <w:keepLines w:val="0"/>
                    <w:suppressLineNumbers w:val="0"/>
                    <w:spacing w:before="77" w:beforeAutospacing="0" w:after="0" w:afterAutospacing="0" w:line="218" w:lineRule="auto"/>
                    <w:ind w:left="598" w:right="0"/>
                    <w:rPr>
                      <w:rFonts w:hint="default" w:ascii="Times New Roman" w:hAnsi="Times New Roman" w:eastAsia="Times New Roman" w:cs="Times New Roman"/>
                      <w:color w:val="auto"/>
                      <w:sz w:val="13"/>
                      <w:szCs w:val="13"/>
                      <w:highlight w:val="none"/>
                    </w:rPr>
                  </w:pPr>
                  <w:r>
                    <w:rPr>
                      <w:rFonts w:hint="default" w:ascii="Times New Roman" w:hAnsi="Times New Roman" w:eastAsia="Times New Roman" w:cs="Times New Roman"/>
                      <w:color w:val="auto"/>
                      <w:spacing w:val="3"/>
                      <w:sz w:val="20"/>
                      <w:szCs w:val="20"/>
                      <w:highlight w:val="none"/>
                    </w:rPr>
                    <w:t>0.97g/m</w:t>
                  </w:r>
                  <w:r>
                    <w:rPr>
                      <w:rFonts w:hint="default" w:ascii="Times New Roman" w:hAnsi="Times New Roman" w:eastAsia="Times New Roman" w:cs="Times New Roman"/>
                      <w:color w:val="auto"/>
                      <w:spacing w:val="3"/>
                      <w:position w:val="6"/>
                      <w:sz w:val="13"/>
                      <w:szCs w:val="13"/>
                      <w:highlight w:val="none"/>
                    </w:rPr>
                    <w:t>3</w:t>
                  </w:r>
                </w:p>
              </w:tc>
              <w:tc>
                <w:tcPr>
                  <w:tcW w:w="2479" w:type="dxa"/>
                  <w:tcBorders>
                    <w:tl2br w:val="nil"/>
                    <w:tr2bl w:val="nil"/>
                  </w:tcBorders>
                  <w:vAlign w:val="top"/>
                </w:tcPr>
                <w:p w14:paraId="13905606">
                  <w:pPr>
                    <w:keepNext w:val="0"/>
                    <w:keepLines w:val="0"/>
                    <w:suppressLineNumbers w:val="0"/>
                    <w:spacing w:before="97" w:beforeAutospacing="0" w:after="0" w:afterAutospacing="0" w:line="195" w:lineRule="auto"/>
                    <w:ind w:left="865" w:right="0"/>
                    <w:rPr>
                      <w:rFonts w:hint="default" w:ascii="Times New Roman" w:hAnsi="Times New Roman" w:eastAsia="Times New Roman" w:cs="Times New Roman"/>
                      <w:color w:val="auto"/>
                      <w:sz w:val="20"/>
                      <w:szCs w:val="20"/>
                      <w:highlight w:val="none"/>
                    </w:rPr>
                  </w:pPr>
                  <w:r>
                    <w:rPr>
                      <w:rFonts w:hint="default" w:ascii="Times New Roman" w:hAnsi="Times New Roman" w:eastAsia="Times New Roman" w:cs="Times New Roman"/>
                      <w:color w:val="auto"/>
                      <w:spacing w:val="9"/>
                      <w:sz w:val="20"/>
                      <w:szCs w:val="20"/>
                      <w:highlight w:val="none"/>
                    </w:rPr>
                    <w:t>24</w:t>
                  </w:r>
                  <w:r>
                    <w:rPr>
                      <w:rFonts w:hint="default" w:ascii="Times New Roman" w:hAnsi="Times New Roman" w:eastAsia="Times New Roman" w:cs="Times New Roman"/>
                      <w:color w:val="auto"/>
                      <w:sz w:val="20"/>
                      <w:szCs w:val="20"/>
                      <w:highlight w:val="none"/>
                    </w:rPr>
                    <w:t>cm</w:t>
                  </w:r>
                </w:p>
              </w:tc>
              <w:tc>
                <w:tcPr>
                  <w:tcW w:w="2475" w:type="dxa"/>
                  <w:tcBorders>
                    <w:tl2br w:val="nil"/>
                    <w:tr2bl w:val="nil"/>
                  </w:tcBorders>
                  <w:shd w:val="clear" w:color="auto" w:fill="auto"/>
                  <w:vAlign w:val="top"/>
                </w:tcPr>
                <w:p w14:paraId="73C6EB96">
                  <w:pPr>
                    <w:keepNext w:val="0"/>
                    <w:keepLines w:val="0"/>
                    <w:suppressLineNumbers w:val="0"/>
                    <w:spacing w:before="97" w:beforeAutospacing="0" w:after="0" w:afterAutospacing="0" w:line="195" w:lineRule="auto"/>
                    <w:ind w:left="872" w:leftChars="0" w:right="0"/>
                    <w:rPr>
                      <w:rFonts w:hint="default" w:ascii="Times New Roman" w:hAnsi="Times New Roman" w:eastAsia="Times New Roman" w:cs="Times New Roman"/>
                      <w:color w:val="auto"/>
                      <w:sz w:val="20"/>
                      <w:szCs w:val="20"/>
                      <w:highlight w:val="none"/>
                      <w:lang w:val="en-US" w:eastAsia="zh-CN" w:bidi="ar-SA"/>
                    </w:rPr>
                  </w:pPr>
                  <w:r>
                    <w:rPr>
                      <w:rFonts w:hint="default" w:ascii="Times New Roman" w:hAnsi="Times New Roman" w:eastAsia="Times New Roman" w:cs="Times New Roman"/>
                      <w:color w:val="auto"/>
                      <w:spacing w:val="5"/>
                      <w:sz w:val="20"/>
                      <w:szCs w:val="20"/>
                      <w:highlight w:val="none"/>
                    </w:rPr>
                    <w:t>80</w:t>
                  </w:r>
                  <w:r>
                    <w:rPr>
                      <w:rFonts w:hint="default" w:ascii="Times New Roman" w:hAnsi="Times New Roman" w:eastAsia="Times New Roman" w:cs="Times New Roman"/>
                      <w:color w:val="auto"/>
                      <w:sz w:val="20"/>
                      <w:szCs w:val="20"/>
                      <w:highlight w:val="none"/>
                    </w:rPr>
                    <w:t>cm</w:t>
                  </w:r>
                </w:p>
              </w:tc>
            </w:tr>
          </w:tbl>
          <w:p w14:paraId="4FF8301F">
            <w:pPr>
              <w:keepNext w:val="0"/>
              <w:keepLines w:val="0"/>
              <w:suppressLineNumbers w:val="0"/>
              <w:shd w:val="clear"/>
              <w:spacing w:before="0" w:beforeLines="0" w:beforeAutospacing="0" w:after="0" w:afterLines="0" w:afterAutospacing="0" w:line="360" w:lineRule="auto"/>
              <w:ind w:left="0" w:right="0"/>
              <w:jc w:val="center"/>
              <w:rPr>
                <w:rFonts w:hint="default" w:ascii="Times New Roman" w:hAnsi="Times New Roman" w:eastAsia="宋体" w:cs="Times New Roman"/>
                <w:color w:val="auto"/>
                <w:sz w:val="22"/>
                <w:szCs w:val="22"/>
                <w:highlight w:val="none"/>
                <w:lang w:val="en-US" w:eastAsia="zh-CN"/>
              </w:rPr>
            </w:pPr>
            <w:r>
              <w:rPr>
                <w:rFonts w:hint="default" w:ascii="Times New Roman" w:hAnsi="Times New Roman" w:eastAsia="宋体" w:cs="Times New Roman"/>
                <w:color w:val="auto"/>
                <w:position w:val="-28"/>
                <w:sz w:val="22"/>
                <w:szCs w:val="22"/>
                <w:highlight w:val="none"/>
              </w:rPr>
              <w:object>
                <v:shape id="_x0000_i1033" o:spt="75" type="#_x0000_t75" style="height:36.95pt;width:210pt;" o:ole="t" filled="f" o:preferrelative="t" stroked="f" coordsize="21600,21600">
                  <v:path/>
                  <v:fill on="f" focussize="0,0"/>
                  <v:stroke on="f"/>
                  <v:imagedata r:id="rId13" o:title=""/>
                  <o:lock v:ext="edit" aspectratio="t"/>
                  <w10:wrap type="none"/>
                  <w10:anchorlock/>
                </v:shape>
                <o:OLEObject Type="Embed" ProgID="Equation.3" ShapeID="_x0000_i1033" DrawAspect="Content" ObjectID="_1468075726" r:id="rId12">
                  <o:LockedField>false</o:LockedField>
                </o:OLEObject>
              </w:object>
            </w:r>
            <w:r>
              <w:rPr>
                <w:rFonts w:hint="default" w:ascii="Times New Roman" w:hAnsi="Times New Roman" w:eastAsia="宋体" w:cs="Times New Roman"/>
                <w:color w:val="auto"/>
                <w:position w:val="-28"/>
                <w:sz w:val="22"/>
                <w:szCs w:val="22"/>
                <w:highlight w:val="none"/>
                <w:lang w:val="en-US" w:eastAsia="zh-CN"/>
              </w:rPr>
              <w:t xml:space="preserve">   （ 公式11-</w:t>
            </w:r>
            <w:r>
              <w:rPr>
                <w:rFonts w:hint="default" w:ascii="Times New Roman" w:hAnsi="Times New Roman" w:cs="Times New Roman"/>
                <w:color w:val="auto"/>
                <w:position w:val="-28"/>
                <w:sz w:val="22"/>
                <w:szCs w:val="22"/>
                <w:highlight w:val="none"/>
                <w:lang w:val="en-US" w:eastAsia="zh-CN"/>
              </w:rPr>
              <w:t>1</w:t>
            </w:r>
            <w:r>
              <w:rPr>
                <w:rFonts w:hint="default" w:ascii="Times New Roman" w:hAnsi="Times New Roman" w:eastAsia="宋体" w:cs="Times New Roman"/>
                <w:color w:val="auto"/>
                <w:position w:val="-28"/>
                <w:sz w:val="22"/>
                <w:szCs w:val="22"/>
                <w:highlight w:val="none"/>
                <w:lang w:val="en-US" w:eastAsia="zh-CN"/>
              </w:rPr>
              <w:t>）</w:t>
            </w:r>
          </w:p>
          <w:p w14:paraId="422256E4">
            <w:pPr>
              <w:keepNext w:val="0"/>
              <w:keepLines w:val="0"/>
              <w:suppressLineNumbers w:val="0"/>
              <w:shd w:val="clear"/>
              <w:spacing w:before="0" w:beforeLines="0" w:beforeAutospacing="0" w:after="0" w:afterLines="0" w:afterAutospacing="0" w:line="240" w:lineRule="auto"/>
              <w:ind w:left="0" w:right="0" w:firstLine="440" w:firstLineChars="200"/>
              <w:jc w:val="both"/>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color w:val="auto"/>
                <w:sz w:val="22"/>
                <w:szCs w:val="22"/>
                <w:highlight w:val="none"/>
              </w:rPr>
              <w:t>式中：</w:t>
            </w:r>
            <w:r>
              <w:rPr>
                <w:rFonts w:hint="default" w:ascii="Times New Roman" w:hAnsi="Times New Roman" w:eastAsia="宋体" w:cs="Times New Roman"/>
                <w:i/>
                <w:color w:val="auto"/>
                <w:sz w:val="22"/>
                <w:szCs w:val="22"/>
                <w:highlight w:val="none"/>
              </w:rPr>
              <w:t>H</w:t>
            </w:r>
            <w:r>
              <w:rPr>
                <w:rFonts w:hint="default" w:ascii="Times New Roman" w:hAnsi="Times New Roman" w:eastAsia="宋体" w:cs="Times New Roman"/>
                <w:i/>
                <w:color w:val="auto"/>
                <w:sz w:val="22"/>
                <w:szCs w:val="22"/>
                <w:highlight w:val="none"/>
                <w:vertAlign w:val="subscript"/>
              </w:rPr>
              <w:t>R</w:t>
            </w:r>
            <w:r>
              <w:rPr>
                <w:rFonts w:hint="default" w:ascii="Times New Roman" w:hAnsi="Times New Roman" w:eastAsia="宋体" w:cs="Times New Roman"/>
                <w:color w:val="auto"/>
                <w:sz w:val="22"/>
                <w:szCs w:val="22"/>
                <w:highlight w:val="none"/>
              </w:rPr>
              <w:t>—回旋加速器室外关注点剂量率，μSv/h；</w:t>
            </w:r>
          </w:p>
          <w:p w14:paraId="2C12E29E">
            <w:pPr>
              <w:keepNext w:val="0"/>
              <w:keepLines w:val="0"/>
              <w:suppressLineNumbers w:val="0"/>
              <w:shd w:val="clear"/>
              <w:spacing w:before="0" w:beforeLines="0" w:beforeAutospacing="0" w:after="0" w:afterLines="0" w:afterAutospacing="0" w:line="240" w:lineRule="auto"/>
              <w:ind w:left="0" w:right="0" w:firstLine="1100" w:firstLineChars="500"/>
              <w:jc w:val="both"/>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i/>
                <w:color w:val="auto"/>
                <w:sz w:val="22"/>
                <w:szCs w:val="22"/>
                <w:highlight w:val="none"/>
              </w:rPr>
              <w:t>r</w:t>
            </w:r>
            <w:r>
              <w:rPr>
                <w:rFonts w:hint="default" w:ascii="Times New Roman" w:hAnsi="Times New Roman" w:eastAsia="宋体" w:cs="Times New Roman"/>
                <w:i/>
                <w:color w:val="auto"/>
                <w:sz w:val="22"/>
                <w:szCs w:val="22"/>
                <w:highlight w:val="none"/>
                <w:vertAlign w:val="subscript"/>
              </w:rPr>
              <w:t>0</w:t>
            </w:r>
            <w:r>
              <w:rPr>
                <w:rFonts w:hint="default" w:ascii="Times New Roman" w:hAnsi="Times New Roman" w:eastAsia="宋体" w:cs="Times New Roman"/>
                <w:color w:val="auto"/>
                <w:sz w:val="22"/>
                <w:szCs w:val="22"/>
                <w:highlight w:val="none"/>
              </w:rPr>
              <w:t>—参考点距靶心的距离；</w:t>
            </w:r>
          </w:p>
          <w:p w14:paraId="23576518">
            <w:pPr>
              <w:keepNext w:val="0"/>
              <w:keepLines w:val="0"/>
              <w:suppressLineNumbers w:val="0"/>
              <w:shd w:val="clear"/>
              <w:spacing w:before="0" w:beforeLines="0" w:beforeAutospacing="0" w:after="0" w:afterLines="0" w:afterAutospacing="0" w:line="240" w:lineRule="auto"/>
              <w:ind w:left="0" w:right="0" w:firstLine="1100" w:firstLineChars="500"/>
              <w:jc w:val="both"/>
              <w:rPr>
                <w:rFonts w:hint="default" w:ascii="Times New Roman" w:hAnsi="Times New Roman" w:eastAsia="宋体" w:cs="Times New Roman"/>
                <w:color w:val="auto"/>
                <w:sz w:val="22"/>
                <w:szCs w:val="22"/>
                <w:highlight w:val="none"/>
                <w:lang w:val="en-US" w:eastAsia="zh-CN"/>
              </w:rPr>
            </w:pPr>
            <w:r>
              <w:rPr>
                <w:rFonts w:hint="default" w:ascii="Times New Roman" w:hAnsi="Times New Roman" w:eastAsia="宋体" w:cs="Times New Roman"/>
                <w:i/>
                <w:color w:val="auto"/>
                <w:sz w:val="22"/>
                <w:szCs w:val="22"/>
                <w:highlight w:val="none"/>
              </w:rPr>
              <w:t>R</w:t>
            </w:r>
            <w:r>
              <w:rPr>
                <w:rFonts w:hint="default" w:ascii="Times New Roman" w:hAnsi="Times New Roman" w:eastAsia="宋体" w:cs="Times New Roman"/>
                <w:color w:val="auto"/>
                <w:sz w:val="22"/>
                <w:szCs w:val="22"/>
                <w:highlight w:val="none"/>
              </w:rPr>
              <w:t>—屏蔽体外关注点距靶心的距离，m；</w:t>
            </w:r>
          </w:p>
          <w:p w14:paraId="771EE9B3">
            <w:pPr>
              <w:keepNext w:val="0"/>
              <w:keepLines w:val="0"/>
              <w:suppressLineNumbers w:val="0"/>
              <w:shd w:val="clear"/>
              <w:spacing w:before="0" w:beforeLines="0" w:beforeAutospacing="0" w:after="0" w:afterLines="0" w:afterAutospacing="0" w:line="240" w:lineRule="auto"/>
              <w:ind w:left="0" w:right="0" w:firstLine="1100" w:firstLineChars="500"/>
              <w:jc w:val="both"/>
              <w:rPr>
                <w:rFonts w:hint="default" w:ascii="Times New Roman" w:hAnsi="Times New Roman" w:eastAsia="宋体" w:cs="Times New Roman"/>
                <w:color w:val="auto"/>
                <w:sz w:val="22"/>
                <w:szCs w:val="22"/>
                <w:highlight w:val="none"/>
                <w:lang w:val="en-US" w:eastAsia="zh-CN"/>
              </w:rPr>
            </w:pPr>
            <w:r>
              <w:rPr>
                <w:rFonts w:hint="default" w:ascii="Times New Roman" w:hAnsi="Times New Roman" w:eastAsia="宋体" w:cs="Times New Roman"/>
                <w:i/>
                <w:color w:val="auto"/>
                <w:sz w:val="22"/>
                <w:szCs w:val="22"/>
                <w:highlight w:val="none"/>
              </w:rPr>
              <w:t>H</w:t>
            </w:r>
            <w:r>
              <w:rPr>
                <w:rFonts w:hint="default" w:ascii="Times New Roman" w:hAnsi="Times New Roman" w:eastAsia="宋体" w:cs="Times New Roman"/>
                <w:i/>
                <w:color w:val="auto"/>
                <w:sz w:val="22"/>
                <w:szCs w:val="22"/>
                <w:highlight w:val="none"/>
                <w:vertAlign w:val="subscript"/>
              </w:rPr>
              <w:t>n</w:t>
            </w:r>
            <w:r>
              <w:rPr>
                <w:rFonts w:hint="default" w:ascii="Times New Roman" w:hAnsi="Times New Roman" w:eastAsia="宋体" w:cs="Times New Roman"/>
                <w:color w:val="auto"/>
                <w:sz w:val="22"/>
                <w:szCs w:val="22"/>
                <w:highlight w:val="none"/>
              </w:rPr>
              <w:t>—参考点r</w:t>
            </w:r>
            <w:r>
              <w:rPr>
                <w:rFonts w:hint="default" w:ascii="Times New Roman" w:hAnsi="Times New Roman" w:eastAsia="宋体" w:cs="Times New Roman"/>
                <w:color w:val="auto"/>
                <w:sz w:val="22"/>
                <w:szCs w:val="22"/>
                <w:highlight w:val="none"/>
                <w:vertAlign w:val="subscript"/>
              </w:rPr>
              <w:t>0</w:t>
            </w:r>
            <w:r>
              <w:rPr>
                <w:rFonts w:hint="default" w:ascii="Times New Roman" w:hAnsi="Times New Roman" w:eastAsia="宋体" w:cs="Times New Roman"/>
                <w:color w:val="auto"/>
                <w:sz w:val="22"/>
                <w:szCs w:val="22"/>
                <w:highlight w:val="none"/>
              </w:rPr>
              <w:t>处的中子剂量率，μSv/h；</w:t>
            </w:r>
            <w:r>
              <w:rPr>
                <w:rFonts w:hint="default" w:ascii="Times New Roman" w:hAnsi="Times New Roman" w:eastAsia="宋体" w:cs="Times New Roman"/>
                <w:color w:val="auto"/>
                <w:sz w:val="22"/>
                <w:szCs w:val="22"/>
                <w:highlight w:val="none"/>
                <w:lang w:val="en-US" w:eastAsia="zh-CN"/>
              </w:rPr>
              <w:tab/>
            </w:r>
          </w:p>
          <w:p w14:paraId="1CFB46FF">
            <w:pPr>
              <w:keepNext w:val="0"/>
              <w:keepLines w:val="0"/>
              <w:suppressLineNumbers w:val="0"/>
              <w:shd w:val="clear"/>
              <w:spacing w:before="0" w:beforeLines="0" w:beforeAutospacing="0" w:after="0" w:afterLines="0" w:afterAutospacing="0" w:line="240" w:lineRule="auto"/>
              <w:ind w:left="0" w:right="0" w:firstLine="1100" w:firstLineChars="500"/>
              <w:jc w:val="both"/>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i/>
                <w:color w:val="auto"/>
                <w:sz w:val="22"/>
                <w:szCs w:val="22"/>
                <w:highlight w:val="none"/>
              </w:rPr>
              <w:t>H</w:t>
            </w:r>
            <w:r>
              <w:rPr>
                <w:rFonts w:hint="default" w:ascii="Times New Roman" w:hAnsi="Times New Roman" w:eastAsia="宋体" w:cs="Times New Roman"/>
                <w:i/>
                <w:color w:val="auto"/>
                <w:sz w:val="22"/>
                <w:szCs w:val="22"/>
                <w:highlight w:val="none"/>
                <w:vertAlign w:val="subscript"/>
              </w:rPr>
              <w:t>γ</w:t>
            </w:r>
            <w:r>
              <w:rPr>
                <w:rFonts w:hint="default" w:ascii="Times New Roman" w:hAnsi="Times New Roman" w:eastAsia="宋体" w:cs="Times New Roman"/>
                <w:color w:val="auto"/>
                <w:sz w:val="22"/>
                <w:szCs w:val="22"/>
                <w:highlight w:val="none"/>
              </w:rPr>
              <w:t>—参考点r</w:t>
            </w:r>
            <w:r>
              <w:rPr>
                <w:rFonts w:hint="default" w:ascii="Times New Roman" w:hAnsi="Times New Roman" w:eastAsia="宋体" w:cs="Times New Roman"/>
                <w:color w:val="auto"/>
                <w:sz w:val="22"/>
                <w:szCs w:val="22"/>
                <w:highlight w:val="none"/>
                <w:vertAlign w:val="subscript"/>
              </w:rPr>
              <w:t>0</w:t>
            </w:r>
            <w:r>
              <w:rPr>
                <w:rFonts w:hint="default" w:ascii="Times New Roman" w:hAnsi="Times New Roman" w:eastAsia="宋体" w:cs="Times New Roman"/>
                <w:color w:val="auto"/>
                <w:sz w:val="22"/>
                <w:szCs w:val="22"/>
                <w:highlight w:val="none"/>
              </w:rPr>
              <w:t>处的γ射线剂量率，μSv/h；</w:t>
            </w:r>
          </w:p>
          <w:p w14:paraId="6FDF7603">
            <w:pPr>
              <w:keepNext w:val="0"/>
              <w:keepLines w:val="0"/>
              <w:suppressLineNumbers w:val="0"/>
              <w:shd w:val="clear"/>
              <w:spacing w:before="0" w:beforeLines="0" w:beforeAutospacing="0" w:after="0" w:afterLines="0" w:afterAutospacing="0" w:line="240" w:lineRule="auto"/>
              <w:ind w:left="0" w:right="0" w:firstLine="1100" w:firstLineChars="500"/>
              <w:jc w:val="both"/>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i/>
                <w:color w:val="auto"/>
                <w:sz w:val="22"/>
                <w:szCs w:val="22"/>
                <w:highlight w:val="none"/>
              </w:rPr>
              <w:t>x</w:t>
            </w:r>
            <w:r>
              <w:rPr>
                <w:rFonts w:hint="default" w:ascii="Times New Roman" w:hAnsi="Times New Roman" w:eastAsia="宋体" w:cs="Times New Roman"/>
                <w:color w:val="auto"/>
                <w:sz w:val="22"/>
                <w:szCs w:val="22"/>
                <w:highlight w:val="none"/>
              </w:rPr>
              <w:t>—屏蔽材料的厚度，cm；</w:t>
            </w:r>
          </w:p>
          <w:p w14:paraId="3BD7C913">
            <w:pPr>
              <w:keepNext w:val="0"/>
              <w:keepLines w:val="0"/>
              <w:suppressLineNumbers w:val="0"/>
              <w:shd w:val="clear"/>
              <w:spacing w:before="0" w:beforeLines="0" w:beforeAutospacing="0" w:after="0" w:afterLines="0" w:afterAutospacing="0" w:line="240" w:lineRule="auto"/>
              <w:ind w:left="0" w:right="0" w:firstLine="1100" w:firstLineChars="500"/>
              <w:jc w:val="both"/>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i/>
                <w:color w:val="auto"/>
                <w:sz w:val="22"/>
                <w:szCs w:val="22"/>
                <w:highlight w:val="none"/>
              </w:rPr>
              <w:t>TVL</w:t>
            </w:r>
            <w:r>
              <w:rPr>
                <w:rFonts w:hint="default" w:ascii="Times New Roman" w:hAnsi="Times New Roman" w:eastAsia="宋体" w:cs="Times New Roman"/>
                <w:i/>
                <w:color w:val="auto"/>
                <w:sz w:val="22"/>
                <w:szCs w:val="22"/>
                <w:highlight w:val="none"/>
                <w:vertAlign w:val="subscript"/>
              </w:rPr>
              <w:t>n</w:t>
            </w:r>
            <w:r>
              <w:rPr>
                <w:rFonts w:hint="default" w:ascii="Times New Roman" w:hAnsi="Times New Roman" w:eastAsia="宋体" w:cs="Times New Roman"/>
                <w:color w:val="auto"/>
                <w:sz w:val="22"/>
                <w:szCs w:val="22"/>
                <w:highlight w:val="none"/>
              </w:rPr>
              <w:t>—中子射线的十分之一减弱层厚度，cm;</w:t>
            </w:r>
          </w:p>
          <w:p w14:paraId="08FE11F2">
            <w:pPr>
              <w:keepNext w:val="0"/>
              <w:keepLines w:val="0"/>
              <w:suppressLineNumbers w:val="0"/>
              <w:shd w:val="clear"/>
              <w:spacing w:before="0" w:beforeLines="0" w:beforeAutospacing="0" w:after="0" w:afterLines="0" w:afterAutospacing="0" w:line="240" w:lineRule="auto"/>
              <w:ind w:left="0" w:right="0" w:firstLine="1100" w:firstLineChars="500"/>
              <w:jc w:val="both"/>
              <w:rPr>
                <w:rFonts w:hint="default" w:ascii="Times New Roman" w:hAnsi="Times New Roman" w:eastAsia="宋体" w:cs="Times New Roman"/>
                <w:color w:val="auto"/>
                <w:sz w:val="22"/>
                <w:szCs w:val="22"/>
                <w:highlight w:val="none"/>
              </w:rPr>
            </w:pPr>
            <w:r>
              <w:rPr>
                <w:rFonts w:hint="default" w:ascii="Times New Roman" w:hAnsi="Times New Roman" w:eastAsia="宋体" w:cs="Times New Roman"/>
                <w:i/>
                <w:color w:val="auto"/>
                <w:sz w:val="22"/>
                <w:szCs w:val="22"/>
                <w:highlight w:val="none"/>
              </w:rPr>
              <w:t>TVL</w:t>
            </w:r>
            <w:r>
              <w:rPr>
                <w:rFonts w:hint="default" w:ascii="Times New Roman" w:hAnsi="Times New Roman" w:eastAsia="宋体" w:cs="Times New Roman"/>
                <w:i/>
                <w:color w:val="auto"/>
                <w:sz w:val="22"/>
                <w:szCs w:val="22"/>
                <w:highlight w:val="none"/>
                <w:vertAlign w:val="subscript"/>
              </w:rPr>
              <w:t>γ</w:t>
            </w:r>
            <w:r>
              <w:rPr>
                <w:rFonts w:hint="default" w:ascii="Times New Roman" w:hAnsi="Times New Roman" w:eastAsia="宋体" w:cs="Times New Roman"/>
                <w:color w:val="auto"/>
                <w:sz w:val="22"/>
                <w:szCs w:val="22"/>
                <w:highlight w:val="none"/>
              </w:rPr>
              <w:t>—γ射线的十分之一减弱层厚度，cm。</w:t>
            </w:r>
          </w:p>
          <w:p w14:paraId="4D5849ED">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 w:val="24"/>
                <w:szCs w:val="24"/>
                <w:highlight w:val="none"/>
              </w:rPr>
            </w:pPr>
          </w:p>
          <w:p w14:paraId="2526E45C">
            <w:pPr>
              <w:pStyle w:val="9"/>
              <w:keepNext w:val="0"/>
              <w:keepLines w:val="0"/>
              <w:suppressLineNumbers w:val="0"/>
              <w:spacing w:before="0" w:beforeAutospacing="0" w:after="0" w:afterAutospacing="0"/>
              <w:ind w:left="0" w:leftChars="0" w:firstLine="0" w:firstLineChars="0"/>
              <w:jc w:val="both"/>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 xml:space="preserve">              </w:t>
            </w:r>
          </w:p>
          <w:p w14:paraId="6F0F1DD4">
            <w:pPr>
              <w:keepNext w:val="0"/>
              <w:keepLines w:val="0"/>
              <w:suppressLineNumbers w:val="0"/>
              <w:spacing w:before="0" w:beforeAutospacing="0" w:after="0" w:afterAutospacing="0"/>
              <w:ind w:left="0" w:right="0"/>
              <w:jc w:val="both"/>
              <w:rPr>
                <w:rFonts w:hint="default" w:ascii="Times New Roman" w:hAnsi="Times New Roman" w:eastAsia="宋体" w:cs="Times New Roman"/>
                <w:color w:val="auto"/>
                <w:sz w:val="24"/>
                <w:szCs w:val="24"/>
                <w:highlight w:val="none"/>
              </w:rPr>
            </w:pPr>
          </w:p>
          <w:p w14:paraId="0D47580C">
            <w:pPr>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rPr>
            </w:pPr>
          </w:p>
          <w:p w14:paraId="3525F46D">
            <w:pPr>
              <w:keepNext w:val="0"/>
              <w:keepLines w:val="0"/>
              <w:suppressLineNumbers w:val="0"/>
              <w:spacing w:before="0" w:beforeAutospacing="0" w:after="0" w:afterAutospacing="0" w:line="360" w:lineRule="auto"/>
              <w:ind w:left="0" w:right="0"/>
              <w:jc w:val="center"/>
              <w:rPr>
                <w:rFonts w:hint="default" w:ascii="Times New Roman" w:hAnsi="Times New Roman" w:cs="Times New Roman"/>
                <w:b/>
                <w:bCs w:val="0"/>
                <w:color w:val="auto"/>
                <w:sz w:val="24"/>
                <w:szCs w:val="24"/>
                <w:highlight w:val="none"/>
              </w:rPr>
            </w:pPr>
            <w:r>
              <w:rPr>
                <w:rFonts w:hint="eastAsia" w:cs="Times New Roman"/>
                <w:b/>
                <w:bCs w:val="0"/>
                <w:color w:val="auto"/>
                <w:sz w:val="24"/>
                <w:szCs w:val="24"/>
                <w:highlight w:val="none"/>
                <w:lang w:val="en-US" w:eastAsia="zh-CN"/>
              </w:rPr>
              <w:t xml:space="preserve">图10-1  </w:t>
            </w:r>
            <w:r>
              <w:rPr>
                <w:rFonts w:hint="default" w:ascii="Times New Roman" w:hAnsi="Times New Roman" w:cs="Times New Roman"/>
                <w:b/>
                <w:bCs w:val="0"/>
                <w:color w:val="auto"/>
                <w:sz w:val="24"/>
                <w:szCs w:val="24"/>
                <w:highlight w:val="none"/>
                <w:lang w:val="en-US" w:eastAsia="zh-CN"/>
              </w:rPr>
              <w:t>回旋加速器</w:t>
            </w:r>
            <w:r>
              <w:rPr>
                <w:rFonts w:hint="eastAsia" w:cs="Times New Roman"/>
                <w:b/>
                <w:bCs w:val="0"/>
                <w:color w:val="auto"/>
                <w:sz w:val="24"/>
                <w:szCs w:val="24"/>
                <w:highlight w:val="none"/>
                <w:lang w:val="en-US" w:eastAsia="zh-CN"/>
              </w:rPr>
              <w:t>关注点位示意图</w:t>
            </w:r>
          </w:p>
          <w:p w14:paraId="013F48CA">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b/>
                <w:bCs w:val="0"/>
                <w:color w:val="auto"/>
                <w:sz w:val="24"/>
                <w:szCs w:val="24"/>
                <w:highlight w:val="none"/>
              </w:rPr>
            </w:pPr>
            <w:r>
              <w:rPr>
                <w:rFonts w:hint="default" w:ascii="Times New Roman" w:hAnsi="Times New Roman" w:cs="Times New Roman"/>
                <w:b/>
                <w:bCs w:val="0"/>
                <w:color w:val="auto"/>
                <w:sz w:val="24"/>
                <w:szCs w:val="24"/>
                <w:highlight w:val="none"/>
              </w:rPr>
              <w:t>表11-</w:t>
            </w:r>
            <w:r>
              <w:rPr>
                <w:rFonts w:hint="eastAsia" w:cs="Times New Roman"/>
                <w:b/>
                <w:bCs w:val="0"/>
                <w:color w:val="auto"/>
                <w:sz w:val="24"/>
                <w:szCs w:val="24"/>
                <w:highlight w:val="none"/>
                <w:lang w:val="en-US" w:eastAsia="zh-CN"/>
              </w:rPr>
              <w:t xml:space="preserve">3  </w:t>
            </w:r>
            <w:r>
              <w:rPr>
                <w:rFonts w:hint="default" w:ascii="Times New Roman" w:hAnsi="Times New Roman" w:eastAsia="宋体" w:cs="Times New Roman"/>
                <w:b/>
                <w:bCs w:val="0"/>
                <w:color w:val="auto"/>
                <w:sz w:val="24"/>
                <w:szCs w:val="24"/>
                <w:highlight w:val="none"/>
              </w:rPr>
              <w:t>回旋加速器</w:t>
            </w:r>
            <w:r>
              <w:rPr>
                <w:rFonts w:hint="default" w:ascii="Times New Roman" w:hAnsi="Times New Roman" w:cs="Times New Roman"/>
                <w:b/>
                <w:bCs w:val="0"/>
                <w:color w:val="auto"/>
                <w:sz w:val="24"/>
                <w:szCs w:val="24"/>
                <w:highlight w:val="none"/>
                <w:lang w:val="en-US" w:eastAsia="zh-CN"/>
              </w:rPr>
              <w:t>室</w:t>
            </w:r>
            <w:r>
              <w:rPr>
                <w:rFonts w:hint="default" w:ascii="Times New Roman" w:hAnsi="Times New Roman" w:eastAsia="宋体" w:cs="Times New Roman"/>
                <w:b/>
                <w:bCs w:val="0"/>
                <w:color w:val="auto"/>
                <w:sz w:val="24"/>
                <w:szCs w:val="24"/>
                <w:highlight w:val="none"/>
              </w:rPr>
              <w:t>各关注点位的预测计算参数</w:t>
            </w:r>
          </w:p>
          <w:tbl>
            <w:tblPr>
              <w:tblStyle w:val="22"/>
              <w:tblW w:w="9516" w:type="dxa"/>
              <w:tblInd w:w="-3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76"/>
              <w:gridCol w:w="769"/>
              <w:gridCol w:w="759"/>
              <w:gridCol w:w="701"/>
              <w:gridCol w:w="1046"/>
              <w:gridCol w:w="679"/>
              <w:gridCol w:w="692"/>
              <w:gridCol w:w="877"/>
              <w:gridCol w:w="1062"/>
              <w:gridCol w:w="1455"/>
            </w:tblGrid>
            <w:tr w14:paraId="76DA00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1476" w:type="dxa"/>
                  <w:vMerge w:val="restart"/>
                  <w:tcBorders>
                    <w:tl2br w:val="nil"/>
                    <w:tr2bl w:val="nil"/>
                  </w:tcBorders>
                  <w:shd w:val="clear" w:color="auto" w:fill="auto"/>
                  <w:vAlign w:val="center"/>
                </w:tcPr>
                <w:p w14:paraId="01C9CE40">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lang w:val="en-US" w:eastAsia="zh-CN"/>
                    </w:rPr>
                    <w:t>预测位置</w:t>
                  </w:r>
                </w:p>
              </w:tc>
              <w:tc>
                <w:tcPr>
                  <w:tcW w:w="769" w:type="dxa"/>
                  <w:vMerge w:val="restart"/>
                  <w:tcBorders>
                    <w:tl2br w:val="nil"/>
                    <w:tr2bl w:val="nil"/>
                  </w:tcBorders>
                  <w:shd w:val="clear" w:color="auto" w:fill="auto"/>
                  <w:vAlign w:val="center"/>
                </w:tcPr>
                <w:p w14:paraId="03642488">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lang w:val="en-US" w:eastAsia="zh-CN"/>
                    </w:rPr>
                    <w:t>关注点距靶心的距离R/m</w:t>
                  </w:r>
                </w:p>
              </w:tc>
              <w:tc>
                <w:tcPr>
                  <w:tcW w:w="1460" w:type="dxa"/>
                  <w:gridSpan w:val="2"/>
                  <w:tcBorders>
                    <w:tl2br w:val="nil"/>
                    <w:tr2bl w:val="nil"/>
                  </w:tcBorders>
                  <w:shd w:val="clear" w:color="auto" w:fill="auto"/>
                  <w:noWrap/>
                  <w:vAlign w:val="center"/>
                </w:tcPr>
                <w:p w14:paraId="4F77510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lang w:eastAsia="en-US"/>
                    </w:rPr>
                    <w:t>距加速器中心1m处的剂量率(μSv/h）</w:t>
                  </w:r>
                </w:p>
              </w:tc>
              <w:tc>
                <w:tcPr>
                  <w:tcW w:w="1046" w:type="dxa"/>
                  <w:vMerge w:val="restart"/>
                  <w:tcBorders>
                    <w:tl2br w:val="nil"/>
                    <w:tr2bl w:val="nil"/>
                  </w:tcBorders>
                  <w:shd w:val="clear" w:color="auto" w:fill="auto"/>
                  <w:noWrap/>
                  <w:vAlign w:val="center"/>
                </w:tcPr>
                <w:p w14:paraId="0F6F648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lang w:val="en-US" w:eastAsia="zh-CN"/>
                    </w:rPr>
                    <w:t>屏蔽层厚度X（cm）</w:t>
                  </w:r>
                </w:p>
              </w:tc>
              <w:tc>
                <w:tcPr>
                  <w:tcW w:w="1371" w:type="dxa"/>
                  <w:gridSpan w:val="2"/>
                  <w:tcBorders>
                    <w:tl2br w:val="nil"/>
                    <w:tr2bl w:val="nil"/>
                  </w:tcBorders>
                  <w:shd w:val="clear" w:color="auto" w:fill="auto"/>
                  <w:vAlign w:val="center"/>
                </w:tcPr>
                <w:p w14:paraId="37D1C55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lang w:val="en-US" w:eastAsia="zh-CN"/>
                    </w:rPr>
                    <w:t>TVL（cm）</w:t>
                  </w:r>
                </w:p>
              </w:tc>
              <w:tc>
                <w:tcPr>
                  <w:tcW w:w="1939" w:type="dxa"/>
                  <w:gridSpan w:val="2"/>
                  <w:vMerge w:val="restart"/>
                  <w:tcBorders>
                    <w:tl2br w:val="nil"/>
                    <w:tr2bl w:val="nil"/>
                  </w:tcBorders>
                  <w:shd w:val="clear" w:color="auto" w:fill="auto"/>
                  <w:noWrap/>
                  <w:vAlign w:val="center"/>
                </w:tcPr>
                <w:p w14:paraId="2E92F72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lang w:val="en-US" w:eastAsia="zh-CN"/>
                    </w:rPr>
                    <w:t>预测点剂量率(μSv/h）</w:t>
                  </w:r>
                </w:p>
              </w:tc>
              <w:tc>
                <w:tcPr>
                  <w:tcW w:w="1455" w:type="dxa"/>
                  <w:vMerge w:val="restart"/>
                  <w:tcBorders>
                    <w:tl2br w:val="nil"/>
                    <w:tr2bl w:val="nil"/>
                  </w:tcBorders>
                  <w:shd w:val="clear" w:color="auto" w:fill="auto"/>
                  <w:noWrap/>
                  <w:vAlign w:val="center"/>
                </w:tcPr>
                <w:p w14:paraId="2FEA1EE2">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lang w:val="en-US" w:eastAsia="zh-CN"/>
                    </w:rPr>
                    <w:t>防护情况</w:t>
                  </w:r>
                </w:p>
              </w:tc>
            </w:tr>
            <w:tr w14:paraId="2F3AC7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476" w:type="dxa"/>
                  <w:vMerge w:val="continue"/>
                  <w:tcBorders>
                    <w:tl2br w:val="nil"/>
                    <w:tr2bl w:val="nil"/>
                  </w:tcBorders>
                  <w:shd w:val="clear" w:color="auto" w:fill="auto"/>
                  <w:vAlign w:val="center"/>
                </w:tcPr>
                <w:p w14:paraId="4041AE09">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p>
              </w:tc>
              <w:tc>
                <w:tcPr>
                  <w:tcW w:w="769" w:type="dxa"/>
                  <w:vMerge w:val="continue"/>
                  <w:tcBorders>
                    <w:tl2br w:val="nil"/>
                    <w:tr2bl w:val="nil"/>
                  </w:tcBorders>
                  <w:shd w:val="clear" w:color="auto" w:fill="auto"/>
                  <w:vAlign w:val="center"/>
                </w:tcPr>
                <w:p w14:paraId="6A966DAB">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p>
              </w:tc>
              <w:tc>
                <w:tcPr>
                  <w:tcW w:w="759" w:type="dxa"/>
                  <w:tcBorders>
                    <w:tl2br w:val="nil"/>
                    <w:tr2bl w:val="nil"/>
                  </w:tcBorders>
                  <w:shd w:val="clear" w:color="auto" w:fill="auto"/>
                  <w:noWrap/>
                  <w:vAlign w:val="center"/>
                </w:tcPr>
                <w:p w14:paraId="44836DCB">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lang w:val="en-US" w:eastAsia="zh-CN" w:bidi="ar-SA"/>
                    </w:rPr>
                  </w:pPr>
                  <w:r>
                    <w:rPr>
                      <w:rFonts w:hint="default" w:ascii="Times New Roman" w:hAnsi="Times New Roman" w:eastAsia="宋体" w:cs="Times New Roman"/>
                      <w:color w:val="auto"/>
                      <w:sz w:val="18"/>
                      <w:szCs w:val="13"/>
                      <w:highlight w:val="none"/>
                      <w:lang w:eastAsia="en-US"/>
                    </w:rPr>
                    <w:t>n</w:t>
                  </w:r>
                </w:p>
              </w:tc>
              <w:tc>
                <w:tcPr>
                  <w:tcW w:w="701" w:type="dxa"/>
                  <w:tcBorders>
                    <w:tl2br w:val="nil"/>
                    <w:tr2bl w:val="nil"/>
                  </w:tcBorders>
                  <w:shd w:val="clear" w:color="auto" w:fill="auto"/>
                  <w:noWrap/>
                  <w:vAlign w:val="center"/>
                </w:tcPr>
                <w:p w14:paraId="19946A0B">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lang w:val="en-US" w:eastAsia="zh-CN" w:bidi="ar-SA"/>
                    </w:rPr>
                  </w:pPr>
                  <w:r>
                    <w:rPr>
                      <w:rFonts w:hint="default" w:ascii="Times New Roman" w:hAnsi="Times New Roman" w:eastAsia="宋体" w:cs="Times New Roman"/>
                      <w:color w:val="auto"/>
                      <w:sz w:val="18"/>
                      <w:szCs w:val="13"/>
                      <w:highlight w:val="none"/>
                      <w:lang w:eastAsia="en-US"/>
                    </w:rPr>
                    <w:t>γ</w:t>
                  </w:r>
                </w:p>
              </w:tc>
              <w:tc>
                <w:tcPr>
                  <w:tcW w:w="1046" w:type="dxa"/>
                  <w:vMerge w:val="continue"/>
                  <w:tcBorders>
                    <w:tl2br w:val="nil"/>
                    <w:tr2bl w:val="nil"/>
                  </w:tcBorders>
                  <w:shd w:val="clear" w:color="auto" w:fill="auto"/>
                  <w:noWrap/>
                  <w:vAlign w:val="center"/>
                </w:tcPr>
                <w:p w14:paraId="333BD1E3">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p>
              </w:tc>
              <w:tc>
                <w:tcPr>
                  <w:tcW w:w="679" w:type="dxa"/>
                  <w:tcBorders>
                    <w:tl2br w:val="nil"/>
                    <w:tr2bl w:val="nil"/>
                  </w:tcBorders>
                  <w:shd w:val="clear" w:color="auto" w:fill="auto"/>
                  <w:vAlign w:val="center"/>
                </w:tcPr>
                <w:p w14:paraId="35650E1B">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lang w:val="en-US" w:eastAsia="zh-CN" w:bidi="ar-SA"/>
                    </w:rPr>
                  </w:pPr>
                  <w:r>
                    <w:rPr>
                      <w:rFonts w:hint="default" w:ascii="Times New Roman" w:hAnsi="Times New Roman" w:eastAsia="宋体" w:cs="Times New Roman"/>
                      <w:color w:val="auto"/>
                      <w:sz w:val="18"/>
                      <w:szCs w:val="13"/>
                      <w:highlight w:val="none"/>
                      <w:lang w:eastAsia="en-US"/>
                    </w:rPr>
                    <w:t>n</w:t>
                  </w:r>
                </w:p>
              </w:tc>
              <w:tc>
                <w:tcPr>
                  <w:tcW w:w="692" w:type="dxa"/>
                  <w:tcBorders>
                    <w:tl2br w:val="nil"/>
                    <w:tr2bl w:val="nil"/>
                  </w:tcBorders>
                  <w:shd w:val="clear" w:color="auto" w:fill="auto"/>
                  <w:vAlign w:val="center"/>
                </w:tcPr>
                <w:p w14:paraId="04C9EA02">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lang w:val="en-US" w:eastAsia="zh-CN" w:bidi="ar-SA"/>
                    </w:rPr>
                  </w:pPr>
                  <w:r>
                    <w:rPr>
                      <w:rFonts w:hint="default" w:ascii="Times New Roman" w:hAnsi="Times New Roman" w:eastAsia="宋体" w:cs="Times New Roman"/>
                      <w:color w:val="auto"/>
                      <w:sz w:val="18"/>
                      <w:szCs w:val="13"/>
                      <w:highlight w:val="none"/>
                      <w:lang w:eastAsia="en-US"/>
                    </w:rPr>
                    <w:t>γ</w:t>
                  </w:r>
                </w:p>
              </w:tc>
              <w:tc>
                <w:tcPr>
                  <w:tcW w:w="1939" w:type="dxa"/>
                  <w:gridSpan w:val="2"/>
                  <w:vMerge w:val="continue"/>
                  <w:tcBorders>
                    <w:tl2br w:val="nil"/>
                    <w:tr2bl w:val="nil"/>
                  </w:tcBorders>
                  <w:shd w:val="clear" w:color="auto" w:fill="auto"/>
                  <w:noWrap/>
                  <w:vAlign w:val="center"/>
                </w:tcPr>
                <w:p w14:paraId="5D244ED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p>
              </w:tc>
              <w:tc>
                <w:tcPr>
                  <w:tcW w:w="1455" w:type="dxa"/>
                  <w:vMerge w:val="continue"/>
                  <w:tcBorders>
                    <w:tl2br w:val="nil"/>
                    <w:tr2bl w:val="nil"/>
                  </w:tcBorders>
                  <w:shd w:val="clear" w:color="auto" w:fill="auto"/>
                  <w:noWrap/>
                  <w:vAlign w:val="center"/>
                </w:tcPr>
                <w:p w14:paraId="571E8591">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p>
              </w:tc>
            </w:tr>
            <w:tr w14:paraId="4A20C6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trPr>
              <w:tc>
                <w:tcPr>
                  <w:tcW w:w="1476" w:type="dxa"/>
                  <w:tcBorders>
                    <w:tl2br w:val="nil"/>
                    <w:tr2bl w:val="nil"/>
                  </w:tcBorders>
                  <w:shd w:val="clear" w:color="auto" w:fill="auto"/>
                  <w:vAlign w:val="center"/>
                </w:tcPr>
                <w:p w14:paraId="6A12C783">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a北墙外30cm处</w:t>
                  </w:r>
                </w:p>
              </w:tc>
              <w:tc>
                <w:tcPr>
                  <w:tcW w:w="769" w:type="dxa"/>
                  <w:tcBorders>
                    <w:tl2br w:val="nil"/>
                    <w:tr2bl w:val="nil"/>
                  </w:tcBorders>
                  <w:shd w:val="clear" w:color="auto" w:fill="auto"/>
                  <w:vAlign w:val="center"/>
                </w:tcPr>
                <w:p w14:paraId="3C777C52">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7.5</w:t>
                  </w:r>
                </w:p>
              </w:tc>
              <w:tc>
                <w:tcPr>
                  <w:tcW w:w="759" w:type="dxa"/>
                  <w:tcBorders>
                    <w:tl2br w:val="nil"/>
                    <w:tr2bl w:val="nil"/>
                  </w:tcBorders>
                  <w:shd w:val="clear" w:color="auto" w:fill="auto"/>
                  <w:noWrap/>
                  <w:vAlign w:val="center"/>
                </w:tcPr>
                <w:p w14:paraId="0F461E0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112.7</w:t>
                  </w:r>
                </w:p>
              </w:tc>
              <w:tc>
                <w:tcPr>
                  <w:tcW w:w="701" w:type="dxa"/>
                  <w:tcBorders>
                    <w:tl2br w:val="nil"/>
                    <w:tr2bl w:val="nil"/>
                  </w:tcBorders>
                  <w:shd w:val="clear" w:color="auto" w:fill="auto"/>
                  <w:noWrap/>
                  <w:vAlign w:val="center"/>
                </w:tcPr>
                <w:p w14:paraId="0DF0D07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55.9</w:t>
                  </w:r>
                </w:p>
              </w:tc>
              <w:tc>
                <w:tcPr>
                  <w:tcW w:w="1046" w:type="dxa"/>
                  <w:tcBorders>
                    <w:tl2br w:val="nil"/>
                    <w:tr2bl w:val="nil"/>
                  </w:tcBorders>
                  <w:shd w:val="clear" w:color="auto" w:fill="auto"/>
                  <w:noWrap/>
                  <w:vAlign w:val="center"/>
                </w:tcPr>
                <w:p w14:paraId="0A16D906">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70</w:t>
                  </w:r>
                </w:p>
              </w:tc>
              <w:tc>
                <w:tcPr>
                  <w:tcW w:w="679" w:type="dxa"/>
                  <w:tcBorders>
                    <w:tl2br w:val="nil"/>
                    <w:tr2bl w:val="nil"/>
                  </w:tcBorders>
                  <w:shd w:val="clear" w:color="auto" w:fill="auto"/>
                  <w:vAlign w:val="center"/>
                </w:tcPr>
                <w:p w14:paraId="391F217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43</w:t>
                  </w:r>
                </w:p>
              </w:tc>
              <w:tc>
                <w:tcPr>
                  <w:tcW w:w="692" w:type="dxa"/>
                  <w:tcBorders>
                    <w:tl2br w:val="nil"/>
                    <w:tr2bl w:val="nil"/>
                  </w:tcBorders>
                  <w:shd w:val="clear" w:color="auto" w:fill="auto"/>
                  <w:vAlign w:val="center"/>
                </w:tcPr>
                <w:p w14:paraId="20301057">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38</w:t>
                  </w:r>
                </w:p>
              </w:tc>
              <w:tc>
                <w:tcPr>
                  <w:tcW w:w="1939" w:type="dxa"/>
                  <w:gridSpan w:val="2"/>
                  <w:tcBorders>
                    <w:tl2br w:val="nil"/>
                    <w:tr2bl w:val="nil"/>
                  </w:tcBorders>
                  <w:shd w:val="clear" w:color="auto" w:fill="auto"/>
                  <w:noWrap/>
                  <w:vAlign w:val="center"/>
                </w:tcPr>
                <w:p w14:paraId="63784802">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6.15E-02</w:t>
                  </w:r>
                </w:p>
              </w:tc>
              <w:tc>
                <w:tcPr>
                  <w:tcW w:w="1455" w:type="dxa"/>
                  <w:tcBorders>
                    <w:tl2br w:val="nil"/>
                    <w:tr2bl w:val="nil"/>
                  </w:tcBorders>
                  <w:shd w:val="clear" w:color="auto" w:fill="auto"/>
                  <w:noWrap/>
                  <w:vAlign w:val="center"/>
                </w:tcPr>
                <w:p w14:paraId="6160FF8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rPr>
                    <w:t>70cm混凝土</w:t>
                  </w:r>
                </w:p>
              </w:tc>
            </w:tr>
            <w:tr w14:paraId="3286B0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476" w:type="dxa"/>
                  <w:vMerge w:val="restart"/>
                  <w:tcBorders>
                    <w:tl2br w:val="nil"/>
                    <w:tr2bl w:val="nil"/>
                  </w:tcBorders>
                  <w:shd w:val="clear" w:color="auto" w:fill="auto"/>
                  <w:vAlign w:val="center"/>
                </w:tcPr>
                <w:p w14:paraId="1CB9EBA4">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b回旋加速器防护门处</w:t>
                  </w:r>
                </w:p>
              </w:tc>
              <w:tc>
                <w:tcPr>
                  <w:tcW w:w="769" w:type="dxa"/>
                  <w:tcBorders>
                    <w:tl2br w:val="nil"/>
                    <w:tr2bl w:val="nil"/>
                  </w:tcBorders>
                  <w:shd w:val="clear" w:color="auto" w:fill="auto"/>
                  <w:vAlign w:val="center"/>
                </w:tcPr>
                <w:p w14:paraId="097633B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8</w:t>
                  </w:r>
                </w:p>
              </w:tc>
              <w:tc>
                <w:tcPr>
                  <w:tcW w:w="759" w:type="dxa"/>
                  <w:tcBorders>
                    <w:tl2br w:val="nil"/>
                    <w:tr2bl w:val="nil"/>
                  </w:tcBorders>
                  <w:shd w:val="clear" w:color="auto" w:fill="auto"/>
                  <w:noWrap/>
                  <w:vAlign w:val="center"/>
                </w:tcPr>
                <w:p w14:paraId="64746A31">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112.7</w:t>
                  </w:r>
                </w:p>
              </w:tc>
              <w:tc>
                <w:tcPr>
                  <w:tcW w:w="701" w:type="dxa"/>
                  <w:tcBorders>
                    <w:tl2br w:val="nil"/>
                    <w:tr2bl w:val="nil"/>
                  </w:tcBorders>
                  <w:shd w:val="clear" w:color="auto" w:fill="auto"/>
                  <w:noWrap/>
                  <w:vAlign w:val="center"/>
                </w:tcPr>
                <w:p w14:paraId="4AE35210">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55.9</w:t>
                  </w:r>
                </w:p>
              </w:tc>
              <w:tc>
                <w:tcPr>
                  <w:tcW w:w="1046" w:type="dxa"/>
                  <w:tcBorders>
                    <w:tl2br w:val="nil"/>
                    <w:tr2bl w:val="nil"/>
                  </w:tcBorders>
                  <w:shd w:val="clear" w:color="auto" w:fill="auto"/>
                  <w:noWrap/>
                  <w:vAlign w:val="center"/>
                </w:tcPr>
                <w:p w14:paraId="1A59C1C9">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rPr>
                  </w:pPr>
                  <w:r>
                    <w:rPr>
                      <w:rFonts w:hint="default" w:ascii="Times New Roman" w:hAnsi="Times New Roman" w:eastAsia="宋体" w:cs="Times New Roman"/>
                      <w:color w:val="auto"/>
                      <w:sz w:val="18"/>
                      <w:szCs w:val="13"/>
                      <w:highlight w:val="none"/>
                      <w:lang w:val="en-US" w:eastAsia="zh-CN"/>
                    </w:rPr>
                    <w:t>50</w:t>
                  </w:r>
                </w:p>
              </w:tc>
              <w:tc>
                <w:tcPr>
                  <w:tcW w:w="679" w:type="dxa"/>
                  <w:tcBorders>
                    <w:tl2br w:val="nil"/>
                    <w:tr2bl w:val="nil"/>
                  </w:tcBorders>
                  <w:shd w:val="clear" w:color="auto" w:fill="auto"/>
                  <w:vAlign w:val="center"/>
                </w:tcPr>
                <w:p w14:paraId="0996AD0E">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43</w:t>
                  </w:r>
                </w:p>
              </w:tc>
              <w:tc>
                <w:tcPr>
                  <w:tcW w:w="692" w:type="dxa"/>
                  <w:tcBorders>
                    <w:tl2br w:val="nil"/>
                    <w:tr2bl w:val="nil"/>
                  </w:tcBorders>
                  <w:shd w:val="clear" w:color="auto" w:fill="auto"/>
                  <w:vAlign w:val="center"/>
                </w:tcPr>
                <w:p w14:paraId="207D1646">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38</w:t>
                  </w:r>
                </w:p>
              </w:tc>
              <w:tc>
                <w:tcPr>
                  <w:tcW w:w="877" w:type="dxa"/>
                  <w:tcBorders>
                    <w:tl2br w:val="nil"/>
                    <w:tr2bl w:val="nil"/>
                  </w:tcBorders>
                  <w:shd w:val="clear" w:color="auto" w:fill="auto"/>
                  <w:noWrap/>
                  <w:vAlign w:val="center"/>
                </w:tcPr>
                <w:p w14:paraId="1A8F471C">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6"/>
                      <w:szCs w:val="11"/>
                      <w:highlight w:val="none"/>
                      <w:lang w:val="en-US" w:eastAsia="zh-CN"/>
                    </w:rPr>
                  </w:pPr>
                  <w:r>
                    <w:rPr>
                      <w:rFonts w:hint="default" w:ascii="Times New Roman" w:hAnsi="Times New Roman" w:eastAsia="宋体" w:cs="Times New Roman"/>
                      <w:color w:val="auto"/>
                      <w:sz w:val="16"/>
                      <w:szCs w:val="11"/>
                      <w:highlight w:val="none"/>
                      <w:lang w:val="en-US" w:eastAsia="zh-CN"/>
                    </w:rPr>
                    <w:t>1.63E-01</w:t>
                  </w:r>
                </w:p>
              </w:tc>
              <w:tc>
                <w:tcPr>
                  <w:tcW w:w="1062" w:type="dxa"/>
                  <w:vMerge w:val="restart"/>
                  <w:tcBorders>
                    <w:tl2br w:val="nil"/>
                    <w:tr2bl w:val="nil"/>
                  </w:tcBorders>
                  <w:shd w:val="clear" w:color="auto" w:fill="auto"/>
                  <w:noWrap/>
                  <w:vAlign w:val="center"/>
                </w:tcPr>
                <w:p w14:paraId="6BCCB3E4">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lang w:val="en-US" w:eastAsia="zh-CN"/>
                    </w:rPr>
                    <w:t>1.63E-01</w:t>
                  </w:r>
                </w:p>
              </w:tc>
              <w:tc>
                <w:tcPr>
                  <w:tcW w:w="1455" w:type="dxa"/>
                  <w:vMerge w:val="restart"/>
                  <w:tcBorders>
                    <w:tl2br w:val="nil"/>
                    <w:tr2bl w:val="nil"/>
                  </w:tcBorders>
                  <w:shd w:val="clear" w:color="auto" w:fill="auto"/>
                  <w:noWrap/>
                  <w:vAlign w:val="center"/>
                </w:tcPr>
                <w:p w14:paraId="15E30A32">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6"/>
                      <w:szCs w:val="11"/>
                      <w:highlight w:val="none"/>
                      <w:lang w:val="en-US" w:eastAsia="zh-CN"/>
                    </w:rPr>
                    <w:t>50cm混凝土迷道+</w:t>
                  </w:r>
                  <w:r>
                    <w:rPr>
                      <w:rFonts w:hint="default" w:ascii="Times New Roman" w:hAnsi="Times New Roman" w:eastAsia="宋体" w:cs="Times New Roman"/>
                      <w:color w:val="auto"/>
                      <w:sz w:val="16"/>
                      <w:szCs w:val="11"/>
                      <w:highlight w:val="none"/>
                    </w:rPr>
                    <w:t>10mmPb+150mm含硼聚乙烯</w:t>
                  </w:r>
                </w:p>
              </w:tc>
            </w:tr>
            <w:tr w14:paraId="2E8A2A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476" w:type="dxa"/>
                  <w:vMerge w:val="continue"/>
                  <w:tcBorders>
                    <w:tl2br w:val="nil"/>
                    <w:tr2bl w:val="nil"/>
                  </w:tcBorders>
                  <w:shd w:val="clear" w:color="auto" w:fill="auto"/>
                  <w:vAlign w:val="center"/>
                </w:tcPr>
                <w:p w14:paraId="2E09E269">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p>
              </w:tc>
              <w:tc>
                <w:tcPr>
                  <w:tcW w:w="769" w:type="dxa"/>
                  <w:tcBorders>
                    <w:tl2br w:val="nil"/>
                    <w:tr2bl w:val="nil"/>
                  </w:tcBorders>
                  <w:shd w:val="clear" w:color="auto" w:fill="auto"/>
                  <w:vAlign w:val="center"/>
                </w:tcPr>
                <w:p w14:paraId="1C82A288">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lang w:val="en-US" w:eastAsia="zh-CN" w:bidi="ar-SA"/>
                    </w:rPr>
                  </w:pPr>
                  <w:r>
                    <w:rPr>
                      <w:rFonts w:hint="default" w:ascii="Times New Roman" w:hAnsi="Times New Roman" w:eastAsia="宋体" w:cs="Times New Roman"/>
                      <w:color w:val="auto"/>
                      <w:sz w:val="18"/>
                      <w:szCs w:val="13"/>
                      <w:highlight w:val="none"/>
                      <w:lang w:val="en-US" w:eastAsia="zh-CN"/>
                    </w:rPr>
                    <w:t>8</w:t>
                  </w:r>
                </w:p>
              </w:tc>
              <w:tc>
                <w:tcPr>
                  <w:tcW w:w="759" w:type="dxa"/>
                  <w:tcBorders>
                    <w:tl2br w:val="nil"/>
                    <w:tr2bl w:val="nil"/>
                  </w:tcBorders>
                  <w:shd w:val="clear" w:color="auto" w:fill="auto"/>
                  <w:noWrap/>
                  <w:vAlign w:val="center"/>
                </w:tcPr>
                <w:p w14:paraId="7B853A8D">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lang w:val="en-US" w:eastAsia="zh-CN" w:bidi="ar-SA"/>
                    </w:rPr>
                  </w:pPr>
                  <w:r>
                    <w:rPr>
                      <w:rFonts w:hint="default" w:ascii="Times New Roman" w:hAnsi="Times New Roman" w:eastAsia="宋体" w:cs="Times New Roman"/>
                      <w:color w:val="auto"/>
                      <w:sz w:val="18"/>
                      <w:szCs w:val="13"/>
                      <w:highlight w:val="none"/>
                      <w:lang w:val="en-US" w:eastAsia="zh-CN"/>
                    </w:rPr>
                    <w:t>112.7</w:t>
                  </w:r>
                </w:p>
              </w:tc>
              <w:tc>
                <w:tcPr>
                  <w:tcW w:w="701" w:type="dxa"/>
                  <w:tcBorders>
                    <w:tl2br w:val="nil"/>
                    <w:tr2bl w:val="nil"/>
                  </w:tcBorders>
                  <w:shd w:val="clear" w:color="auto" w:fill="auto"/>
                  <w:noWrap/>
                  <w:vAlign w:val="center"/>
                </w:tcPr>
                <w:p w14:paraId="65B12627">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lang w:val="en-US" w:eastAsia="zh-CN" w:bidi="ar-SA"/>
                    </w:rPr>
                  </w:pPr>
                  <w:r>
                    <w:rPr>
                      <w:rFonts w:hint="default" w:ascii="Times New Roman" w:hAnsi="Times New Roman" w:eastAsia="宋体" w:cs="Times New Roman"/>
                      <w:color w:val="auto"/>
                      <w:sz w:val="18"/>
                      <w:szCs w:val="13"/>
                      <w:highlight w:val="none"/>
                      <w:lang w:val="en-US" w:eastAsia="zh-CN"/>
                    </w:rPr>
                    <w:t>55.9</w:t>
                  </w:r>
                </w:p>
              </w:tc>
              <w:tc>
                <w:tcPr>
                  <w:tcW w:w="1046" w:type="dxa"/>
                  <w:tcBorders>
                    <w:tl2br w:val="nil"/>
                    <w:tr2bl w:val="nil"/>
                  </w:tcBorders>
                  <w:shd w:val="clear" w:color="auto" w:fill="auto"/>
                  <w:noWrap/>
                  <w:vAlign w:val="center"/>
                </w:tcPr>
                <w:p w14:paraId="5F33ACAC">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lang w:val="en-US" w:eastAsia="zh-CN" w:bidi="ar-SA"/>
                    </w:rPr>
                  </w:pPr>
                  <w:r>
                    <w:rPr>
                      <w:rFonts w:hint="default" w:ascii="Times New Roman" w:hAnsi="Times New Roman" w:eastAsia="宋体" w:cs="Times New Roman"/>
                      <w:color w:val="auto"/>
                      <w:sz w:val="18"/>
                      <w:szCs w:val="13"/>
                      <w:highlight w:val="none"/>
                      <w:lang w:val="en-US" w:eastAsia="zh-CN"/>
                    </w:rPr>
                    <w:t>1</w:t>
                  </w:r>
                </w:p>
              </w:tc>
              <w:tc>
                <w:tcPr>
                  <w:tcW w:w="679" w:type="dxa"/>
                  <w:tcBorders>
                    <w:tl2br w:val="nil"/>
                    <w:tr2bl w:val="nil"/>
                  </w:tcBorders>
                  <w:shd w:val="clear" w:color="auto" w:fill="auto"/>
                  <w:vAlign w:val="center"/>
                </w:tcPr>
                <w:p w14:paraId="2A95B47F">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lang w:val="en-US" w:eastAsia="zh-CN" w:bidi="ar-SA"/>
                    </w:rPr>
                  </w:pPr>
                  <w:r>
                    <w:rPr>
                      <w:rFonts w:hint="default" w:ascii="Times New Roman" w:hAnsi="Times New Roman" w:eastAsia="宋体" w:cs="Times New Roman"/>
                      <w:color w:val="auto"/>
                      <w:sz w:val="18"/>
                      <w:szCs w:val="13"/>
                      <w:highlight w:val="none"/>
                      <w:lang w:val="en-US" w:eastAsia="zh-CN"/>
                    </w:rPr>
                    <w:t>47.8</w:t>
                  </w:r>
                </w:p>
              </w:tc>
              <w:tc>
                <w:tcPr>
                  <w:tcW w:w="692" w:type="dxa"/>
                  <w:tcBorders>
                    <w:tl2br w:val="nil"/>
                    <w:tr2bl w:val="nil"/>
                  </w:tcBorders>
                  <w:shd w:val="clear" w:color="auto" w:fill="auto"/>
                  <w:vAlign w:val="center"/>
                </w:tcPr>
                <w:p w14:paraId="4F867F83">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8"/>
                      <w:szCs w:val="13"/>
                      <w:highlight w:val="none"/>
                      <w:lang w:val="en-US" w:eastAsia="zh-CN" w:bidi="ar-SA"/>
                    </w:rPr>
                  </w:pPr>
                  <w:r>
                    <w:rPr>
                      <w:rFonts w:hint="default" w:ascii="Times New Roman" w:hAnsi="Times New Roman" w:eastAsia="宋体" w:cs="Times New Roman"/>
                      <w:color w:val="auto"/>
                      <w:sz w:val="18"/>
                      <w:szCs w:val="13"/>
                      <w:highlight w:val="none"/>
                      <w:lang w:val="en-US" w:eastAsia="zh-CN"/>
                    </w:rPr>
                    <w:t>5</w:t>
                  </w:r>
                </w:p>
              </w:tc>
              <w:tc>
                <w:tcPr>
                  <w:tcW w:w="877" w:type="dxa"/>
                  <w:tcBorders>
                    <w:tl2br w:val="nil"/>
                    <w:tr2bl w:val="nil"/>
                  </w:tcBorders>
                  <w:shd w:val="clear" w:color="auto" w:fill="auto"/>
                  <w:noWrap/>
                  <w:vAlign w:val="center"/>
                </w:tcPr>
                <w:p w14:paraId="55845CB7">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6"/>
                      <w:szCs w:val="11"/>
                      <w:highlight w:val="none"/>
                      <w:lang w:val="en-US" w:eastAsia="zh-CN"/>
                    </w:rPr>
                  </w:pPr>
                  <w:r>
                    <w:rPr>
                      <w:rFonts w:hint="default" w:ascii="Times New Roman" w:hAnsi="Times New Roman" w:eastAsia="宋体" w:cs="Times New Roman"/>
                      <w:color w:val="auto"/>
                      <w:sz w:val="16"/>
                      <w:szCs w:val="11"/>
                      <w:highlight w:val="none"/>
                      <w:lang w:val="en-US" w:eastAsia="zh-CN"/>
                    </w:rPr>
                    <w:t>2.23E+00</w:t>
                  </w:r>
                </w:p>
              </w:tc>
              <w:tc>
                <w:tcPr>
                  <w:tcW w:w="1062" w:type="dxa"/>
                  <w:vMerge w:val="continue"/>
                  <w:tcBorders>
                    <w:tl2br w:val="nil"/>
                    <w:tr2bl w:val="nil"/>
                  </w:tcBorders>
                  <w:shd w:val="clear" w:color="auto" w:fill="auto"/>
                  <w:noWrap/>
                  <w:vAlign w:val="center"/>
                </w:tcPr>
                <w:p w14:paraId="458CC427">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p>
              </w:tc>
              <w:tc>
                <w:tcPr>
                  <w:tcW w:w="1455" w:type="dxa"/>
                  <w:vMerge w:val="continue"/>
                  <w:tcBorders>
                    <w:tl2br w:val="nil"/>
                    <w:tr2bl w:val="nil"/>
                  </w:tcBorders>
                  <w:shd w:val="clear" w:color="auto" w:fill="auto"/>
                  <w:noWrap/>
                  <w:vAlign w:val="center"/>
                </w:tcPr>
                <w:p w14:paraId="05BC48E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p>
              </w:tc>
            </w:tr>
            <w:tr w14:paraId="3BC6E0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476" w:type="dxa"/>
                  <w:vMerge w:val="continue"/>
                  <w:tcBorders>
                    <w:tl2br w:val="nil"/>
                    <w:tr2bl w:val="nil"/>
                  </w:tcBorders>
                  <w:shd w:val="clear" w:color="auto" w:fill="auto"/>
                  <w:noWrap/>
                  <w:vAlign w:val="center"/>
                </w:tcPr>
                <w:p w14:paraId="58936571">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p>
              </w:tc>
              <w:tc>
                <w:tcPr>
                  <w:tcW w:w="769" w:type="dxa"/>
                  <w:tcBorders>
                    <w:tl2br w:val="nil"/>
                    <w:tr2bl w:val="nil"/>
                  </w:tcBorders>
                  <w:shd w:val="clear" w:color="auto" w:fill="auto"/>
                  <w:vAlign w:val="center"/>
                </w:tcPr>
                <w:p w14:paraId="2259B82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8</w:t>
                  </w:r>
                </w:p>
              </w:tc>
              <w:tc>
                <w:tcPr>
                  <w:tcW w:w="759" w:type="dxa"/>
                  <w:tcBorders>
                    <w:tl2br w:val="nil"/>
                    <w:tr2bl w:val="nil"/>
                  </w:tcBorders>
                  <w:shd w:val="clear" w:color="auto" w:fill="auto"/>
                  <w:noWrap/>
                  <w:vAlign w:val="center"/>
                </w:tcPr>
                <w:p w14:paraId="10D56E26">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112.7</w:t>
                  </w:r>
                </w:p>
              </w:tc>
              <w:tc>
                <w:tcPr>
                  <w:tcW w:w="701" w:type="dxa"/>
                  <w:tcBorders>
                    <w:tl2br w:val="nil"/>
                    <w:tr2bl w:val="nil"/>
                  </w:tcBorders>
                  <w:shd w:val="clear" w:color="auto" w:fill="auto"/>
                  <w:noWrap/>
                  <w:vAlign w:val="center"/>
                </w:tcPr>
                <w:p w14:paraId="0DB2D33D">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55.9</w:t>
                  </w:r>
                </w:p>
              </w:tc>
              <w:tc>
                <w:tcPr>
                  <w:tcW w:w="1046" w:type="dxa"/>
                  <w:tcBorders>
                    <w:tl2br w:val="nil"/>
                    <w:tr2bl w:val="nil"/>
                  </w:tcBorders>
                  <w:shd w:val="clear" w:color="auto" w:fill="auto"/>
                  <w:noWrap/>
                  <w:vAlign w:val="center"/>
                </w:tcPr>
                <w:p w14:paraId="35155F24">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15</w:t>
                  </w:r>
                </w:p>
              </w:tc>
              <w:tc>
                <w:tcPr>
                  <w:tcW w:w="679" w:type="dxa"/>
                  <w:tcBorders>
                    <w:tl2br w:val="nil"/>
                    <w:tr2bl w:val="nil"/>
                  </w:tcBorders>
                  <w:shd w:val="clear" w:color="auto" w:fill="auto"/>
                  <w:vAlign w:val="center"/>
                </w:tcPr>
                <w:p w14:paraId="0F6C6EA8">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24</w:t>
                  </w:r>
                </w:p>
              </w:tc>
              <w:tc>
                <w:tcPr>
                  <w:tcW w:w="692" w:type="dxa"/>
                  <w:tcBorders>
                    <w:tl2br w:val="nil"/>
                    <w:tr2bl w:val="nil"/>
                  </w:tcBorders>
                  <w:shd w:val="clear" w:color="auto" w:fill="auto"/>
                  <w:vAlign w:val="center"/>
                </w:tcPr>
                <w:p w14:paraId="17955605">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80</w:t>
                  </w:r>
                </w:p>
              </w:tc>
              <w:tc>
                <w:tcPr>
                  <w:tcW w:w="877" w:type="dxa"/>
                  <w:tcBorders>
                    <w:tl2br w:val="nil"/>
                    <w:tr2bl w:val="nil"/>
                  </w:tcBorders>
                  <w:shd w:val="clear" w:color="auto" w:fill="auto"/>
                  <w:noWrap/>
                  <w:vAlign w:val="center"/>
                </w:tcPr>
                <w:p w14:paraId="31A780CC">
                  <w:pPr>
                    <w:keepNext w:val="0"/>
                    <w:keepLines w:val="0"/>
                    <w:suppressLineNumbers w:val="0"/>
                    <w:spacing w:before="0" w:beforeLines="0" w:beforeAutospacing="0" w:after="0" w:afterLines="0" w:afterAutospacing="0"/>
                    <w:ind w:left="0" w:leftChars="0" w:right="0" w:rightChars="0"/>
                    <w:jc w:val="center"/>
                    <w:rPr>
                      <w:rFonts w:hint="default" w:ascii="Times New Roman" w:hAnsi="Times New Roman" w:eastAsia="宋体" w:cs="Times New Roman"/>
                      <w:color w:val="auto"/>
                      <w:sz w:val="16"/>
                      <w:szCs w:val="11"/>
                      <w:highlight w:val="none"/>
                      <w:lang w:val="en-US" w:eastAsia="zh-CN"/>
                    </w:rPr>
                  </w:pPr>
                  <w:r>
                    <w:rPr>
                      <w:rFonts w:hint="default" w:ascii="Times New Roman" w:hAnsi="Times New Roman" w:eastAsia="宋体" w:cs="Times New Roman"/>
                      <w:color w:val="auto"/>
                      <w:sz w:val="16"/>
                      <w:szCs w:val="11"/>
                      <w:highlight w:val="none"/>
                      <w:lang w:val="en-US" w:eastAsia="zh-CN"/>
                    </w:rPr>
                    <w:t>9.85E-01</w:t>
                  </w:r>
                </w:p>
              </w:tc>
              <w:tc>
                <w:tcPr>
                  <w:tcW w:w="1062" w:type="dxa"/>
                  <w:vMerge w:val="continue"/>
                  <w:tcBorders>
                    <w:tl2br w:val="nil"/>
                    <w:tr2bl w:val="nil"/>
                  </w:tcBorders>
                  <w:shd w:val="clear" w:color="auto" w:fill="auto"/>
                  <w:noWrap/>
                  <w:vAlign w:val="center"/>
                </w:tcPr>
                <w:p w14:paraId="20738B53">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p>
              </w:tc>
              <w:tc>
                <w:tcPr>
                  <w:tcW w:w="1455" w:type="dxa"/>
                  <w:vMerge w:val="continue"/>
                  <w:tcBorders>
                    <w:tl2br w:val="nil"/>
                    <w:tr2bl w:val="nil"/>
                  </w:tcBorders>
                  <w:shd w:val="clear" w:color="auto" w:fill="auto"/>
                  <w:noWrap/>
                  <w:vAlign w:val="center"/>
                </w:tcPr>
                <w:p w14:paraId="355D927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p>
              </w:tc>
            </w:tr>
            <w:tr w14:paraId="72A7C0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76" w:type="dxa"/>
                  <w:tcBorders>
                    <w:tl2br w:val="nil"/>
                    <w:tr2bl w:val="nil"/>
                  </w:tcBorders>
                  <w:shd w:val="clear" w:color="auto" w:fill="auto"/>
                  <w:vAlign w:val="center"/>
                </w:tcPr>
                <w:p w14:paraId="506CAF9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c北墙外30cm处</w:t>
                  </w:r>
                </w:p>
              </w:tc>
              <w:tc>
                <w:tcPr>
                  <w:tcW w:w="769" w:type="dxa"/>
                  <w:tcBorders>
                    <w:tl2br w:val="nil"/>
                    <w:tr2bl w:val="nil"/>
                  </w:tcBorders>
                  <w:shd w:val="clear" w:color="auto" w:fill="auto"/>
                  <w:vAlign w:val="center"/>
                </w:tcPr>
                <w:p w14:paraId="37DEDCF5">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8</w:t>
                  </w:r>
                </w:p>
              </w:tc>
              <w:tc>
                <w:tcPr>
                  <w:tcW w:w="759" w:type="dxa"/>
                  <w:tcBorders>
                    <w:tl2br w:val="nil"/>
                    <w:tr2bl w:val="nil"/>
                  </w:tcBorders>
                  <w:shd w:val="clear" w:color="auto" w:fill="auto"/>
                  <w:noWrap/>
                  <w:vAlign w:val="center"/>
                </w:tcPr>
                <w:p w14:paraId="5318E45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112.7</w:t>
                  </w:r>
                </w:p>
              </w:tc>
              <w:tc>
                <w:tcPr>
                  <w:tcW w:w="701" w:type="dxa"/>
                  <w:tcBorders>
                    <w:tl2br w:val="nil"/>
                    <w:tr2bl w:val="nil"/>
                  </w:tcBorders>
                  <w:shd w:val="clear" w:color="auto" w:fill="auto"/>
                  <w:noWrap/>
                  <w:vAlign w:val="center"/>
                </w:tcPr>
                <w:p w14:paraId="780C15E2">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55.9</w:t>
                  </w:r>
                </w:p>
              </w:tc>
              <w:tc>
                <w:tcPr>
                  <w:tcW w:w="1046" w:type="dxa"/>
                  <w:tcBorders>
                    <w:tl2br w:val="nil"/>
                    <w:tr2bl w:val="nil"/>
                  </w:tcBorders>
                  <w:shd w:val="clear" w:color="auto" w:fill="auto"/>
                  <w:noWrap/>
                  <w:vAlign w:val="center"/>
                </w:tcPr>
                <w:p w14:paraId="11F6818F">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70</w:t>
                  </w:r>
                </w:p>
              </w:tc>
              <w:tc>
                <w:tcPr>
                  <w:tcW w:w="679" w:type="dxa"/>
                  <w:tcBorders>
                    <w:tl2br w:val="nil"/>
                    <w:tr2bl w:val="nil"/>
                  </w:tcBorders>
                  <w:shd w:val="clear" w:color="auto" w:fill="auto"/>
                  <w:vAlign w:val="center"/>
                </w:tcPr>
                <w:p w14:paraId="6671CFA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43</w:t>
                  </w:r>
                </w:p>
              </w:tc>
              <w:tc>
                <w:tcPr>
                  <w:tcW w:w="692" w:type="dxa"/>
                  <w:tcBorders>
                    <w:tl2br w:val="nil"/>
                    <w:tr2bl w:val="nil"/>
                  </w:tcBorders>
                  <w:shd w:val="clear" w:color="auto" w:fill="auto"/>
                  <w:vAlign w:val="center"/>
                </w:tcPr>
                <w:p w14:paraId="0FD65A98">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38</w:t>
                  </w:r>
                </w:p>
              </w:tc>
              <w:tc>
                <w:tcPr>
                  <w:tcW w:w="1939" w:type="dxa"/>
                  <w:gridSpan w:val="2"/>
                  <w:tcBorders>
                    <w:tl2br w:val="nil"/>
                    <w:tr2bl w:val="nil"/>
                  </w:tcBorders>
                  <w:shd w:val="clear" w:color="auto" w:fill="auto"/>
                  <w:noWrap/>
                  <w:vAlign w:val="center"/>
                </w:tcPr>
                <w:p w14:paraId="0F7C4B6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5.40E-02</w:t>
                  </w:r>
                </w:p>
              </w:tc>
              <w:tc>
                <w:tcPr>
                  <w:tcW w:w="1455" w:type="dxa"/>
                  <w:tcBorders>
                    <w:tl2br w:val="nil"/>
                    <w:tr2bl w:val="nil"/>
                  </w:tcBorders>
                  <w:shd w:val="clear" w:color="auto" w:fill="auto"/>
                  <w:noWrap/>
                  <w:vAlign w:val="center"/>
                </w:tcPr>
                <w:p w14:paraId="03CF031B">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rPr>
                    <w:t>70cm混凝土</w:t>
                  </w:r>
                </w:p>
              </w:tc>
            </w:tr>
            <w:tr w14:paraId="453A5B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476" w:type="dxa"/>
                  <w:tcBorders>
                    <w:tl2br w:val="nil"/>
                    <w:tr2bl w:val="nil"/>
                  </w:tcBorders>
                  <w:shd w:val="clear" w:color="auto" w:fill="auto"/>
                  <w:vAlign w:val="center"/>
                </w:tcPr>
                <w:p w14:paraId="03C1898B">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d西墙外30cm处</w:t>
                  </w:r>
                </w:p>
              </w:tc>
              <w:tc>
                <w:tcPr>
                  <w:tcW w:w="769" w:type="dxa"/>
                  <w:tcBorders>
                    <w:tl2br w:val="nil"/>
                    <w:tr2bl w:val="nil"/>
                  </w:tcBorders>
                  <w:shd w:val="clear" w:color="auto" w:fill="auto"/>
                  <w:vAlign w:val="center"/>
                </w:tcPr>
                <w:p w14:paraId="1A6AFDD0">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7.8</w:t>
                  </w:r>
                </w:p>
              </w:tc>
              <w:tc>
                <w:tcPr>
                  <w:tcW w:w="759" w:type="dxa"/>
                  <w:tcBorders>
                    <w:tl2br w:val="nil"/>
                    <w:tr2bl w:val="nil"/>
                  </w:tcBorders>
                  <w:shd w:val="clear" w:color="auto" w:fill="auto"/>
                  <w:noWrap/>
                  <w:vAlign w:val="center"/>
                </w:tcPr>
                <w:p w14:paraId="5878F783">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112.7</w:t>
                  </w:r>
                </w:p>
              </w:tc>
              <w:tc>
                <w:tcPr>
                  <w:tcW w:w="701" w:type="dxa"/>
                  <w:tcBorders>
                    <w:tl2br w:val="nil"/>
                    <w:tr2bl w:val="nil"/>
                  </w:tcBorders>
                  <w:shd w:val="clear" w:color="auto" w:fill="auto"/>
                  <w:noWrap/>
                  <w:vAlign w:val="center"/>
                </w:tcPr>
                <w:p w14:paraId="6EA1273D">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55.9</w:t>
                  </w:r>
                </w:p>
              </w:tc>
              <w:tc>
                <w:tcPr>
                  <w:tcW w:w="1046" w:type="dxa"/>
                  <w:tcBorders>
                    <w:tl2br w:val="nil"/>
                    <w:tr2bl w:val="nil"/>
                  </w:tcBorders>
                  <w:shd w:val="clear" w:color="auto" w:fill="auto"/>
                  <w:noWrap/>
                  <w:vAlign w:val="center"/>
                </w:tcPr>
                <w:p w14:paraId="44D9FA2B">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80</w:t>
                  </w:r>
                </w:p>
              </w:tc>
              <w:tc>
                <w:tcPr>
                  <w:tcW w:w="679" w:type="dxa"/>
                  <w:tcBorders>
                    <w:tl2br w:val="nil"/>
                    <w:tr2bl w:val="nil"/>
                  </w:tcBorders>
                  <w:shd w:val="clear" w:color="auto" w:fill="auto"/>
                  <w:vAlign w:val="center"/>
                </w:tcPr>
                <w:p w14:paraId="4938EF8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43</w:t>
                  </w:r>
                </w:p>
              </w:tc>
              <w:tc>
                <w:tcPr>
                  <w:tcW w:w="692" w:type="dxa"/>
                  <w:tcBorders>
                    <w:tl2br w:val="nil"/>
                    <w:tr2bl w:val="nil"/>
                  </w:tcBorders>
                  <w:shd w:val="clear" w:color="auto" w:fill="auto"/>
                  <w:vAlign w:val="center"/>
                </w:tcPr>
                <w:p w14:paraId="6FCE5F5D">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38</w:t>
                  </w:r>
                </w:p>
              </w:tc>
              <w:tc>
                <w:tcPr>
                  <w:tcW w:w="1939" w:type="dxa"/>
                  <w:gridSpan w:val="2"/>
                  <w:tcBorders>
                    <w:tl2br w:val="nil"/>
                    <w:tr2bl w:val="nil"/>
                  </w:tcBorders>
                  <w:shd w:val="clear" w:color="auto" w:fill="auto"/>
                  <w:noWrap/>
                  <w:vAlign w:val="center"/>
                </w:tcPr>
                <w:p w14:paraId="1D3B196F">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3.28E-02</w:t>
                  </w:r>
                </w:p>
              </w:tc>
              <w:tc>
                <w:tcPr>
                  <w:tcW w:w="1455" w:type="dxa"/>
                  <w:tcBorders>
                    <w:tl2br w:val="nil"/>
                    <w:tr2bl w:val="nil"/>
                  </w:tcBorders>
                  <w:shd w:val="clear" w:color="auto" w:fill="auto"/>
                  <w:noWrap/>
                  <w:vAlign w:val="center"/>
                </w:tcPr>
                <w:p w14:paraId="4895A0D6">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rPr>
                    <w:t>80cm混凝土</w:t>
                  </w:r>
                </w:p>
              </w:tc>
            </w:tr>
            <w:tr w14:paraId="5326B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476" w:type="dxa"/>
                  <w:tcBorders>
                    <w:tl2br w:val="nil"/>
                    <w:tr2bl w:val="nil"/>
                  </w:tcBorders>
                  <w:shd w:val="clear" w:color="auto" w:fill="auto"/>
                  <w:vAlign w:val="center"/>
                </w:tcPr>
                <w:p w14:paraId="759AB576">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e东墙外30cm处</w:t>
                  </w:r>
                </w:p>
              </w:tc>
              <w:tc>
                <w:tcPr>
                  <w:tcW w:w="769" w:type="dxa"/>
                  <w:tcBorders>
                    <w:tl2br w:val="nil"/>
                    <w:tr2bl w:val="nil"/>
                  </w:tcBorders>
                  <w:shd w:val="clear" w:color="auto" w:fill="auto"/>
                  <w:vAlign w:val="center"/>
                </w:tcPr>
                <w:p w14:paraId="4A80430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4.9</w:t>
                  </w:r>
                </w:p>
              </w:tc>
              <w:tc>
                <w:tcPr>
                  <w:tcW w:w="759" w:type="dxa"/>
                  <w:tcBorders>
                    <w:tl2br w:val="nil"/>
                    <w:tr2bl w:val="nil"/>
                  </w:tcBorders>
                  <w:shd w:val="clear" w:color="auto" w:fill="auto"/>
                  <w:noWrap/>
                  <w:vAlign w:val="center"/>
                </w:tcPr>
                <w:p w14:paraId="57EC23A7">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112.7</w:t>
                  </w:r>
                </w:p>
              </w:tc>
              <w:tc>
                <w:tcPr>
                  <w:tcW w:w="701" w:type="dxa"/>
                  <w:tcBorders>
                    <w:tl2br w:val="nil"/>
                    <w:tr2bl w:val="nil"/>
                  </w:tcBorders>
                  <w:shd w:val="clear" w:color="auto" w:fill="auto"/>
                  <w:noWrap/>
                  <w:vAlign w:val="center"/>
                </w:tcPr>
                <w:p w14:paraId="67A13A56">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55.9</w:t>
                  </w:r>
                </w:p>
              </w:tc>
              <w:tc>
                <w:tcPr>
                  <w:tcW w:w="1046" w:type="dxa"/>
                  <w:tcBorders>
                    <w:tl2br w:val="nil"/>
                    <w:tr2bl w:val="nil"/>
                  </w:tcBorders>
                  <w:shd w:val="clear" w:color="auto" w:fill="auto"/>
                  <w:noWrap/>
                  <w:vAlign w:val="center"/>
                </w:tcPr>
                <w:p w14:paraId="17444B7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80</w:t>
                  </w:r>
                </w:p>
              </w:tc>
              <w:tc>
                <w:tcPr>
                  <w:tcW w:w="679" w:type="dxa"/>
                  <w:tcBorders>
                    <w:tl2br w:val="nil"/>
                    <w:tr2bl w:val="nil"/>
                  </w:tcBorders>
                  <w:shd w:val="clear" w:color="auto" w:fill="auto"/>
                  <w:vAlign w:val="center"/>
                </w:tcPr>
                <w:p w14:paraId="3F0CA718">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43</w:t>
                  </w:r>
                </w:p>
              </w:tc>
              <w:tc>
                <w:tcPr>
                  <w:tcW w:w="692" w:type="dxa"/>
                  <w:tcBorders>
                    <w:tl2br w:val="nil"/>
                    <w:tr2bl w:val="nil"/>
                  </w:tcBorders>
                  <w:shd w:val="clear" w:color="auto" w:fill="auto"/>
                  <w:vAlign w:val="center"/>
                </w:tcPr>
                <w:p w14:paraId="18D05A5B">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38</w:t>
                  </w:r>
                </w:p>
              </w:tc>
              <w:tc>
                <w:tcPr>
                  <w:tcW w:w="1939" w:type="dxa"/>
                  <w:gridSpan w:val="2"/>
                  <w:tcBorders>
                    <w:tl2br w:val="nil"/>
                    <w:tr2bl w:val="nil"/>
                  </w:tcBorders>
                  <w:shd w:val="clear" w:color="auto" w:fill="auto"/>
                  <w:noWrap/>
                  <w:vAlign w:val="center"/>
                </w:tcPr>
                <w:p w14:paraId="21BE1378">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8.30E-02</w:t>
                  </w:r>
                </w:p>
              </w:tc>
              <w:tc>
                <w:tcPr>
                  <w:tcW w:w="1455" w:type="dxa"/>
                  <w:tcBorders>
                    <w:tl2br w:val="nil"/>
                    <w:tr2bl w:val="nil"/>
                  </w:tcBorders>
                  <w:shd w:val="clear" w:color="auto" w:fill="auto"/>
                  <w:noWrap/>
                  <w:vAlign w:val="center"/>
                </w:tcPr>
                <w:p w14:paraId="1DE7E16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rPr>
                    <w:t>80cm混凝土</w:t>
                  </w:r>
                </w:p>
              </w:tc>
            </w:tr>
            <w:tr w14:paraId="39AC21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04" w:hRule="atLeast"/>
              </w:trPr>
              <w:tc>
                <w:tcPr>
                  <w:tcW w:w="1476" w:type="dxa"/>
                  <w:tcBorders>
                    <w:tl2br w:val="nil"/>
                    <w:tr2bl w:val="nil"/>
                  </w:tcBorders>
                  <w:shd w:val="clear" w:color="auto" w:fill="auto"/>
                  <w:vAlign w:val="center"/>
                </w:tcPr>
                <w:p w14:paraId="13DD1E86">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f回旋加速器室顶30cm处</w:t>
                  </w:r>
                </w:p>
              </w:tc>
              <w:tc>
                <w:tcPr>
                  <w:tcW w:w="769" w:type="dxa"/>
                  <w:tcBorders>
                    <w:tl2br w:val="nil"/>
                    <w:tr2bl w:val="nil"/>
                  </w:tcBorders>
                  <w:shd w:val="clear" w:color="auto" w:fill="auto"/>
                  <w:vAlign w:val="center"/>
                </w:tcPr>
                <w:p w14:paraId="3729BB9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4.6</w:t>
                  </w:r>
                </w:p>
              </w:tc>
              <w:tc>
                <w:tcPr>
                  <w:tcW w:w="759" w:type="dxa"/>
                  <w:tcBorders>
                    <w:tl2br w:val="nil"/>
                    <w:tr2bl w:val="nil"/>
                  </w:tcBorders>
                  <w:shd w:val="clear" w:color="auto" w:fill="auto"/>
                  <w:noWrap/>
                  <w:vAlign w:val="center"/>
                </w:tcPr>
                <w:p w14:paraId="46D10FD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112.7</w:t>
                  </w:r>
                </w:p>
              </w:tc>
              <w:tc>
                <w:tcPr>
                  <w:tcW w:w="701" w:type="dxa"/>
                  <w:tcBorders>
                    <w:tl2br w:val="nil"/>
                    <w:tr2bl w:val="nil"/>
                  </w:tcBorders>
                  <w:shd w:val="clear" w:color="auto" w:fill="auto"/>
                  <w:noWrap/>
                  <w:vAlign w:val="center"/>
                </w:tcPr>
                <w:p w14:paraId="115F0FB7">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55.9</w:t>
                  </w:r>
                </w:p>
              </w:tc>
              <w:tc>
                <w:tcPr>
                  <w:tcW w:w="1046" w:type="dxa"/>
                  <w:tcBorders>
                    <w:tl2br w:val="nil"/>
                    <w:tr2bl w:val="nil"/>
                  </w:tcBorders>
                  <w:shd w:val="clear" w:color="auto" w:fill="auto"/>
                  <w:noWrap/>
                  <w:vAlign w:val="center"/>
                </w:tcPr>
                <w:p w14:paraId="11E4ACE8">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80</w:t>
                  </w:r>
                </w:p>
              </w:tc>
              <w:tc>
                <w:tcPr>
                  <w:tcW w:w="679" w:type="dxa"/>
                  <w:tcBorders>
                    <w:tl2br w:val="nil"/>
                    <w:tr2bl w:val="nil"/>
                  </w:tcBorders>
                  <w:shd w:val="clear" w:color="auto" w:fill="auto"/>
                  <w:vAlign w:val="center"/>
                </w:tcPr>
                <w:p w14:paraId="54A16A79">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43</w:t>
                  </w:r>
                </w:p>
              </w:tc>
              <w:tc>
                <w:tcPr>
                  <w:tcW w:w="692" w:type="dxa"/>
                  <w:tcBorders>
                    <w:tl2br w:val="nil"/>
                    <w:tr2bl w:val="nil"/>
                  </w:tcBorders>
                  <w:shd w:val="clear" w:color="auto" w:fill="auto"/>
                  <w:vAlign w:val="center"/>
                </w:tcPr>
                <w:p w14:paraId="67B6E3EF">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38</w:t>
                  </w:r>
                </w:p>
              </w:tc>
              <w:tc>
                <w:tcPr>
                  <w:tcW w:w="1939" w:type="dxa"/>
                  <w:gridSpan w:val="2"/>
                  <w:tcBorders>
                    <w:tl2br w:val="nil"/>
                    <w:tr2bl w:val="nil"/>
                  </w:tcBorders>
                  <w:shd w:val="clear" w:color="auto" w:fill="auto"/>
                  <w:noWrap/>
                  <w:vAlign w:val="center"/>
                </w:tcPr>
                <w:p w14:paraId="7DD22BA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9.42E-02</w:t>
                  </w:r>
                </w:p>
              </w:tc>
              <w:tc>
                <w:tcPr>
                  <w:tcW w:w="1455" w:type="dxa"/>
                  <w:tcBorders>
                    <w:tl2br w:val="nil"/>
                    <w:tr2bl w:val="nil"/>
                  </w:tcBorders>
                  <w:shd w:val="clear" w:color="auto" w:fill="auto"/>
                  <w:noWrap/>
                  <w:vAlign w:val="center"/>
                </w:tcPr>
                <w:p w14:paraId="7488B2D9">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rPr>
                    <w:t>80cm混凝土</w:t>
                  </w:r>
                </w:p>
              </w:tc>
            </w:tr>
            <w:tr w14:paraId="16174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476" w:type="dxa"/>
                  <w:tcBorders>
                    <w:tl2br w:val="nil"/>
                    <w:tr2bl w:val="nil"/>
                  </w:tcBorders>
                  <w:shd w:val="clear" w:color="auto" w:fill="auto"/>
                  <w:vAlign w:val="center"/>
                </w:tcPr>
                <w:p w14:paraId="7D14E8D1">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g地面30cm处</w:t>
                  </w:r>
                </w:p>
              </w:tc>
              <w:tc>
                <w:tcPr>
                  <w:tcW w:w="769" w:type="dxa"/>
                  <w:tcBorders>
                    <w:tl2br w:val="nil"/>
                    <w:tr2bl w:val="nil"/>
                  </w:tcBorders>
                  <w:shd w:val="clear" w:color="auto" w:fill="auto"/>
                  <w:vAlign w:val="center"/>
                </w:tcPr>
                <w:p w14:paraId="605081D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3.5</w:t>
                  </w:r>
                </w:p>
              </w:tc>
              <w:tc>
                <w:tcPr>
                  <w:tcW w:w="759" w:type="dxa"/>
                  <w:tcBorders>
                    <w:tl2br w:val="nil"/>
                    <w:tr2bl w:val="nil"/>
                  </w:tcBorders>
                  <w:shd w:val="clear" w:color="auto" w:fill="auto"/>
                  <w:noWrap/>
                  <w:vAlign w:val="center"/>
                </w:tcPr>
                <w:p w14:paraId="2C292F3B">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112.7</w:t>
                  </w:r>
                </w:p>
              </w:tc>
              <w:tc>
                <w:tcPr>
                  <w:tcW w:w="701" w:type="dxa"/>
                  <w:tcBorders>
                    <w:tl2br w:val="nil"/>
                    <w:tr2bl w:val="nil"/>
                  </w:tcBorders>
                  <w:shd w:val="clear" w:color="auto" w:fill="auto"/>
                  <w:noWrap/>
                  <w:vAlign w:val="center"/>
                </w:tcPr>
                <w:p w14:paraId="33864192">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55.9</w:t>
                  </w:r>
                </w:p>
              </w:tc>
              <w:tc>
                <w:tcPr>
                  <w:tcW w:w="1046" w:type="dxa"/>
                  <w:tcBorders>
                    <w:tl2br w:val="nil"/>
                    <w:tr2bl w:val="nil"/>
                  </w:tcBorders>
                  <w:shd w:val="clear" w:color="auto" w:fill="auto"/>
                  <w:noWrap/>
                  <w:vAlign w:val="center"/>
                </w:tcPr>
                <w:p w14:paraId="13C65655">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190</w:t>
                  </w:r>
                </w:p>
              </w:tc>
              <w:tc>
                <w:tcPr>
                  <w:tcW w:w="679" w:type="dxa"/>
                  <w:tcBorders>
                    <w:tl2br w:val="nil"/>
                    <w:tr2bl w:val="nil"/>
                  </w:tcBorders>
                  <w:shd w:val="clear" w:color="auto" w:fill="auto"/>
                  <w:vAlign w:val="center"/>
                </w:tcPr>
                <w:p w14:paraId="288728A9">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43</w:t>
                  </w:r>
                </w:p>
              </w:tc>
              <w:tc>
                <w:tcPr>
                  <w:tcW w:w="692" w:type="dxa"/>
                  <w:tcBorders>
                    <w:tl2br w:val="nil"/>
                    <w:tr2bl w:val="nil"/>
                  </w:tcBorders>
                  <w:shd w:val="clear" w:color="auto" w:fill="auto"/>
                  <w:vAlign w:val="center"/>
                </w:tcPr>
                <w:p w14:paraId="6EA79C33">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38</w:t>
                  </w:r>
                </w:p>
              </w:tc>
              <w:tc>
                <w:tcPr>
                  <w:tcW w:w="1939" w:type="dxa"/>
                  <w:gridSpan w:val="2"/>
                  <w:tcBorders>
                    <w:tl2br w:val="nil"/>
                    <w:tr2bl w:val="nil"/>
                  </w:tcBorders>
                  <w:shd w:val="clear" w:color="auto" w:fill="auto"/>
                  <w:noWrap/>
                  <w:vAlign w:val="center"/>
                </w:tcPr>
                <w:p w14:paraId="763C76A0">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rPr>
                  </w:pPr>
                  <w:r>
                    <w:rPr>
                      <w:rFonts w:hint="default" w:ascii="Times New Roman" w:hAnsi="Times New Roman" w:eastAsia="宋体" w:cs="Times New Roman"/>
                      <w:color w:val="auto"/>
                      <w:sz w:val="18"/>
                      <w:szCs w:val="13"/>
                      <w:highlight w:val="none"/>
                      <w:lang w:val="en-US" w:eastAsia="zh-CN"/>
                    </w:rPr>
                    <w:t>3.97E-04</w:t>
                  </w:r>
                </w:p>
              </w:tc>
              <w:tc>
                <w:tcPr>
                  <w:tcW w:w="1455" w:type="dxa"/>
                  <w:tcBorders>
                    <w:tl2br w:val="nil"/>
                    <w:tr2bl w:val="nil"/>
                  </w:tcBorders>
                  <w:shd w:val="clear" w:color="auto" w:fill="auto"/>
                  <w:noWrap/>
                  <w:vAlign w:val="center"/>
                </w:tcPr>
                <w:p w14:paraId="21175D5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18"/>
                      <w:szCs w:val="13"/>
                      <w:highlight w:val="none"/>
                      <w:lang w:val="en-US" w:eastAsia="zh-CN"/>
                    </w:rPr>
                  </w:pPr>
                  <w:r>
                    <w:rPr>
                      <w:rFonts w:hint="default" w:ascii="Times New Roman" w:hAnsi="Times New Roman" w:eastAsia="宋体" w:cs="Times New Roman"/>
                      <w:color w:val="auto"/>
                      <w:sz w:val="18"/>
                      <w:szCs w:val="13"/>
                      <w:highlight w:val="none"/>
                    </w:rPr>
                    <w:t>190cm混凝土</w:t>
                  </w:r>
                </w:p>
              </w:tc>
            </w:tr>
          </w:tbl>
          <w:p w14:paraId="412EB9F3">
            <w:pPr>
              <w:keepNext w:val="0"/>
              <w:keepLines w:val="0"/>
              <w:suppressLineNumbers w:val="0"/>
              <w:spacing w:before="0" w:beforeAutospacing="0" w:after="0" w:afterAutospacing="0" w:line="240" w:lineRule="auto"/>
              <w:ind w:left="0" w:right="0" w:firstLine="400" w:firstLineChars="200"/>
              <w:jc w:val="both"/>
              <w:rPr>
                <w:rFonts w:hint="default" w:ascii="Times New Roman" w:hAnsi="Times New Roman" w:eastAsia="宋体" w:cs="Times New Roman"/>
                <w:b w:val="0"/>
                <w:bCs w:val="0"/>
                <w:color w:val="auto"/>
                <w:sz w:val="20"/>
                <w:szCs w:val="20"/>
                <w:highlight w:val="none"/>
                <w:lang w:val="en-US" w:eastAsia="zh-CN"/>
              </w:rPr>
            </w:pPr>
            <w:r>
              <w:rPr>
                <w:rFonts w:hint="default" w:ascii="Times New Roman" w:hAnsi="Times New Roman" w:eastAsia="宋体" w:cs="Times New Roman"/>
                <w:b w:val="0"/>
                <w:bCs w:val="0"/>
                <w:color w:val="auto"/>
                <w:sz w:val="20"/>
                <w:szCs w:val="20"/>
                <w:highlight w:val="none"/>
                <w:lang w:val="en-US" w:eastAsia="zh-CN"/>
              </w:rPr>
              <w:t>注：预测点b处，回旋加速器产生的射线依次被50cm迷道（斜射，实际厚度大于50cm）、10mmPb+150mm含硼聚乙烯的防护门屏蔽，预测点剂量率低于1.63E-01μSv/h。预测点g处于地面下方，人员不可达。</w:t>
            </w:r>
          </w:p>
          <w:p w14:paraId="3CB28F24">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val="0"/>
                <w:color w:val="auto"/>
                <w:sz w:val="24"/>
                <w:szCs w:val="24"/>
                <w:highlight w:val="none"/>
              </w:rPr>
              <w:t>由</w:t>
            </w:r>
            <w:r>
              <w:rPr>
                <w:rFonts w:hint="eastAsia" w:cs="Times New Roman"/>
                <w:b w:val="0"/>
                <w:bCs w:val="0"/>
                <w:color w:val="auto"/>
                <w:sz w:val="24"/>
                <w:szCs w:val="24"/>
                <w:highlight w:val="none"/>
                <w:lang w:val="en-US" w:eastAsia="zh-CN"/>
              </w:rPr>
              <w:t>上表</w:t>
            </w:r>
            <w:r>
              <w:rPr>
                <w:rFonts w:hint="default" w:ascii="Times New Roman" w:hAnsi="Times New Roman" w:eastAsia="宋体" w:cs="Times New Roman"/>
                <w:b w:val="0"/>
                <w:bCs w:val="0"/>
                <w:color w:val="auto"/>
                <w:sz w:val="24"/>
                <w:szCs w:val="24"/>
                <w:highlight w:val="none"/>
              </w:rPr>
              <w:t>可</w:t>
            </w:r>
            <w:r>
              <w:rPr>
                <w:rFonts w:hint="default" w:ascii="Times New Roman" w:hAnsi="Times New Roman" w:eastAsia="宋体" w:cs="Times New Roman"/>
                <w:color w:val="auto"/>
                <w:sz w:val="24"/>
                <w:szCs w:val="24"/>
                <w:highlight w:val="none"/>
              </w:rPr>
              <w:t>以得出，回旋加速器机房墙体外剂量率最大为</w:t>
            </w:r>
            <w:r>
              <w:rPr>
                <w:rFonts w:hint="default" w:ascii="Times New Roman" w:hAnsi="Times New Roman" w:eastAsia="宋体" w:cs="Times New Roman"/>
                <w:color w:val="auto"/>
                <w:sz w:val="24"/>
                <w:szCs w:val="24"/>
                <w:highlight w:val="none"/>
                <w:lang w:val="en-US" w:eastAsia="zh-CN"/>
              </w:rPr>
              <w:t>1.63E-01</w:t>
            </w:r>
            <w:r>
              <w:rPr>
                <w:rFonts w:hint="default" w:ascii="Times New Roman" w:hAnsi="Times New Roman" w:eastAsia="宋体" w:cs="Times New Roman"/>
                <w:color w:val="auto"/>
                <w:sz w:val="24"/>
                <w:szCs w:val="24"/>
                <w:highlight w:val="none"/>
              </w:rPr>
              <w:t>μSv/h，满足《核医学辐射防护与安全要求》（HJ1188-2021）中“距核医学工作场所各控制区内房间防护门、观察窗和墙壁外表面30cm处的周围剂量当量率应小于2.5µSv/h”的要求。</w:t>
            </w:r>
          </w:p>
          <w:p w14:paraId="2E600D40">
            <w:pPr>
              <w:pStyle w:val="43"/>
              <w:keepNext w:val="0"/>
              <w:keepLines w:val="0"/>
              <w:suppressLineNumbers w:val="0"/>
              <w:spacing w:before="15" w:beforeAutospacing="0" w:after="0" w:afterAutospacing="0" w:line="360" w:lineRule="auto"/>
              <w:ind w:left="608" w:right="0"/>
              <w:jc w:val="both"/>
              <w:rPr>
                <w:rFonts w:hint="default" w:ascii="Times New Roman" w:hAnsi="Times New Roman" w:cs="Times New Roman"/>
                <w:color w:val="auto"/>
                <w:highlight w:val="none"/>
              </w:rPr>
            </w:pPr>
            <w:r>
              <w:rPr>
                <w:rFonts w:hint="default" w:ascii="Times New Roman" w:hAnsi="Times New Roman" w:cs="Times New Roman"/>
                <w:color w:val="auto"/>
                <w:spacing w:val="-2"/>
                <w:highlight w:val="none"/>
              </w:rPr>
              <w:t>（</w:t>
            </w:r>
            <w:r>
              <w:rPr>
                <w:rFonts w:hint="default" w:ascii="Times New Roman" w:hAnsi="Times New Roman" w:eastAsia="宋体" w:cs="Times New Roman"/>
                <w:color w:val="auto"/>
                <w:spacing w:val="-2"/>
                <w:highlight w:val="none"/>
                <w:lang w:val="en-US" w:eastAsia="zh-CN"/>
              </w:rPr>
              <w:t>2</w:t>
            </w:r>
            <w:r>
              <w:rPr>
                <w:rFonts w:hint="default" w:ascii="Times New Roman" w:hAnsi="Times New Roman" w:cs="Times New Roman"/>
                <w:color w:val="auto"/>
                <w:spacing w:val="-2"/>
                <w:highlight w:val="none"/>
              </w:rPr>
              <w:t>）回旋加速器感生放射性的影响分析</w:t>
            </w:r>
          </w:p>
          <w:p w14:paraId="4493D801">
            <w:pPr>
              <w:keepNext w:val="0"/>
              <w:keepLines w:val="0"/>
              <w:suppressLineNumbers w:val="0"/>
              <w:shd w:val="clear"/>
              <w:bidi w:val="0"/>
              <w:spacing w:before="0" w:beforeAutospacing="0" w:after="0" w:afterAutospacing="0" w:line="360" w:lineRule="auto"/>
              <w:ind w:left="0" w:right="0" w:firstLine="46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spacing w:val="-5"/>
                <w:highlight w:val="none"/>
              </w:rPr>
              <w:t>当使用回旋加速器加速粒子能量大于</w:t>
            </w:r>
            <w:r>
              <w:rPr>
                <w:rFonts w:hint="default" w:ascii="Times New Roman" w:hAnsi="Times New Roman" w:eastAsia="Times New Roman" w:cs="Times New Roman"/>
                <w:color w:val="auto"/>
                <w:spacing w:val="-5"/>
                <w:highlight w:val="none"/>
              </w:rPr>
              <w:t>10MeV</w:t>
            </w:r>
            <w:r>
              <w:rPr>
                <w:rFonts w:hint="default" w:ascii="Times New Roman" w:hAnsi="Times New Roman" w:cs="Times New Roman"/>
                <w:color w:val="auto"/>
                <w:spacing w:val="-5"/>
                <w:highlight w:val="none"/>
              </w:rPr>
              <w:t>时，回旋加速器机房内会产生感生放射性。</w:t>
            </w:r>
            <w:r>
              <w:rPr>
                <w:rFonts w:hint="default" w:ascii="Times New Roman" w:hAnsi="Times New Roman" w:cs="Times New Roman"/>
                <w:color w:val="auto"/>
                <w:spacing w:val="-1"/>
                <w:highlight w:val="none"/>
              </w:rPr>
              <w:t>加速器感生放射性包括：加速器结构材料的感</w:t>
            </w:r>
            <w:r>
              <w:rPr>
                <w:rFonts w:hint="default" w:ascii="Times New Roman" w:hAnsi="Times New Roman" w:cs="Times New Roman"/>
                <w:color w:val="auto"/>
                <w:spacing w:val="-2"/>
                <w:highlight w:val="none"/>
              </w:rPr>
              <w:t>生放射性、空气活化产生的放射性气体和冷却</w:t>
            </w:r>
            <w:r>
              <w:rPr>
                <w:rFonts w:hint="default" w:ascii="Times New Roman" w:hAnsi="Times New Roman" w:cs="Times New Roman"/>
                <w:color w:val="auto"/>
                <w:spacing w:val="-1"/>
                <w:highlight w:val="none"/>
              </w:rPr>
              <w:t>水的感生放射性。该设备使用的材质主要为铜、铝、不锈钢等，产生感生放射性核素</w:t>
            </w:r>
            <w:r>
              <w:rPr>
                <w:rFonts w:hint="default" w:ascii="Times New Roman" w:hAnsi="Times New Roman" w:eastAsia="Times New Roman" w:cs="Times New Roman"/>
                <w:color w:val="auto"/>
                <w:spacing w:val="-1"/>
                <w:position w:val="7"/>
                <w:sz w:val="15"/>
                <w:szCs w:val="15"/>
                <w:highlight w:val="none"/>
              </w:rPr>
              <w:t>2</w:t>
            </w:r>
            <w:r>
              <w:rPr>
                <w:rFonts w:hint="default" w:ascii="Times New Roman" w:hAnsi="Times New Roman" w:eastAsia="Times New Roman" w:cs="Times New Roman"/>
                <w:color w:val="auto"/>
                <w:spacing w:val="-2"/>
                <w:position w:val="7"/>
                <w:sz w:val="15"/>
                <w:szCs w:val="15"/>
                <w:highlight w:val="none"/>
              </w:rPr>
              <w:t>7</w:t>
            </w:r>
            <w:r>
              <w:rPr>
                <w:rFonts w:hint="default" w:ascii="Times New Roman" w:hAnsi="Times New Roman" w:eastAsia="Times New Roman" w:cs="Times New Roman"/>
                <w:color w:val="auto"/>
                <w:spacing w:val="-2"/>
                <w:highlight w:val="none"/>
              </w:rPr>
              <w:t>Mg</w:t>
            </w:r>
            <w:r>
              <w:rPr>
                <w:rFonts w:hint="default" w:ascii="Times New Roman" w:hAnsi="Times New Roman" w:cs="Times New Roman"/>
                <w:color w:val="auto"/>
                <w:spacing w:val="-2"/>
                <w:highlight w:val="none"/>
              </w:rPr>
              <w:t>、</w:t>
            </w:r>
            <w:r>
              <w:rPr>
                <w:rFonts w:hint="default" w:ascii="Times New Roman" w:hAnsi="Times New Roman" w:eastAsia="Times New Roman" w:cs="Times New Roman"/>
                <w:color w:val="auto"/>
                <w:spacing w:val="-2"/>
                <w:position w:val="7"/>
                <w:sz w:val="15"/>
                <w:szCs w:val="15"/>
                <w:highlight w:val="none"/>
              </w:rPr>
              <w:t>24</w:t>
            </w:r>
            <w:r>
              <w:rPr>
                <w:rFonts w:hint="default" w:ascii="Times New Roman" w:hAnsi="Times New Roman" w:eastAsia="Times New Roman" w:cs="Times New Roman"/>
                <w:color w:val="auto"/>
                <w:spacing w:val="-2"/>
                <w:highlight w:val="none"/>
              </w:rPr>
              <w:t>Na</w:t>
            </w:r>
            <w:r>
              <w:rPr>
                <w:rFonts w:hint="default" w:ascii="Times New Roman" w:hAnsi="Times New Roman" w:cs="Times New Roman"/>
                <w:color w:val="auto"/>
                <w:spacing w:val="-2"/>
                <w:highlight w:val="none"/>
              </w:rPr>
              <w:t>、</w:t>
            </w:r>
            <w:r>
              <w:rPr>
                <w:rFonts w:hint="default" w:ascii="Times New Roman" w:hAnsi="Times New Roman" w:eastAsia="Times New Roman" w:cs="Times New Roman"/>
                <w:color w:val="auto"/>
                <w:spacing w:val="-2"/>
                <w:position w:val="7"/>
                <w:sz w:val="15"/>
                <w:szCs w:val="15"/>
                <w:highlight w:val="none"/>
              </w:rPr>
              <w:t>28</w:t>
            </w:r>
            <w:r>
              <w:rPr>
                <w:rFonts w:hint="default" w:ascii="Times New Roman" w:hAnsi="Times New Roman" w:eastAsia="Times New Roman" w:cs="Times New Roman"/>
                <w:color w:val="auto"/>
                <w:spacing w:val="-2"/>
                <w:highlight w:val="none"/>
              </w:rPr>
              <w:t>Al</w:t>
            </w:r>
            <w:r>
              <w:rPr>
                <w:rFonts w:hint="default" w:ascii="Times New Roman" w:hAnsi="Times New Roman" w:cs="Times New Roman"/>
                <w:color w:val="auto"/>
                <w:spacing w:val="-2"/>
                <w:highlight w:val="none"/>
              </w:rPr>
              <w:t>、</w:t>
            </w:r>
            <w:r>
              <w:rPr>
                <w:rFonts w:hint="default" w:ascii="Times New Roman" w:hAnsi="Times New Roman" w:eastAsia="Times New Roman" w:cs="Times New Roman"/>
                <w:color w:val="auto"/>
                <w:spacing w:val="-2"/>
                <w:position w:val="7"/>
                <w:sz w:val="15"/>
                <w:szCs w:val="15"/>
                <w:highlight w:val="none"/>
              </w:rPr>
              <w:t>62</w:t>
            </w:r>
            <w:r>
              <w:rPr>
                <w:rFonts w:hint="default" w:ascii="Times New Roman" w:hAnsi="Times New Roman" w:eastAsia="Times New Roman" w:cs="Times New Roman"/>
                <w:color w:val="auto"/>
                <w:spacing w:val="-2"/>
                <w:highlight w:val="none"/>
              </w:rPr>
              <w:t>Cu</w:t>
            </w:r>
            <w:r>
              <w:rPr>
                <w:rFonts w:hint="default" w:ascii="Times New Roman" w:hAnsi="Times New Roman" w:cs="Times New Roman"/>
                <w:color w:val="auto"/>
                <w:spacing w:val="-2"/>
                <w:highlight w:val="none"/>
              </w:rPr>
              <w:t>、</w:t>
            </w:r>
            <w:r>
              <w:rPr>
                <w:rFonts w:hint="default" w:ascii="Times New Roman" w:hAnsi="Times New Roman" w:eastAsia="Times New Roman" w:cs="Times New Roman"/>
                <w:color w:val="auto"/>
                <w:spacing w:val="-2"/>
                <w:position w:val="7"/>
                <w:sz w:val="15"/>
                <w:szCs w:val="15"/>
                <w:highlight w:val="none"/>
              </w:rPr>
              <w:t>64</w:t>
            </w:r>
            <w:r>
              <w:rPr>
                <w:rFonts w:hint="default" w:ascii="Times New Roman" w:hAnsi="Times New Roman" w:eastAsia="Times New Roman" w:cs="Times New Roman"/>
                <w:color w:val="auto"/>
                <w:spacing w:val="-2"/>
                <w:highlight w:val="none"/>
              </w:rPr>
              <w:t>Cu</w:t>
            </w:r>
            <w:r>
              <w:rPr>
                <w:rFonts w:hint="default" w:ascii="Times New Roman" w:hAnsi="Times New Roman" w:cs="Times New Roman"/>
                <w:color w:val="auto"/>
                <w:spacing w:val="-2"/>
                <w:highlight w:val="none"/>
              </w:rPr>
              <w:t>、</w:t>
            </w:r>
            <w:r>
              <w:rPr>
                <w:rFonts w:hint="default" w:ascii="Times New Roman" w:hAnsi="Times New Roman" w:eastAsia="Times New Roman" w:cs="Times New Roman"/>
                <w:color w:val="auto"/>
                <w:spacing w:val="-2"/>
                <w:position w:val="7"/>
                <w:sz w:val="15"/>
                <w:szCs w:val="15"/>
                <w:highlight w:val="none"/>
              </w:rPr>
              <w:t>66</w:t>
            </w:r>
            <w:r>
              <w:rPr>
                <w:rFonts w:hint="default" w:ascii="Times New Roman" w:hAnsi="Times New Roman" w:eastAsia="Times New Roman" w:cs="Times New Roman"/>
                <w:color w:val="auto"/>
                <w:spacing w:val="-2"/>
                <w:highlight w:val="none"/>
              </w:rPr>
              <w:t>Cu</w:t>
            </w:r>
            <w:r>
              <w:rPr>
                <w:rFonts w:hint="default" w:ascii="Times New Roman" w:hAnsi="Times New Roman" w:cs="Times New Roman"/>
                <w:color w:val="auto"/>
                <w:spacing w:val="-2"/>
                <w:highlight w:val="none"/>
              </w:rPr>
              <w:t>等，半衰期从</w:t>
            </w:r>
            <w:r>
              <w:rPr>
                <w:rFonts w:hint="default" w:ascii="Times New Roman" w:hAnsi="Times New Roman" w:eastAsia="Times New Roman" w:cs="Times New Roman"/>
                <w:color w:val="auto"/>
                <w:spacing w:val="-2"/>
                <w:highlight w:val="none"/>
              </w:rPr>
              <w:t>2.3min</w:t>
            </w:r>
            <w:r>
              <w:rPr>
                <w:rFonts w:hint="default" w:ascii="Times New Roman" w:hAnsi="Times New Roman" w:cs="Times New Roman"/>
                <w:color w:val="auto"/>
                <w:spacing w:val="-2"/>
                <w:highlight w:val="none"/>
              </w:rPr>
              <w:t>到</w:t>
            </w:r>
            <w:r>
              <w:rPr>
                <w:rFonts w:hint="default" w:ascii="Times New Roman" w:hAnsi="Times New Roman" w:eastAsia="Times New Roman" w:cs="Times New Roman"/>
                <w:color w:val="auto"/>
                <w:spacing w:val="-2"/>
                <w:highlight w:val="none"/>
              </w:rPr>
              <w:t>12.8</w:t>
            </w:r>
            <w:r>
              <w:rPr>
                <w:rFonts w:hint="default" w:ascii="Times New Roman" w:hAnsi="Times New Roman" w:eastAsia="Times New Roman" w:cs="Times New Roman"/>
                <w:color w:val="auto"/>
                <w:spacing w:val="-3"/>
                <w:highlight w:val="none"/>
              </w:rPr>
              <w:t>h</w:t>
            </w:r>
            <w:r>
              <w:rPr>
                <w:rFonts w:hint="default" w:ascii="Times New Roman" w:hAnsi="Times New Roman" w:cs="Times New Roman"/>
                <w:color w:val="auto"/>
                <w:spacing w:val="-3"/>
                <w:highlight w:val="none"/>
              </w:rPr>
              <w:t>不等；冷却水被活化将产生的感</w:t>
            </w:r>
            <w:r>
              <w:rPr>
                <w:rFonts w:hint="default" w:ascii="Times New Roman" w:hAnsi="Times New Roman" w:cs="Times New Roman"/>
                <w:color w:val="auto"/>
                <w:spacing w:val="-8"/>
                <w:highlight w:val="none"/>
              </w:rPr>
              <w:t>生放射性核素主要是</w:t>
            </w:r>
            <w:r>
              <w:rPr>
                <w:rFonts w:hint="default" w:ascii="Times New Roman" w:hAnsi="Times New Roman" w:eastAsia="Times New Roman" w:cs="Times New Roman"/>
                <w:color w:val="auto"/>
                <w:spacing w:val="-8"/>
                <w:position w:val="7"/>
                <w:sz w:val="15"/>
                <w:szCs w:val="15"/>
                <w:highlight w:val="none"/>
              </w:rPr>
              <w:t>3</w:t>
            </w:r>
            <w:r>
              <w:rPr>
                <w:rFonts w:hint="default" w:ascii="Times New Roman" w:hAnsi="Times New Roman" w:eastAsia="Times New Roman" w:cs="Times New Roman"/>
                <w:color w:val="auto"/>
                <w:spacing w:val="-8"/>
                <w:highlight w:val="none"/>
              </w:rPr>
              <w:t>H</w:t>
            </w:r>
            <w:r>
              <w:rPr>
                <w:rFonts w:hint="default" w:ascii="Times New Roman" w:hAnsi="Times New Roman" w:cs="Times New Roman"/>
                <w:color w:val="auto"/>
                <w:spacing w:val="-8"/>
                <w:highlight w:val="none"/>
              </w:rPr>
              <w:t>、</w:t>
            </w:r>
            <w:r>
              <w:rPr>
                <w:rFonts w:hint="default" w:ascii="Times New Roman" w:hAnsi="Times New Roman" w:eastAsia="Times New Roman" w:cs="Times New Roman"/>
                <w:color w:val="auto"/>
                <w:spacing w:val="-8"/>
                <w:position w:val="7"/>
                <w:sz w:val="15"/>
                <w:szCs w:val="15"/>
                <w:highlight w:val="none"/>
              </w:rPr>
              <w:t>7</w:t>
            </w:r>
            <w:r>
              <w:rPr>
                <w:rFonts w:hint="default" w:ascii="Times New Roman" w:hAnsi="Times New Roman" w:eastAsia="Times New Roman" w:cs="Times New Roman"/>
                <w:color w:val="auto"/>
                <w:spacing w:val="-8"/>
                <w:highlight w:val="none"/>
              </w:rPr>
              <w:t>Be</w:t>
            </w:r>
            <w:r>
              <w:rPr>
                <w:rFonts w:hint="default" w:ascii="Times New Roman" w:hAnsi="Times New Roman" w:cs="Times New Roman"/>
                <w:color w:val="auto"/>
                <w:spacing w:val="-8"/>
                <w:highlight w:val="none"/>
              </w:rPr>
              <w:t>、</w:t>
            </w:r>
            <w:r>
              <w:rPr>
                <w:rFonts w:hint="default" w:ascii="Times New Roman" w:hAnsi="Times New Roman" w:eastAsia="Times New Roman" w:cs="Times New Roman"/>
                <w:color w:val="auto"/>
                <w:spacing w:val="-8"/>
                <w:position w:val="7"/>
                <w:sz w:val="15"/>
                <w:szCs w:val="15"/>
                <w:highlight w:val="none"/>
              </w:rPr>
              <w:t>11</w:t>
            </w:r>
            <w:r>
              <w:rPr>
                <w:rFonts w:hint="default" w:ascii="Times New Roman" w:hAnsi="Times New Roman" w:eastAsia="Times New Roman" w:cs="Times New Roman"/>
                <w:color w:val="auto"/>
                <w:spacing w:val="-8"/>
                <w:highlight w:val="none"/>
              </w:rPr>
              <w:t>C</w:t>
            </w:r>
            <w:r>
              <w:rPr>
                <w:rFonts w:hint="default" w:ascii="Times New Roman" w:hAnsi="Times New Roman" w:cs="Times New Roman"/>
                <w:color w:val="auto"/>
                <w:spacing w:val="-8"/>
                <w:highlight w:val="none"/>
              </w:rPr>
              <w:t>、</w:t>
            </w:r>
            <w:r>
              <w:rPr>
                <w:rFonts w:hint="default" w:ascii="Times New Roman" w:hAnsi="Times New Roman" w:eastAsia="Times New Roman" w:cs="Times New Roman"/>
                <w:color w:val="auto"/>
                <w:spacing w:val="-8"/>
                <w:position w:val="7"/>
                <w:sz w:val="15"/>
                <w:szCs w:val="15"/>
                <w:highlight w:val="none"/>
              </w:rPr>
              <w:t>13</w:t>
            </w:r>
            <w:r>
              <w:rPr>
                <w:rFonts w:hint="default" w:ascii="Times New Roman" w:hAnsi="Times New Roman" w:eastAsia="Times New Roman" w:cs="Times New Roman"/>
                <w:color w:val="auto"/>
                <w:spacing w:val="-8"/>
                <w:highlight w:val="none"/>
              </w:rPr>
              <w:t>N</w:t>
            </w:r>
            <w:r>
              <w:rPr>
                <w:rFonts w:hint="default" w:ascii="Times New Roman" w:hAnsi="Times New Roman" w:cs="Times New Roman"/>
                <w:color w:val="auto"/>
                <w:spacing w:val="-36"/>
                <w:highlight w:val="none"/>
              </w:rPr>
              <w:t>、</w:t>
            </w:r>
            <w:r>
              <w:rPr>
                <w:rFonts w:hint="default" w:ascii="Times New Roman" w:hAnsi="Times New Roman" w:eastAsia="Times New Roman" w:cs="Times New Roman"/>
                <w:color w:val="auto"/>
                <w:spacing w:val="-5"/>
                <w:position w:val="7"/>
                <w:sz w:val="15"/>
                <w:szCs w:val="15"/>
                <w:highlight w:val="none"/>
              </w:rPr>
              <w:t>15</w:t>
            </w:r>
            <w:r>
              <w:rPr>
                <w:rFonts w:hint="default" w:ascii="Times New Roman" w:hAnsi="Times New Roman" w:eastAsia="Times New Roman" w:cs="Times New Roman"/>
                <w:color w:val="auto"/>
                <w:spacing w:val="-5"/>
                <w:highlight w:val="none"/>
              </w:rPr>
              <w:t>O</w:t>
            </w:r>
            <w:r>
              <w:rPr>
                <w:rFonts w:hint="default" w:ascii="Times New Roman" w:hAnsi="Times New Roman" w:cs="Times New Roman"/>
                <w:color w:val="auto"/>
                <w:spacing w:val="-18"/>
                <w:highlight w:val="none"/>
              </w:rPr>
              <w:t>等，其中</w:t>
            </w:r>
            <w:r>
              <w:rPr>
                <w:rFonts w:hint="default" w:ascii="Times New Roman" w:hAnsi="Times New Roman" w:eastAsia="Times New Roman" w:cs="Times New Roman"/>
                <w:color w:val="auto"/>
                <w:spacing w:val="-1"/>
                <w:position w:val="7"/>
                <w:sz w:val="15"/>
                <w:szCs w:val="15"/>
                <w:highlight w:val="none"/>
              </w:rPr>
              <w:t>3</w:t>
            </w:r>
            <w:r>
              <w:rPr>
                <w:rFonts w:hint="default" w:ascii="Times New Roman" w:hAnsi="Times New Roman" w:eastAsia="Times New Roman" w:cs="Times New Roman"/>
                <w:color w:val="auto"/>
                <w:spacing w:val="-1"/>
                <w:highlight w:val="none"/>
              </w:rPr>
              <w:t>H</w:t>
            </w:r>
            <w:r>
              <w:rPr>
                <w:rFonts w:hint="default" w:ascii="Times New Roman" w:hAnsi="Times New Roman" w:cs="Times New Roman"/>
                <w:color w:val="auto"/>
                <w:spacing w:val="-51"/>
                <w:w w:val="98"/>
                <w:highlight w:val="none"/>
              </w:rPr>
              <w:t>、</w:t>
            </w:r>
            <w:r>
              <w:rPr>
                <w:rFonts w:hint="default" w:ascii="Times New Roman" w:hAnsi="Times New Roman" w:eastAsia="Times New Roman" w:cs="Times New Roman"/>
                <w:color w:val="auto"/>
                <w:spacing w:val="-6"/>
                <w:position w:val="7"/>
                <w:sz w:val="15"/>
                <w:szCs w:val="15"/>
                <w:highlight w:val="none"/>
              </w:rPr>
              <w:t>7</w:t>
            </w:r>
            <w:r>
              <w:rPr>
                <w:rFonts w:hint="default" w:ascii="Times New Roman" w:hAnsi="Times New Roman" w:eastAsia="Times New Roman" w:cs="Times New Roman"/>
                <w:color w:val="auto"/>
                <w:spacing w:val="-6"/>
                <w:highlight w:val="none"/>
              </w:rPr>
              <w:t>Be</w:t>
            </w:r>
            <w:r>
              <w:rPr>
                <w:rFonts w:hint="default" w:ascii="Times New Roman" w:hAnsi="Times New Roman" w:cs="Times New Roman"/>
                <w:color w:val="auto"/>
                <w:spacing w:val="-6"/>
                <w:highlight w:val="none"/>
              </w:rPr>
              <w:t>半衰期时间较长，分别是</w:t>
            </w:r>
            <w:r>
              <w:rPr>
                <w:rFonts w:hint="default" w:ascii="Times New Roman" w:hAnsi="Times New Roman" w:eastAsia="Times New Roman" w:cs="Times New Roman"/>
                <w:color w:val="auto"/>
                <w:spacing w:val="-6"/>
                <w:highlight w:val="none"/>
              </w:rPr>
              <w:t>12.43</w:t>
            </w:r>
            <w:r>
              <w:rPr>
                <w:rFonts w:hint="default" w:ascii="Times New Roman" w:hAnsi="Times New Roman" w:cs="Times New Roman"/>
                <w:color w:val="auto"/>
                <w:spacing w:val="-3"/>
                <w:highlight w:val="none"/>
              </w:rPr>
              <w:t>年和</w:t>
            </w:r>
            <w:r>
              <w:rPr>
                <w:rFonts w:hint="default" w:ascii="Times New Roman" w:hAnsi="Times New Roman" w:eastAsia="Times New Roman" w:cs="Times New Roman"/>
                <w:color w:val="auto"/>
                <w:spacing w:val="-3"/>
                <w:highlight w:val="none"/>
              </w:rPr>
              <w:t>53.3</w:t>
            </w:r>
            <w:r>
              <w:rPr>
                <w:rFonts w:hint="default" w:ascii="Times New Roman" w:hAnsi="Times New Roman" w:cs="Times New Roman"/>
                <w:color w:val="auto"/>
                <w:spacing w:val="-3"/>
                <w:highlight w:val="none"/>
              </w:rPr>
              <w:t>天。该项目回旋加速器采用密封循环</w:t>
            </w:r>
            <w:r>
              <w:rPr>
                <w:rFonts w:hint="default" w:ascii="Times New Roman" w:hAnsi="Times New Roman" w:cs="Times New Roman"/>
                <w:color w:val="auto"/>
                <w:spacing w:val="-4"/>
                <w:highlight w:val="none"/>
              </w:rPr>
              <w:t>水冷却方式，在正常运转状况下，不外排。检</w:t>
            </w:r>
            <w:r>
              <w:rPr>
                <w:rFonts w:hint="default" w:ascii="Times New Roman" w:hAnsi="Times New Roman" w:cs="Times New Roman"/>
                <w:color w:val="auto"/>
                <w:spacing w:val="1"/>
                <w:highlight w:val="none"/>
              </w:rPr>
              <w:t>修过程中产生的少量废水经检测达到清洁解控</w:t>
            </w:r>
            <w:r>
              <w:rPr>
                <w:rFonts w:hint="default" w:ascii="Times New Roman" w:hAnsi="Times New Roman" w:cs="Times New Roman"/>
                <w:color w:val="auto"/>
                <w:highlight w:val="none"/>
              </w:rPr>
              <w:t>水平后才能外排。放射性固体废物有靶废料，</w:t>
            </w:r>
            <w:r>
              <w:rPr>
                <w:rFonts w:hint="default" w:ascii="Times New Roman" w:hAnsi="Times New Roman" w:cs="Times New Roman"/>
                <w:color w:val="auto"/>
                <w:spacing w:val="-1"/>
                <w:highlight w:val="none"/>
                <w:lang w:val="en-US" w:eastAsia="zh-CN"/>
              </w:rPr>
              <w:t>属于</w:t>
            </w:r>
            <w:r>
              <w:rPr>
                <w:rFonts w:hint="default" w:ascii="Times New Roman" w:hAnsi="Times New Roman" w:cs="Times New Roman"/>
                <w:color w:val="auto"/>
                <w:spacing w:val="-1"/>
                <w:highlight w:val="none"/>
              </w:rPr>
              <w:t>感生放射</w:t>
            </w:r>
            <w:r>
              <w:rPr>
                <w:rFonts w:hint="default" w:ascii="Times New Roman" w:hAnsi="Times New Roman" w:cs="Times New Roman"/>
                <w:color w:val="auto"/>
                <w:spacing w:val="-2"/>
                <w:highlight w:val="none"/>
              </w:rPr>
              <w:t>性废物。在加速器运行时，由于有足够的结构</w:t>
            </w:r>
            <w:r>
              <w:rPr>
                <w:rFonts w:hint="default" w:ascii="Times New Roman" w:hAnsi="Times New Roman" w:cs="Times New Roman"/>
                <w:color w:val="auto"/>
                <w:spacing w:val="-1"/>
                <w:highlight w:val="none"/>
              </w:rPr>
              <w:t>屏蔽，所以由部件产生的感生放射性不会对屏</w:t>
            </w:r>
            <w:r>
              <w:rPr>
                <w:rFonts w:hint="default" w:ascii="Times New Roman" w:hAnsi="Times New Roman" w:cs="Times New Roman"/>
                <w:color w:val="auto"/>
                <w:spacing w:val="-2"/>
                <w:highlight w:val="none"/>
              </w:rPr>
              <w:t>蔽体外的工作人员造成危害。但在停机后，工</w:t>
            </w:r>
            <w:r>
              <w:rPr>
                <w:rFonts w:hint="default" w:ascii="Times New Roman" w:hAnsi="Times New Roman" w:cs="Times New Roman"/>
                <w:color w:val="auto"/>
                <w:spacing w:val="-1"/>
                <w:highlight w:val="none"/>
              </w:rPr>
              <w:t>作人员必须等待一段时间后进入。加速器检修</w:t>
            </w:r>
            <w:r>
              <w:rPr>
                <w:rFonts w:hint="default" w:ascii="Times New Roman" w:hAnsi="Times New Roman" w:cs="Times New Roman"/>
                <w:color w:val="auto"/>
                <w:spacing w:val="-2"/>
                <w:highlight w:val="none"/>
              </w:rPr>
              <w:t>时，工作人员必须佩带个人剂量报警仪和巡测</w:t>
            </w:r>
            <w:r>
              <w:rPr>
                <w:rFonts w:hint="default" w:ascii="Times New Roman" w:hAnsi="Times New Roman" w:cs="Times New Roman"/>
                <w:color w:val="auto"/>
                <w:spacing w:val="-1"/>
                <w:highlight w:val="none"/>
              </w:rPr>
              <w:t>仪，穿戴防污染手套、铅衣、铅围裙等防护用品。</w:t>
            </w:r>
          </w:p>
          <w:p w14:paraId="1734928E">
            <w:pPr>
              <w:keepNext w:val="0"/>
              <w:keepLines w:val="0"/>
              <w:suppressLineNumbers w:val="0"/>
              <w:bidi w:val="0"/>
              <w:spacing w:before="0" w:beforeAutospacing="0" w:after="0" w:afterAutospacing="0"/>
              <w:ind w:left="0" w:right="0"/>
              <w:jc w:val="both"/>
              <w:rPr>
                <w:rFonts w:hint="default" w:ascii="Times New Roman" w:hAnsi="Times New Roman" w:cs="Times New Roman"/>
                <w:color w:val="auto"/>
                <w:highlight w:val="none"/>
                <w:lang w:val="en-US" w:eastAsia="zh-CN"/>
              </w:rPr>
            </w:pPr>
          </w:p>
          <w:p w14:paraId="675ADA49">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11.2.</w:t>
            </w:r>
            <w:r>
              <w:rPr>
                <w:rFonts w:hint="default" w:ascii="Times New Roman" w:hAnsi="Times New Roman" w:cs="Times New Roman"/>
                <w:b/>
                <w:bCs/>
                <w:color w:val="auto"/>
                <w:sz w:val="24"/>
                <w:szCs w:val="24"/>
                <w:highlight w:val="none"/>
                <w:lang w:val="en-US" w:eastAsia="zh-CN"/>
              </w:rPr>
              <w:t>1.2 负一层</w:t>
            </w:r>
            <w:r>
              <w:rPr>
                <w:rFonts w:hint="default" w:ascii="Times New Roman" w:hAnsi="Times New Roman" w:eastAsia="宋体" w:cs="Times New Roman"/>
                <w:b/>
                <w:bCs/>
                <w:color w:val="auto"/>
                <w:sz w:val="24"/>
                <w:szCs w:val="24"/>
                <w:highlight w:val="none"/>
                <w:lang w:val="en-US" w:eastAsia="zh-CN"/>
              </w:rPr>
              <w:t>合成热室</w:t>
            </w:r>
            <w:r>
              <w:rPr>
                <w:rFonts w:hint="default" w:ascii="Times New Roman" w:hAnsi="Times New Roman"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质控室、</w:t>
            </w:r>
            <w:r>
              <w:rPr>
                <w:rFonts w:hint="default" w:ascii="Times New Roman" w:hAnsi="Times New Roman" w:cs="Times New Roman"/>
                <w:b/>
                <w:bCs/>
                <w:color w:val="auto"/>
                <w:sz w:val="24"/>
                <w:szCs w:val="24"/>
                <w:highlight w:val="none"/>
                <w:lang w:val="en-US" w:eastAsia="zh-CN"/>
              </w:rPr>
              <w:t>单光子药物生产车间辐射影响分析</w:t>
            </w:r>
          </w:p>
          <w:p w14:paraId="5A56695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36" w:lineRule="auto"/>
              <w:ind w:left="0" w:right="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本项目在合成热室内进行放射性核素</w:t>
            </w:r>
            <w:r>
              <w:rPr>
                <w:rFonts w:hint="default" w:ascii="Times New Roman" w:hAnsi="Times New Roman" w:eastAsia="宋体" w:cs="Times New Roman"/>
                <w:b w:val="0"/>
                <w:bCs w:val="0"/>
                <w:color w:val="auto"/>
                <w:sz w:val="24"/>
                <w:szCs w:val="24"/>
                <w:highlight w:val="none"/>
                <w:vertAlign w:val="baseline"/>
                <w:lang w:val="en-US" w:eastAsia="zh-CN"/>
              </w:rPr>
              <w:t>F-18</w:t>
            </w:r>
            <w:r>
              <w:rPr>
                <w:rFonts w:hint="default" w:ascii="Times New Roman" w:hAnsi="Times New Roman"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Ga-68</w:t>
            </w:r>
            <w:r>
              <w:rPr>
                <w:rFonts w:hint="default" w:ascii="Times New Roman" w:hAnsi="Times New Roman"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C-11</w:t>
            </w:r>
            <w:r>
              <w:rPr>
                <w:rFonts w:hint="default" w:ascii="Times New Roman" w:hAnsi="Times New Roman"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N-13</w:t>
            </w:r>
            <w:r>
              <w:rPr>
                <w:rFonts w:hint="default" w:ascii="Times New Roman" w:hAnsi="Times New Roman" w:cs="Times New Roman"/>
                <w:b w:val="0"/>
                <w:bCs w:val="0"/>
                <w:color w:val="auto"/>
                <w:sz w:val="24"/>
                <w:szCs w:val="24"/>
                <w:highlight w:val="none"/>
                <w:lang w:val="en-US" w:eastAsia="zh-CN"/>
              </w:rPr>
              <w:t>的合成分装</w:t>
            </w:r>
            <w:r>
              <w:rPr>
                <w:rFonts w:hint="default" w:ascii="Times New Roman" w:hAnsi="Times New Roman" w:eastAsia="宋体" w:cs="Times New Roman"/>
                <w:b w:val="0"/>
                <w:bCs w:val="0"/>
                <w:color w:val="auto"/>
                <w:sz w:val="24"/>
                <w:szCs w:val="24"/>
                <w:highlight w:val="none"/>
                <w:lang w:val="en-US" w:eastAsia="zh-CN"/>
              </w:rPr>
              <w:t>，放射性核素产生过程中的辐射影响采用理论估算进行评价。放化合成室设置5个模块箱，模块箱正面采用 70mm 的铅进行防护，其余面采用60mm的铅进行防护</w:t>
            </w:r>
            <w:r>
              <w:rPr>
                <w:rFonts w:hint="default" w:ascii="Times New Roman" w:hAnsi="Times New Roman" w:cs="Times New Roman"/>
                <w:b w:val="0"/>
                <w:bCs w:val="0"/>
                <w:color w:val="auto"/>
                <w:sz w:val="24"/>
                <w:szCs w:val="24"/>
                <w:highlight w:val="none"/>
                <w:lang w:val="en-US" w:eastAsia="zh-CN"/>
              </w:rPr>
              <w:t>。</w:t>
            </w:r>
          </w:p>
          <w:p w14:paraId="69F42FA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36" w:lineRule="auto"/>
              <w:ind w:left="0" w:right="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color w:val="auto"/>
                <w:highlight w:val="none"/>
                <w:lang w:val="en-US" w:eastAsia="zh-CN"/>
              </w:rPr>
              <w:t>根据《核医学放射防护要求》（GBZ120-2020）</w:t>
            </w:r>
            <w:r>
              <w:rPr>
                <w:rFonts w:hint="default" w:ascii="Times New Roman" w:hAnsi="Times New Roman" w:cs="Times New Roman"/>
                <w:color w:val="auto"/>
                <w:highlight w:val="none"/>
              </w:rPr>
              <w:t>表 H.1  核医学常用放射性核素参数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C-11、N-13周围剂量当量率常数均为0.148</w:t>
            </w:r>
            <w:r>
              <w:rPr>
                <w:rFonts w:hint="default" w:ascii="Times New Roman" w:hAnsi="Times New Roman" w:eastAsia="宋体" w:cs="Times New Roman"/>
                <w:color w:val="auto"/>
                <w:sz w:val="24"/>
                <w:szCs w:val="24"/>
                <w:highlight w:val="none"/>
              </w:rPr>
              <w:t>μSv·m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/MBq·h；</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vertAlign w:val="baseline"/>
                <w:lang w:val="en-US" w:eastAsia="zh-CN"/>
              </w:rPr>
              <w:t>F-18</w:t>
            </w:r>
            <w:r>
              <w:rPr>
                <w:rFonts w:hint="default" w:ascii="Times New Roman" w:hAnsi="Times New Roman" w:cs="Times New Roman"/>
                <w:color w:val="auto"/>
                <w:highlight w:val="none"/>
                <w:lang w:val="en-US" w:eastAsia="zh-CN"/>
              </w:rPr>
              <w:t>为0.143</w:t>
            </w:r>
            <w:r>
              <w:rPr>
                <w:rFonts w:hint="default" w:ascii="Times New Roman" w:hAnsi="Times New Roman" w:eastAsia="宋体" w:cs="Times New Roman"/>
                <w:color w:val="auto"/>
                <w:sz w:val="24"/>
                <w:szCs w:val="24"/>
                <w:highlight w:val="none"/>
              </w:rPr>
              <w:t>μSv·m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/MBq·h；</w:t>
            </w:r>
            <w:r>
              <w:rPr>
                <w:rFonts w:hint="default" w:ascii="Times New Roman" w:hAnsi="Times New Roman" w:cs="Times New Roman"/>
                <w:color w:val="auto"/>
                <w:highlight w:val="none"/>
                <w:lang w:val="en-US" w:eastAsia="zh-CN"/>
              </w:rPr>
              <w:t>，Ga-68为0.134</w:t>
            </w:r>
            <w:r>
              <w:rPr>
                <w:rFonts w:hint="default" w:ascii="Times New Roman" w:hAnsi="Times New Roman" w:eastAsia="宋体" w:cs="Times New Roman"/>
                <w:color w:val="auto"/>
                <w:sz w:val="24"/>
                <w:szCs w:val="24"/>
                <w:highlight w:val="none"/>
              </w:rPr>
              <w:t>μSv·m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/MBq·h；</w:t>
            </w:r>
            <w:r>
              <w:rPr>
                <w:rFonts w:hint="default" w:ascii="Times New Roman" w:hAnsi="Times New Roman" w:eastAsia="宋体" w:cs="Times New Roman"/>
                <w:color w:val="auto"/>
                <w:sz w:val="24"/>
                <w:szCs w:val="24"/>
                <w:highlight w:val="none"/>
                <w:lang w:val="en-US" w:eastAsia="zh-CN"/>
              </w:rPr>
              <w:t>且</w:t>
            </w:r>
            <w:r>
              <w:rPr>
                <w:rFonts w:hint="default" w:ascii="Times New Roman" w:hAnsi="Times New Roman" w:eastAsia="宋体" w:cs="Times New Roman"/>
                <w:color w:val="auto"/>
                <w:sz w:val="24"/>
                <w:szCs w:val="24"/>
                <w:highlight w:val="none"/>
                <w:vertAlign w:val="baseline"/>
                <w:lang w:val="en-US" w:eastAsia="zh-CN"/>
              </w:rPr>
              <w:t>F-18</w:t>
            </w:r>
            <w:r>
              <w:rPr>
                <w:rFonts w:hint="default" w:ascii="Times New Roman" w:hAnsi="Times New Roman" w:eastAsia="宋体" w:cs="Times New Roman"/>
                <w:color w:val="auto"/>
                <w:sz w:val="24"/>
                <w:szCs w:val="24"/>
                <w:highlight w:val="none"/>
                <w:lang w:val="en-US" w:eastAsia="zh-CN"/>
              </w:rPr>
              <w:t>单次生产量最大，若</w:t>
            </w:r>
            <w:r>
              <w:rPr>
                <w:rFonts w:hint="default" w:ascii="Times New Roman" w:hAnsi="Times New Roman" w:eastAsia="宋体" w:cs="Times New Roman"/>
                <w:color w:val="auto"/>
                <w:sz w:val="24"/>
                <w:szCs w:val="24"/>
                <w:highlight w:val="none"/>
                <w:vertAlign w:val="baseline"/>
                <w:lang w:val="en-US" w:eastAsia="zh-CN"/>
              </w:rPr>
              <w:t>F-18</w:t>
            </w:r>
            <w:r>
              <w:rPr>
                <w:rFonts w:hint="default" w:ascii="Times New Roman" w:hAnsi="Times New Roman" w:eastAsia="宋体" w:cs="Times New Roman"/>
                <w:color w:val="auto"/>
                <w:sz w:val="24"/>
                <w:szCs w:val="24"/>
                <w:highlight w:val="none"/>
                <w:lang w:val="en-US" w:eastAsia="zh-CN"/>
              </w:rPr>
              <w:t>蔽防护能满足，则其生产他核素也均能满足</w:t>
            </w:r>
            <w:r>
              <w:rPr>
                <w:rFonts w:hint="default" w:ascii="Times New Roman" w:hAnsi="Times New Roman" w:cs="Times New Roman"/>
                <w:color w:val="auto"/>
                <w:sz w:val="24"/>
                <w:szCs w:val="24"/>
                <w:highlight w:val="none"/>
                <w:lang w:val="en-US" w:eastAsia="zh-CN"/>
              </w:rPr>
              <w:t>。本项目一次仅生产一种药，选择距离走廊最近合成柜进行估算，该状况下属于最不利条件。</w:t>
            </w:r>
            <w:r>
              <w:rPr>
                <w:rFonts w:hint="default" w:ascii="Times New Roman" w:hAnsi="Times New Roman" w:eastAsia="宋体" w:cs="Times New Roman"/>
                <w:b w:val="0"/>
                <w:bCs w:val="0"/>
                <w:color w:val="auto"/>
                <w:sz w:val="24"/>
                <w:szCs w:val="24"/>
                <w:highlight w:val="none"/>
                <w:lang w:val="en-US" w:eastAsia="zh-CN"/>
              </w:rPr>
              <w:t>考虑到</w:t>
            </w:r>
            <w:r>
              <w:rPr>
                <w:rFonts w:hint="default" w:ascii="Times New Roman" w:hAnsi="Times New Roman" w:eastAsia="宋体" w:cs="Times New Roman"/>
                <w:b w:val="0"/>
                <w:bCs w:val="0"/>
                <w:color w:val="auto"/>
                <w:sz w:val="24"/>
                <w:szCs w:val="24"/>
                <w:highlight w:val="none"/>
                <w:vertAlign w:val="baseline"/>
                <w:lang w:val="en-US" w:eastAsia="zh-CN"/>
              </w:rPr>
              <w:t>F</w:t>
            </w:r>
            <w:r>
              <w:rPr>
                <w:rFonts w:hint="default" w:ascii="Times New Roman" w:hAnsi="Times New Roman" w:cs="Times New Roman"/>
                <w:b w:val="0"/>
                <w:bCs w:val="0"/>
                <w:color w:val="auto"/>
                <w:sz w:val="24"/>
                <w:szCs w:val="24"/>
                <w:highlight w:val="none"/>
                <w:vertAlign w:val="baseline"/>
                <w:lang w:val="en-US" w:eastAsia="zh-CN"/>
              </w:rPr>
              <w:t>-18</w:t>
            </w:r>
            <w:r>
              <w:rPr>
                <w:rFonts w:hint="default" w:ascii="Times New Roman" w:hAnsi="Times New Roman" w:eastAsia="宋体" w:cs="Times New Roman"/>
                <w:b w:val="0"/>
                <w:bCs w:val="0"/>
                <w:color w:val="auto"/>
                <w:sz w:val="24"/>
                <w:szCs w:val="24"/>
                <w:highlight w:val="none"/>
                <w:lang w:val="en-US" w:eastAsia="zh-CN"/>
              </w:rPr>
              <w:t>放射性核素均为短半衰期核素、（T1/2=109.8min），</w:t>
            </w:r>
            <w:r>
              <w:rPr>
                <w:rFonts w:hint="default" w:ascii="Times New Roman" w:hAnsi="Times New Roman" w:cs="Times New Roman"/>
                <w:b w:val="0"/>
                <w:bCs w:val="0"/>
                <w:color w:val="auto"/>
                <w:sz w:val="24"/>
                <w:szCs w:val="24"/>
                <w:highlight w:val="none"/>
                <w:lang w:val="en-US" w:eastAsia="zh-CN"/>
              </w:rPr>
              <w:t>本项目</w:t>
            </w:r>
            <w:r>
              <w:rPr>
                <w:rFonts w:hint="default" w:ascii="Times New Roman" w:hAnsi="Times New Roman" w:cs="Times New Roman"/>
                <w:b w:val="0"/>
                <w:bCs w:val="0"/>
                <w:color w:val="auto"/>
                <w:sz w:val="24"/>
                <w:szCs w:val="24"/>
                <w:highlight w:val="none"/>
                <w:vertAlign w:val="baseline"/>
                <w:lang w:val="en-US" w:eastAsia="zh-CN"/>
              </w:rPr>
              <w:t>F-18</w:t>
            </w:r>
            <w:r>
              <w:rPr>
                <w:rFonts w:hint="default" w:ascii="Times New Roman" w:hAnsi="Times New Roman" w:eastAsia="宋体" w:cs="Times New Roman"/>
                <w:b w:val="0"/>
                <w:bCs w:val="0"/>
                <w:color w:val="auto"/>
                <w:sz w:val="24"/>
                <w:szCs w:val="24"/>
                <w:highlight w:val="none"/>
                <w:lang w:val="en-US" w:eastAsia="zh-CN"/>
              </w:rPr>
              <w:t>在生产过程中</w:t>
            </w:r>
            <w:r>
              <w:rPr>
                <w:rFonts w:hint="default" w:ascii="Times New Roman" w:hAnsi="Times New Roman" w:cs="Times New Roman"/>
                <w:b w:val="0"/>
                <w:bCs w:val="0"/>
                <w:color w:val="auto"/>
                <w:sz w:val="24"/>
                <w:szCs w:val="24"/>
                <w:highlight w:val="none"/>
                <w:lang w:val="en-US" w:eastAsia="zh-CN"/>
              </w:rPr>
              <w:t>已</w:t>
            </w:r>
            <w:r>
              <w:rPr>
                <w:rFonts w:hint="default" w:ascii="Times New Roman" w:hAnsi="Times New Roman" w:eastAsia="宋体" w:cs="Times New Roman"/>
                <w:b w:val="0"/>
                <w:bCs w:val="0"/>
                <w:color w:val="auto"/>
                <w:sz w:val="24"/>
                <w:szCs w:val="24"/>
                <w:highlight w:val="none"/>
                <w:lang w:val="en-US" w:eastAsia="zh-CN"/>
              </w:rPr>
              <w:t>考虑衰变损耗，生产量高于诊断实际用量。本项目</w:t>
            </w:r>
            <w:r>
              <w:rPr>
                <w:rFonts w:hint="default" w:ascii="Times New Roman" w:hAnsi="Times New Roman" w:eastAsia="宋体" w:cs="Times New Roman"/>
                <w:b w:val="0"/>
                <w:bCs w:val="0"/>
                <w:color w:val="auto"/>
                <w:sz w:val="24"/>
                <w:szCs w:val="24"/>
                <w:highlight w:val="none"/>
                <w:vertAlign w:val="baseline"/>
                <w:lang w:val="en-US" w:eastAsia="zh-CN"/>
              </w:rPr>
              <w:t>F</w:t>
            </w:r>
            <w:r>
              <w:rPr>
                <w:rFonts w:hint="default" w:ascii="Times New Roman" w:hAnsi="Times New Roman" w:cs="Times New Roman"/>
                <w:b w:val="0"/>
                <w:bCs w:val="0"/>
                <w:color w:val="auto"/>
                <w:sz w:val="24"/>
                <w:szCs w:val="24"/>
                <w:highlight w:val="none"/>
                <w:vertAlign w:val="baseline"/>
                <w:lang w:val="en-US" w:eastAsia="zh-CN"/>
              </w:rPr>
              <w:t>-18</w:t>
            </w:r>
            <w:r>
              <w:rPr>
                <w:rFonts w:hint="default" w:ascii="Times New Roman" w:hAnsi="Times New Roman" w:eastAsia="宋体" w:cs="Times New Roman"/>
                <w:b w:val="0"/>
                <w:bCs w:val="0"/>
                <w:color w:val="auto"/>
                <w:sz w:val="24"/>
                <w:szCs w:val="24"/>
                <w:highlight w:val="none"/>
                <w:lang w:val="en-US" w:eastAsia="zh-CN"/>
              </w:rPr>
              <w:t>日最大操作量最大为7.40E+10Bq。</w:t>
            </w:r>
          </w:p>
          <w:p w14:paraId="5F97E406">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Lines="0" w:beforeAutospacing="0" w:after="0" w:afterLines="0" w:afterAutospacing="0" w:line="336" w:lineRule="auto"/>
              <w:ind w:left="0" w:right="0" w:firstLine="480" w:firstLineChars="200"/>
              <w:jc w:val="both"/>
              <w:textAlignment w:val="auto"/>
              <w:rPr>
                <w:rFonts w:hint="eastAsia" w:ascii="Times New Roman" w:hAnsi="Times New Roman" w:eastAsia="宋体" w:cs="Times New Roman"/>
                <w:b w:val="0"/>
                <w:bCs/>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本项目在单光子药物生产车间内淋洗</w:t>
            </w:r>
            <w:r>
              <w:rPr>
                <w:rFonts w:hint="eastAsia" w:cs="Times New Roman"/>
                <w:color w:val="auto"/>
                <w:sz w:val="24"/>
                <w:szCs w:val="24"/>
                <w:highlight w:val="none"/>
                <w:lang w:val="en-US" w:eastAsia="zh-CN"/>
              </w:rPr>
              <w:t>、分装</w:t>
            </w:r>
            <w:r>
              <w:rPr>
                <w:rFonts w:hint="default" w:ascii="Times New Roman" w:hAnsi="Times New Roman" w:eastAsia="宋体" w:cs="Times New Roman"/>
                <w:color w:val="auto"/>
                <w:sz w:val="24"/>
                <w:szCs w:val="24"/>
                <w:highlight w:val="none"/>
                <w:lang w:val="en-US" w:eastAsia="zh-CN"/>
              </w:rPr>
              <w:t>Tc-99m，</w:t>
            </w:r>
            <w:r>
              <w:rPr>
                <w:rFonts w:hint="eastAsia" w:cs="Times New Roman"/>
                <w:color w:val="auto"/>
                <w:sz w:val="24"/>
                <w:szCs w:val="24"/>
                <w:highlight w:val="none"/>
                <w:lang w:val="en-US" w:eastAsia="zh-CN"/>
              </w:rPr>
              <w:t>以及分装Y-90。</w:t>
            </w:r>
            <w:r>
              <w:rPr>
                <w:rFonts w:hint="default" w:ascii="Times New Roman" w:hAnsi="Times New Roman" w:eastAsia="宋体" w:cs="Times New Roman"/>
                <w:color w:val="auto"/>
                <w:sz w:val="24"/>
                <w:szCs w:val="24"/>
                <w:highlight w:val="none"/>
                <w:lang w:val="en-US" w:eastAsia="zh-CN"/>
              </w:rPr>
              <w:t>淋洗分装用通风橱采用20mm的铅进行防护。本项目单光子药物生产车间内Tc-99m日最大操作量最大为7.40E+10Bq。</w:t>
            </w:r>
            <w:r>
              <w:rPr>
                <w:rFonts w:hint="default" w:ascii="Times New Roman" w:hAnsi="Times New Roman" w:eastAsia="宋体" w:cs="Times New Roman"/>
                <w:b w:val="0"/>
                <w:bCs/>
                <w:color w:val="auto"/>
                <w:sz w:val="24"/>
                <w:szCs w:val="24"/>
                <w:highlight w:val="none"/>
                <w:lang w:val="en-US" w:eastAsia="zh-CN"/>
              </w:rPr>
              <w:t>Tc-99m周围剂量当量率常数为0.0303</w:t>
            </w:r>
            <w:r>
              <w:rPr>
                <w:rFonts w:hint="default" w:ascii="Times New Roman" w:hAnsi="Times New Roman" w:eastAsia="宋体" w:cs="Times New Roman"/>
                <w:b w:val="0"/>
                <w:bCs/>
                <w:color w:val="auto"/>
                <w:sz w:val="24"/>
                <w:szCs w:val="24"/>
                <w:highlight w:val="none"/>
              </w:rPr>
              <w:t>μSv·m</w:t>
            </w:r>
            <w:r>
              <w:rPr>
                <w:rFonts w:hint="default" w:ascii="Times New Roman" w:hAnsi="Times New Roman" w:eastAsia="宋体" w:cs="Times New Roman"/>
                <w:b w:val="0"/>
                <w:bCs/>
                <w:color w:val="auto"/>
                <w:sz w:val="24"/>
                <w:szCs w:val="24"/>
                <w:highlight w:val="none"/>
                <w:vertAlign w:val="superscript"/>
              </w:rPr>
              <w:t>2</w:t>
            </w:r>
            <w:r>
              <w:rPr>
                <w:rFonts w:hint="default" w:ascii="Times New Roman" w:hAnsi="Times New Roman" w:eastAsia="宋体" w:cs="Times New Roman"/>
                <w:b w:val="0"/>
                <w:bCs/>
                <w:color w:val="auto"/>
                <w:sz w:val="24"/>
                <w:szCs w:val="24"/>
                <w:highlight w:val="none"/>
              </w:rPr>
              <w:t>/MBq·h</w:t>
            </w:r>
            <w:r>
              <w:rPr>
                <w:rFonts w:hint="eastAsia" w:ascii="Times New Roman" w:hAnsi="Times New Roman" w:eastAsia="宋体" w:cs="Times New Roman"/>
                <w:b w:val="0"/>
                <w:bCs/>
                <w:color w:val="auto"/>
                <w:sz w:val="24"/>
                <w:szCs w:val="24"/>
                <w:highlight w:val="none"/>
                <w:lang w:eastAsia="zh-CN"/>
              </w:rPr>
              <w:t>。</w:t>
            </w:r>
          </w:p>
          <w:p w14:paraId="44ED80AB">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Lines="0" w:beforeAutospacing="0" w:after="0" w:afterLines="0" w:afterAutospacing="0" w:line="336" w:lineRule="auto"/>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放射性</w:t>
            </w:r>
            <w:r>
              <w:rPr>
                <w:rFonts w:hint="default" w:ascii="Times New Roman" w:hAnsi="Times New Roman" w:eastAsia="宋体" w:cs="Times New Roman"/>
                <w:color w:val="auto"/>
                <w:sz w:val="24"/>
                <w:szCs w:val="24"/>
                <w:highlight w:val="none"/>
                <w:lang w:val="en-US" w:eastAsia="zh-CN"/>
              </w:rPr>
              <w:t>药物质控一次使用0.5mCi</w:t>
            </w:r>
            <w:r>
              <w:rPr>
                <w:rFonts w:hint="eastAsia" w:cs="Times New Roman"/>
                <w:color w:val="auto"/>
                <w:sz w:val="24"/>
                <w:szCs w:val="24"/>
                <w:highlight w:val="none"/>
                <w:lang w:val="en-US" w:eastAsia="zh-CN"/>
              </w:rPr>
              <w:t>（1.85E+07Bq）</w:t>
            </w:r>
            <w:r>
              <w:rPr>
                <w:rFonts w:hint="default" w:ascii="Times New Roman" w:hAnsi="Times New Roman" w:eastAsia="宋体" w:cs="Times New Roman"/>
                <w:color w:val="auto"/>
                <w:sz w:val="24"/>
                <w:szCs w:val="24"/>
                <w:highlight w:val="none"/>
                <w:lang w:val="en-US" w:eastAsia="zh-CN"/>
              </w:rPr>
              <w:t>，选择周围剂量当量率常数</w:t>
            </w:r>
            <w:r>
              <w:rPr>
                <w:rFonts w:hint="eastAsia" w:cs="Times New Roman"/>
                <w:color w:val="auto"/>
                <w:sz w:val="24"/>
                <w:szCs w:val="24"/>
                <w:highlight w:val="none"/>
                <w:lang w:val="en-US" w:eastAsia="zh-CN"/>
              </w:rPr>
              <w:t>较大的C-11（</w:t>
            </w:r>
            <w:r>
              <w:rPr>
                <w:rFonts w:hint="default" w:ascii="Times New Roman" w:hAnsi="Times New Roman" w:cs="Times New Roman"/>
                <w:color w:val="auto"/>
                <w:highlight w:val="none"/>
                <w:lang w:val="en-US" w:eastAsia="zh-CN"/>
              </w:rPr>
              <w:t>0.148</w:t>
            </w:r>
            <w:r>
              <w:rPr>
                <w:rFonts w:hint="default" w:ascii="Times New Roman" w:hAnsi="Times New Roman" w:eastAsia="宋体" w:cs="Times New Roman"/>
                <w:color w:val="auto"/>
                <w:sz w:val="24"/>
                <w:szCs w:val="24"/>
                <w:highlight w:val="none"/>
              </w:rPr>
              <w:t>μSv·m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/MBq·h</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进行估算</w:t>
            </w:r>
            <w:r>
              <w:rPr>
                <w:rFonts w:hint="eastAsia" w:cs="Times New Roman"/>
                <w:color w:val="auto"/>
                <w:sz w:val="24"/>
                <w:szCs w:val="24"/>
                <w:highlight w:val="none"/>
                <w:lang w:val="en-US" w:eastAsia="zh-CN"/>
              </w:rPr>
              <w:t>。</w:t>
            </w:r>
          </w:p>
          <w:p w14:paraId="3F1EACF9">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Lines="0" w:beforeAutospacing="0" w:after="0" w:afterLines="0" w:afterAutospacing="0" w:line="336"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分装Y-90日最大操作量最大为3.00E+09Bq，Y-90核素主要发射β粒子，通风橱可以完全屏蔽，分装时主要考虑Y-90产生的轫致辐射。根据下文计算，未被屏蔽的3.00E+09Bq的Y-90，0.5m处的剂量率为9.85μGy/h，</w:t>
            </w:r>
            <w:r>
              <w:rPr>
                <w:rFonts w:hint="eastAsia" w:cs="Times New Roman"/>
                <w:color w:val="auto"/>
                <w:sz w:val="24"/>
                <w:szCs w:val="24"/>
                <w:highlight w:val="none"/>
                <w:lang w:val="en-US" w:eastAsia="zh-CN"/>
              </w:rPr>
              <w:t>分装一次在数分钟内可以完成</w:t>
            </w:r>
            <w:r>
              <w:rPr>
                <w:rFonts w:hint="default" w:ascii="Times New Roman" w:hAnsi="Times New Roman" w:eastAsia="宋体" w:cs="Times New Roman"/>
                <w:color w:val="auto"/>
                <w:sz w:val="24"/>
                <w:szCs w:val="24"/>
                <w:highlight w:val="none"/>
                <w:lang w:val="en-US" w:eastAsia="zh-CN"/>
              </w:rPr>
              <w:t>。由此可见，在分装单光子药物生产车间分装Y-90对环境产生的影响极低。</w:t>
            </w:r>
          </w:p>
          <w:p w14:paraId="353131CA">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Lines="0" w:beforeAutospacing="0" w:after="0" w:afterLines="0" w:afterAutospacing="0" w:line="336"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根据《核医学放射防护要求》（GBZ120-2020）</w:t>
            </w:r>
            <w:r>
              <w:rPr>
                <w:rFonts w:hint="eastAsia" w:cs="Times New Roman"/>
                <w:color w:val="auto"/>
                <w:sz w:val="24"/>
                <w:szCs w:val="24"/>
                <w:highlight w:val="none"/>
                <w:lang w:val="en-US" w:eastAsia="zh-CN"/>
              </w:rPr>
              <w:t>附录I提供的</w:t>
            </w:r>
            <w:r>
              <w:rPr>
                <w:rFonts w:hint="default" w:ascii="Times New Roman" w:hAnsi="Times New Roman" w:eastAsia="宋体" w:cs="Times New Roman"/>
                <w:color w:val="auto"/>
                <w:sz w:val="24"/>
                <w:szCs w:val="24"/>
                <w:highlight w:val="none"/>
                <w:lang w:val="en-US" w:eastAsia="zh-CN"/>
              </w:rPr>
              <w:t>工作场所的屏蔽计算</w:t>
            </w:r>
            <w:r>
              <w:rPr>
                <w:rFonts w:hint="eastAsia" w:cs="Times New Roman"/>
                <w:color w:val="auto"/>
                <w:sz w:val="24"/>
                <w:szCs w:val="24"/>
                <w:highlight w:val="none"/>
                <w:lang w:val="en-US" w:eastAsia="zh-CN"/>
              </w:rPr>
              <w:t>可得各场所</w:t>
            </w:r>
            <w:r>
              <w:rPr>
                <w:rFonts w:hint="default" w:ascii="Times New Roman" w:hAnsi="Times New Roman" w:eastAsia="宋体" w:cs="Times New Roman"/>
                <w:color w:val="auto"/>
                <w:sz w:val="24"/>
                <w:szCs w:val="24"/>
                <w:highlight w:val="none"/>
              </w:rPr>
              <w:t>剂量率预测公式如下：</w:t>
            </w:r>
          </w:p>
          <w:p w14:paraId="38DB513D">
            <w:pPr>
              <w:keepNext w:val="0"/>
              <w:keepLines w:val="0"/>
              <w:suppressLineNumbers w:val="0"/>
              <w:shd w:val="clear"/>
              <w:spacing w:before="0" w:beforeLines="0" w:beforeAutospacing="0" w:after="0" w:afterLines="0" w:afterAutospacing="0" w:line="360" w:lineRule="auto"/>
              <w:ind w:left="0" w:right="0"/>
              <w:jc w:val="center"/>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position w:val="-34"/>
                <w:sz w:val="24"/>
                <w:szCs w:val="24"/>
                <w:highlight w:val="none"/>
              </w:rPr>
              <w:object>
                <v:shape id="_x0000_i1034" o:spt="75" type="#_x0000_t75" style="height:44.75pt;width:232.4pt;" o:ole="t" filled="f" o:preferrelative="t" stroked="f" coordsize="21600,21600">
                  <v:path/>
                  <v:fill on="f" focussize="0,0"/>
                  <v:stroke on="f"/>
                  <v:imagedata r:id="rId15" o:title=""/>
                  <o:lock v:ext="edit" aspectratio="t"/>
                  <w10:wrap type="none"/>
                  <w10:anchorlock/>
                </v:shape>
                <o:OLEObject Type="Embed" ProgID="Equation.3" ShapeID="_x0000_i1034" DrawAspect="Content" ObjectID="_1468075727" r:id="rId14">
                  <o:LockedField>false</o:LockedField>
                </o:OLEObject>
              </w:object>
            </w:r>
            <w:r>
              <w:rPr>
                <w:rFonts w:hint="default" w:ascii="Times New Roman" w:hAnsi="Times New Roman" w:eastAsia="宋体" w:cs="Times New Roman"/>
                <w:color w:val="auto"/>
                <w:position w:val="-34"/>
                <w:sz w:val="24"/>
                <w:szCs w:val="24"/>
                <w:highlight w:val="none"/>
                <w:lang w:val="en-US" w:eastAsia="zh-CN"/>
              </w:rPr>
              <w:t xml:space="preserve"> </w:t>
            </w:r>
            <w:r>
              <w:rPr>
                <w:rFonts w:hint="default" w:ascii="Times New Roman" w:hAnsi="Times New Roman" w:eastAsia="宋体" w:cs="Times New Roman"/>
                <w:color w:val="auto"/>
                <w:sz w:val="24"/>
                <w:szCs w:val="24"/>
                <w:highlight w:val="none"/>
                <w:lang w:val="en-US" w:eastAsia="zh-CN"/>
              </w:rPr>
              <w:t>（公式11-</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 xml:space="preserve">） </w:t>
            </w:r>
          </w:p>
          <w:p w14:paraId="2A2ED83A">
            <w:pPr>
              <w:keepNext w:val="0"/>
              <w:keepLines w:val="0"/>
              <w:suppressLineNumbers w:val="0"/>
              <w:shd w:val="clear"/>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w:t>
            </w:r>
            <w:r>
              <w:rPr>
                <w:rFonts w:hint="default" w:ascii="Times New Roman" w:hAnsi="Times New Roman" w:eastAsia="宋体" w:cs="Times New Roman"/>
                <w:i/>
                <w:color w:val="auto"/>
                <w:sz w:val="24"/>
                <w:szCs w:val="24"/>
                <w:highlight w:val="none"/>
              </w:rPr>
              <w:t>H</w:t>
            </w:r>
            <w:r>
              <w:rPr>
                <w:rFonts w:hint="default" w:ascii="Times New Roman" w:hAnsi="Times New Roman" w:eastAsia="宋体" w:cs="Times New Roman"/>
                <w:i/>
                <w:color w:val="auto"/>
                <w:sz w:val="24"/>
                <w:szCs w:val="24"/>
                <w:highlight w:val="none"/>
                <w:vertAlign w:val="subscript"/>
              </w:rPr>
              <w:t>p</w:t>
            </w:r>
            <w:r>
              <w:rPr>
                <w:rFonts w:hint="default" w:ascii="Times New Roman" w:hAnsi="Times New Roman" w:eastAsia="宋体" w:cs="Times New Roman"/>
                <w:color w:val="auto"/>
                <w:sz w:val="24"/>
                <w:szCs w:val="24"/>
                <w:highlight w:val="none"/>
              </w:rPr>
              <w:t>—屏蔽体外关注点剂量率，单位为微希沃特每小时（μSv/h）；</w:t>
            </w:r>
          </w:p>
          <w:p w14:paraId="07F4051E">
            <w:pPr>
              <w:keepNext w:val="0"/>
              <w:keepLines w:val="0"/>
              <w:suppressLineNumbers w:val="0"/>
              <w:shd w:val="clear"/>
              <w:spacing w:before="0" w:beforeLines="0" w:beforeAutospacing="0" w:after="0" w:afterLines="0" w:afterAutospacing="0" w:line="360" w:lineRule="auto"/>
              <w:ind w:left="0" w:right="0" w:firstLine="1200" w:firstLineChars="5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i/>
                <w:color w:val="auto"/>
                <w:sz w:val="24"/>
                <w:szCs w:val="24"/>
                <w:highlight w:val="none"/>
              </w:rPr>
              <w:t>x</w:t>
            </w:r>
            <w:r>
              <w:rPr>
                <w:rFonts w:hint="default" w:ascii="Times New Roman" w:hAnsi="Times New Roman" w:eastAsia="宋体" w:cs="Times New Roman"/>
                <w:color w:val="auto"/>
                <w:sz w:val="24"/>
                <w:szCs w:val="24"/>
                <w:highlight w:val="none"/>
              </w:rPr>
              <w:t>—屏蔽厚度，单位为毫米（mm）；</w:t>
            </w:r>
          </w:p>
          <w:p w14:paraId="1E9C5446">
            <w:pPr>
              <w:keepNext w:val="0"/>
              <w:keepLines w:val="0"/>
              <w:suppressLineNumbers w:val="0"/>
              <w:shd w:val="clear"/>
              <w:spacing w:before="0" w:beforeLines="0" w:beforeAutospacing="0" w:after="0" w:afterLines="0" w:afterAutospacing="0" w:line="360" w:lineRule="auto"/>
              <w:ind w:left="0" w:right="0" w:firstLine="1200" w:firstLineChars="500"/>
              <w:jc w:val="both"/>
              <w:rPr>
                <w:rFonts w:hint="eastAsia" w:eastAsia="宋体" w:cs="Times New Roman"/>
                <w:color w:val="auto"/>
                <w:sz w:val="24"/>
                <w:szCs w:val="24"/>
                <w:highlight w:val="none"/>
                <w:lang w:eastAsia="zh-CN"/>
              </w:rPr>
            </w:pPr>
            <w:r>
              <w:rPr>
                <w:rFonts w:hint="default" w:ascii="Times New Roman" w:hAnsi="Times New Roman" w:eastAsia="宋体" w:cs="Times New Roman"/>
                <w:color w:val="auto"/>
                <w:position w:val="-4"/>
                <w:sz w:val="24"/>
                <w:szCs w:val="24"/>
                <w:highlight w:val="none"/>
              </w:rPr>
              <w:object>
                <v:shape id="_x0000_i1035" o:spt="75" type="#_x0000_t75" style="height:12.65pt;width:11.05pt;" o:ole="t" filled="f" o:preferrelative="t" stroked="f" coordsize="21600,21600">
                  <v:path/>
                  <v:fill on="f" focussize="0,0"/>
                  <v:stroke on="f"/>
                  <v:imagedata r:id="rId17" o:title=""/>
                  <o:lock v:ext="edit" aspectratio="t"/>
                  <w10:wrap type="none"/>
                  <w10:anchorlock/>
                </v:shape>
                <o:OLEObject Type="Embed" ProgID="Equation.3" ShapeID="_x0000_i1035" DrawAspect="Content" ObjectID="_1468075728" r:id="rId16">
                  <o:LockedField>false</o:LockedField>
                </o:OLEObject>
              </w:object>
            </w:r>
            <w:r>
              <w:rPr>
                <w:rFonts w:hint="default" w:ascii="Times New Roman" w:hAnsi="Times New Roman" w:eastAsia="宋体" w:cs="Times New Roman"/>
                <w:color w:val="auto"/>
                <w:sz w:val="24"/>
                <w:szCs w:val="24"/>
                <w:highlight w:val="none"/>
              </w:rPr>
              <w:t>—距源1m处的周围剂量当量率常数，单位为μSv·m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/MBq·h；查GBZ120-2020附录H可得，</w:t>
            </w:r>
            <w:r>
              <w:rPr>
                <w:rFonts w:hint="eastAsia" w:cs="Times New Roman"/>
                <w:color w:val="auto"/>
                <w:sz w:val="24"/>
                <w:szCs w:val="24"/>
                <w:highlight w:val="none"/>
                <w:vertAlign w:val="baseline"/>
                <w:lang w:val="en-US" w:eastAsia="zh-CN"/>
              </w:rPr>
              <w:t>F-18</w:t>
            </w:r>
            <w:r>
              <w:rPr>
                <w:rFonts w:hint="default" w:ascii="Times New Roman" w:hAnsi="Times New Roman" w:eastAsia="宋体" w:cs="Times New Roman"/>
                <w:color w:val="auto"/>
                <w:sz w:val="24"/>
                <w:szCs w:val="24"/>
                <w:highlight w:val="none"/>
              </w:rPr>
              <w:t>为</w:t>
            </w:r>
            <w:r>
              <w:rPr>
                <w:rFonts w:hint="default" w:ascii="Times New Roman" w:hAnsi="Times New Roman" w:eastAsia="宋体" w:cs="Times New Roman"/>
                <w:color w:val="auto"/>
                <w:sz w:val="24"/>
                <w:szCs w:val="24"/>
                <w:highlight w:val="none"/>
                <w:lang w:val="en-US" w:eastAsia="zh-CN"/>
              </w:rPr>
              <w:t xml:space="preserve">0.143 </w:t>
            </w:r>
            <w:r>
              <w:rPr>
                <w:rFonts w:hint="default" w:ascii="Times New Roman" w:hAnsi="Times New Roman" w:eastAsia="宋体" w:cs="Times New Roman"/>
                <w:color w:val="auto"/>
                <w:sz w:val="24"/>
                <w:szCs w:val="24"/>
                <w:highlight w:val="none"/>
              </w:rPr>
              <w:t>μSv·m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/MBq·h；</w:t>
            </w:r>
            <w:r>
              <w:rPr>
                <w:rFonts w:hint="default" w:ascii="Times New Roman" w:hAnsi="Times New Roman" w:eastAsia="宋体" w:cs="Times New Roman"/>
                <w:color w:val="auto"/>
                <w:sz w:val="24"/>
                <w:szCs w:val="24"/>
                <w:highlight w:val="none"/>
                <w:lang w:val="en-US" w:eastAsia="zh-CN"/>
              </w:rPr>
              <w:t>Tc-99m为0.0303</w:t>
            </w:r>
            <w:r>
              <w:rPr>
                <w:rFonts w:hint="default" w:ascii="Times New Roman" w:hAnsi="Times New Roman" w:eastAsia="宋体" w:cs="Times New Roman"/>
                <w:color w:val="auto"/>
                <w:sz w:val="24"/>
                <w:szCs w:val="24"/>
                <w:highlight w:val="none"/>
              </w:rPr>
              <w:t>μSv·m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/MBq·h</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I-131为0.0595</w:t>
            </w:r>
            <w:r>
              <w:rPr>
                <w:rFonts w:hint="default" w:ascii="Times New Roman" w:hAnsi="Times New Roman" w:eastAsia="宋体" w:cs="Times New Roman"/>
                <w:color w:val="auto"/>
                <w:sz w:val="24"/>
                <w:szCs w:val="24"/>
                <w:highlight w:val="none"/>
              </w:rPr>
              <w:t>μSv·m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/MBq·h</w:t>
            </w:r>
            <w:r>
              <w:rPr>
                <w:rFonts w:hint="eastAsia" w:ascii="Times New Roman" w:hAnsi="Times New Roman" w:eastAsia="宋体" w:cs="Times New Roman"/>
                <w:color w:val="auto"/>
                <w:sz w:val="24"/>
                <w:szCs w:val="24"/>
                <w:highlight w:val="none"/>
                <w:lang w:eastAsia="zh-CN"/>
              </w:rPr>
              <w:t>。</w:t>
            </w:r>
          </w:p>
          <w:p w14:paraId="62710B4A">
            <w:pPr>
              <w:keepNext w:val="0"/>
              <w:keepLines w:val="0"/>
              <w:suppressLineNumbers w:val="0"/>
              <w:shd w:val="clear"/>
              <w:spacing w:before="0" w:beforeLines="0" w:beforeAutospacing="0" w:after="0" w:afterLines="0" w:afterAutospacing="0" w:line="360" w:lineRule="auto"/>
              <w:ind w:left="0" w:right="0" w:firstLine="1200" w:firstLineChars="500"/>
              <w:jc w:val="both"/>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i/>
                <w:color w:val="auto"/>
                <w:sz w:val="24"/>
                <w:szCs w:val="24"/>
                <w:highlight w:val="none"/>
              </w:rPr>
              <w:t>A</w:t>
            </w:r>
            <w:r>
              <w:rPr>
                <w:rFonts w:hint="default" w:ascii="Times New Roman" w:hAnsi="Times New Roman" w:eastAsia="宋体" w:cs="Times New Roman"/>
                <w:color w:val="auto"/>
                <w:sz w:val="24"/>
                <w:szCs w:val="24"/>
                <w:highlight w:val="none"/>
              </w:rPr>
              <w:t>—放射源活度，单位为兆贝可（MBq）</w:t>
            </w:r>
            <w:r>
              <w:rPr>
                <w:rFonts w:hint="default" w:ascii="Times New Roman" w:hAnsi="Times New Roman" w:eastAsia="宋体" w:cs="Times New Roman"/>
                <w:color w:val="auto"/>
                <w:sz w:val="24"/>
                <w:szCs w:val="24"/>
                <w:highlight w:val="none"/>
                <w:lang w:val="en-US" w:eastAsia="zh-CN"/>
              </w:rPr>
              <w:t>，</w:t>
            </w:r>
          </w:p>
          <w:p w14:paraId="77E3D2BE">
            <w:pPr>
              <w:keepNext w:val="0"/>
              <w:keepLines w:val="0"/>
              <w:suppressLineNumbers w:val="0"/>
              <w:shd w:val="clear"/>
              <w:spacing w:before="0" w:beforeLines="0" w:beforeAutospacing="0" w:after="0" w:afterLines="0" w:afterAutospacing="0" w:line="360" w:lineRule="auto"/>
              <w:ind w:left="0" w:right="0" w:firstLine="1200" w:firstLineChars="5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i/>
                <w:color w:val="auto"/>
                <w:sz w:val="24"/>
                <w:szCs w:val="24"/>
                <w:highlight w:val="none"/>
              </w:rPr>
              <w:t>r</w:t>
            </w:r>
            <w:r>
              <w:rPr>
                <w:rFonts w:hint="default" w:ascii="Times New Roman" w:hAnsi="Times New Roman" w:eastAsia="宋体" w:cs="Times New Roman"/>
                <w:color w:val="auto"/>
                <w:sz w:val="24"/>
                <w:szCs w:val="24"/>
                <w:highlight w:val="none"/>
              </w:rPr>
              <w:t>—参考点与放射源间的距离，m；</w:t>
            </w:r>
          </w:p>
          <w:p w14:paraId="5360B783">
            <w:pPr>
              <w:keepNext w:val="0"/>
              <w:keepLines w:val="0"/>
              <w:suppressLineNumbers w:val="0"/>
              <w:shd w:val="clear"/>
              <w:spacing w:before="0" w:beforeLines="0" w:beforeAutospacing="0" w:after="0" w:afterLines="0" w:afterAutospacing="0" w:line="360" w:lineRule="auto"/>
              <w:ind w:left="0" w:right="0" w:firstLine="1200" w:firstLineChars="5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i/>
                <w:color w:val="auto"/>
                <w:sz w:val="24"/>
                <w:szCs w:val="24"/>
                <w:highlight w:val="none"/>
              </w:rPr>
              <w:t>TVL</w:t>
            </w:r>
            <w:r>
              <w:rPr>
                <w:rFonts w:hint="default" w:ascii="Times New Roman" w:hAnsi="Times New Roman" w:eastAsia="宋体" w:cs="Times New Roman"/>
                <w:color w:val="auto"/>
                <w:sz w:val="24"/>
                <w:szCs w:val="24"/>
                <w:highlight w:val="none"/>
              </w:rPr>
              <w:t>—γ射线的十分之一值层厚度，单位为毫米（mm），TVL的取值可依据GBZ120-2020附录I</w:t>
            </w:r>
            <w:r>
              <w:rPr>
                <w:rFonts w:hint="default" w:ascii="Times New Roman" w:hAnsi="Times New Roman" w:eastAsia="宋体" w:cs="Times New Roman"/>
                <w:color w:val="auto"/>
                <w:sz w:val="24"/>
                <w:szCs w:val="24"/>
                <w:highlight w:val="none"/>
                <w:lang w:val="en-US" w:eastAsia="zh-CN"/>
              </w:rPr>
              <w:t>表I.1常用核素屏蔽材料十分之一值层厚度</w:t>
            </w:r>
          </w:p>
          <w:p w14:paraId="146E5D52">
            <w:pPr>
              <w:pStyle w:val="14"/>
              <w:keepNext w:val="0"/>
              <w:keepLines w:val="0"/>
              <w:suppressLineNumbers w:val="0"/>
              <w:spacing w:before="0" w:beforeAutospacing="0" w:after="0" w:afterAutospacing="0"/>
              <w:ind w:left="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4551045" cy="1405255"/>
                  <wp:effectExtent l="0" t="0" r="8255" b="4445"/>
                  <wp:docPr id="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pic:cNvPicPr>
                            <a:picLocks noChangeAspect="1"/>
                          </pic:cNvPicPr>
                        </pic:nvPicPr>
                        <pic:blipFill>
                          <a:blip r:embed="rId18"/>
                          <a:stretch>
                            <a:fillRect/>
                          </a:stretch>
                        </pic:blipFill>
                        <pic:spPr>
                          <a:xfrm>
                            <a:off x="0" y="0"/>
                            <a:ext cx="4551045" cy="1405255"/>
                          </a:xfrm>
                          <a:prstGeom prst="rect">
                            <a:avLst/>
                          </a:prstGeom>
                          <a:noFill/>
                          <a:ln>
                            <a:noFill/>
                          </a:ln>
                        </pic:spPr>
                      </pic:pic>
                    </a:graphicData>
                  </a:graphic>
                </wp:inline>
              </w:drawing>
            </w:r>
          </w:p>
          <w:p w14:paraId="5A6E0D0F">
            <w:pPr>
              <w:pStyle w:val="14"/>
              <w:keepNext w:val="0"/>
              <w:keepLines w:val="0"/>
              <w:suppressLineNumbers w:val="0"/>
              <w:spacing w:before="0" w:beforeAutospacing="0" w:after="0" w:afterAutospacing="0"/>
              <w:ind w:left="0" w:right="0"/>
              <w:jc w:val="center"/>
              <w:rPr>
                <w:rFonts w:hint="default" w:ascii="Times New Roman" w:hAnsi="Times New Roman" w:cs="Times New Roman"/>
                <w:b/>
                <w:color w:val="auto"/>
                <w:sz w:val="24"/>
                <w:szCs w:val="22"/>
                <w:highlight w:val="none"/>
                <w:lang w:val="en-US" w:eastAsia="zh-CN"/>
              </w:rPr>
            </w:pPr>
            <w:r>
              <w:rPr>
                <w:rFonts w:hint="default" w:ascii="Times New Roman" w:hAnsi="Times New Roman" w:cs="Times New Roman"/>
                <w:b/>
                <w:color w:val="auto"/>
                <w:sz w:val="24"/>
                <w:szCs w:val="22"/>
                <w:highlight w:val="none"/>
                <w:lang w:val="en-US" w:eastAsia="zh-CN"/>
              </w:rPr>
              <w:t>表11-</w:t>
            </w:r>
            <w:r>
              <w:rPr>
                <w:rFonts w:hint="eastAsia" w:ascii="Times New Roman" w:hAnsi="Times New Roman" w:cs="Times New Roman"/>
                <w:b/>
                <w:color w:val="auto"/>
                <w:sz w:val="24"/>
                <w:szCs w:val="22"/>
                <w:highlight w:val="none"/>
                <w:lang w:val="en-US" w:eastAsia="zh-CN"/>
              </w:rPr>
              <w:t xml:space="preserve">4  </w:t>
            </w:r>
            <w:r>
              <w:rPr>
                <w:rFonts w:hint="default" w:ascii="Times New Roman" w:hAnsi="Times New Roman" w:cs="Times New Roman"/>
                <w:b/>
                <w:color w:val="auto"/>
                <w:sz w:val="24"/>
                <w:szCs w:val="22"/>
                <w:highlight w:val="none"/>
                <w:lang w:val="en-US" w:eastAsia="zh-CN"/>
              </w:rPr>
              <w:t>合成热室周围各关注点预测结果</w:t>
            </w:r>
          </w:p>
          <w:tbl>
            <w:tblPr>
              <w:tblStyle w:val="22"/>
              <w:tblW w:w="9438" w:type="dxa"/>
              <w:tblInd w:w="7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08"/>
              <w:gridCol w:w="2261"/>
              <w:gridCol w:w="2175"/>
              <w:gridCol w:w="1258"/>
              <w:gridCol w:w="950"/>
              <w:gridCol w:w="925"/>
              <w:gridCol w:w="1361"/>
            </w:tblGrid>
            <w:tr w14:paraId="0F6DF9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8" w:hRule="atLeast"/>
              </w:trPr>
              <w:tc>
                <w:tcPr>
                  <w:tcW w:w="2769" w:type="dxa"/>
                  <w:gridSpan w:val="2"/>
                  <w:tcBorders>
                    <w:tl2br w:val="nil"/>
                    <w:tr2bl w:val="nil"/>
                  </w:tcBorders>
                  <w:shd w:val="clear" w:color="auto" w:fill="auto"/>
                  <w:vAlign w:val="center"/>
                </w:tcPr>
                <w:p w14:paraId="29AF77D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关注点位置</w:t>
                  </w:r>
                </w:p>
              </w:tc>
              <w:tc>
                <w:tcPr>
                  <w:tcW w:w="2175" w:type="dxa"/>
                  <w:tcBorders>
                    <w:tl2br w:val="nil"/>
                    <w:tr2bl w:val="nil"/>
                  </w:tcBorders>
                  <w:shd w:val="clear" w:color="auto" w:fill="auto"/>
                  <w:vAlign w:val="center"/>
                </w:tcPr>
                <w:p w14:paraId="3EE9762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屏蔽及厚度</w:t>
                  </w:r>
                </w:p>
              </w:tc>
              <w:tc>
                <w:tcPr>
                  <w:tcW w:w="1258" w:type="dxa"/>
                  <w:tcBorders>
                    <w:tl2br w:val="nil"/>
                    <w:tr2bl w:val="nil"/>
                  </w:tcBorders>
                  <w:shd w:val="clear" w:color="auto" w:fill="auto"/>
                  <w:vAlign w:val="center"/>
                </w:tcPr>
                <w:p w14:paraId="434246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A（MBq）</w:t>
                  </w:r>
                </w:p>
              </w:tc>
              <w:tc>
                <w:tcPr>
                  <w:tcW w:w="950" w:type="dxa"/>
                  <w:tcBorders>
                    <w:tl2br w:val="nil"/>
                    <w:tr2bl w:val="nil"/>
                  </w:tcBorders>
                  <w:shd w:val="clear" w:color="auto" w:fill="auto"/>
                  <w:vAlign w:val="center"/>
                </w:tcPr>
                <w:p w14:paraId="090D4D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r（m）</w:t>
                  </w:r>
                </w:p>
              </w:tc>
              <w:tc>
                <w:tcPr>
                  <w:tcW w:w="925" w:type="dxa"/>
                  <w:tcBorders>
                    <w:tl2br w:val="nil"/>
                    <w:tr2bl w:val="nil"/>
                  </w:tcBorders>
                  <w:shd w:val="clear" w:color="auto" w:fill="auto"/>
                  <w:vAlign w:val="center"/>
                </w:tcPr>
                <w:p w14:paraId="1B1433B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TVL</w:t>
                  </w:r>
                </w:p>
              </w:tc>
              <w:tc>
                <w:tcPr>
                  <w:tcW w:w="1361" w:type="dxa"/>
                  <w:tcBorders>
                    <w:tl2br w:val="nil"/>
                    <w:tr2bl w:val="nil"/>
                  </w:tcBorders>
                  <w:shd w:val="clear" w:color="auto" w:fill="auto"/>
                  <w:vAlign w:val="center"/>
                </w:tcPr>
                <w:p w14:paraId="772D30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剂量率估算结果</w:t>
                  </w:r>
                </w:p>
              </w:tc>
            </w:tr>
            <w:tr w14:paraId="5D595F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4" w:hRule="atLeast"/>
              </w:trPr>
              <w:tc>
                <w:tcPr>
                  <w:tcW w:w="508" w:type="dxa"/>
                  <w:tcBorders>
                    <w:tl2br w:val="nil"/>
                    <w:tr2bl w:val="nil"/>
                  </w:tcBorders>
                  <w:shd w:val="clear" w:color="auto" w:fill="auto"/>
                  <w:vAlign w:val="center"/>
                </w:tcPr>
                <w:p w14:paraId="323573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A</w:t>
                  </w:r>
                </w:p>
              </w:tc>
              <w:tc>
                <w:tcPr>
                  <w:tcW w:w="2261" w:type="dxa"/>
                  <w:tcBorders>
                    <w:tl2br w:val="nil"/>
                    <w:tr2bl w:val="nil"/>
                  </w:tcBorders>
                  <w:shd w:val="clear" w:color="auto" w:fill="auto"/>
                  <w:vAlign w:val="center"/>
                </w:tcPr>
                <w:p w14:paraId="797D628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Style w:val="44"/>
                      <w:rFonts w:hint="default" w:ascii="Times New Roman" w:hAnsi="Times New Roman" w:eastAsia="宋体" w:cs="Times New Roman"/>
                      <w:color w:val="auto"/>
                      <w:sz w:val="18"/>
                      <w:szCs w:val="18"/>
                      <w:highlight w:val="none"/>
                      <w:lang w:val="en-US" w:eastAsia="zh-CN" w:bidi="ar"/>
                    </w:rPr>
                    <w:t>合成柜正面外</w:t>
                  </w:r>
                  <w:r>
                    <w:rPr>
                      <w:rStyle w:val="37"/>
                      <w:rFonts w:hint="default" w:ascii="Times New Roman" w:hAnsi="Times New Roman" w:eastAsia="宋体" w:cs="Times New Roman"/>
                      <w:color w:val="auto"/>
                      <w:sz w:val="18"/>
                      <w:szCs w:val="18"/>
                      <w:highlight w:val="none"/>
                      <w:lang w:val="en-US" w:eastAsia="zh-CN" w:bidi="ar"/>
                    </w:rPr>
                    <w:t>30cm（人员操作位）</w:t>
                  </w:r>
                </w:p>
              </w:tc>
              <w:tc>
                <w:tcPr>
                  <w:tcW w:w="2175" w:type="dxa"/>
                  <w:tcBorders>
                    <w:tl2br w:val="nil"/>
                    <w:tr2bl w:val="nil"/>
                  </w:tcBorders>
                  <w:shd w:val="clear" w:color="auto" w:fill="auto"/>
                  <w:vAlign w:val="center"/>
                </w:tcPr>
                <w:p w14:paraId="72C2FDBD">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70mmPb</w:t>
                  </w:r>
                </w:p>
              </w:tc>
              <w:tc>
                <w:tcPr>
                  <w:tcW w:w="1258" w:type="dxa"/>
                  <w:tcBorders>
                    <w:tl2br w:val="nil"/>
                    <w:tr2bl w:val="nil"/>
                  </w:tcBorders>
                  <w:shd w:val="clear" w:color="auto" w:fill="auto"/>
                  <w:vAlign w:val="center"/>
                </w:tcPr>
                <w:p w14:paraId="69938A54">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7.4E+4</w:t>
                  </w:r>
                </w:p>
              </w:tc>
              <w:tc>
                <w:tcPr>
                  <w:tcW w:w="950" w:type="dxa"/>
                  <w:tcBorders>
                    <w:tl2br w:val="nil"/>
                    <w:tr2bl w:val="nil"/>
                  </w:tcBorders>
                  <w:shd w:val="clear" w:color="auto" w:fill="auto"/>
                  <w:vAlign w:val="center"/>
                </w:tcPr>
                <w:p w14:paraId="7E7E027F">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0.875</w:t>
                  </w:r>
                </w:p>
              </w:tc>
              <w:tc>
                <w:tcPr>
                  <w:tcW w:w="925" w:type="dxa"/>
                  <w:tcBorders>
                    <w:tl2br w:val="nil"/>
                    <w:tr2bl w:val="nil"/>
                  </w:tcBorders>
                  <w:shd w:val="clear" w:color="auto" w:fill="auto"/>
                  <w:vAlign w:val="center"/>
                </w:tcPr>
                <w:p w14:paraId="7908EC75">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16.6</w:t>
                  </w:r>
                </w:p>
              </w:tc>
              <w:tc>
                <w:tcPr>
                  <w:tcW w:w="1361" w:type="dxa"/>
                  <w:tcBorders>
                    <w:tl2br w:val="nil"/>
                    <w:tr2bl w:val="nil"/>
                  </w:tcBorders>
                  <w:shd w:val="clear" w:color="auto" w:fill="auto"/>
                  <w:vAlign w:val="center"/>
                </w:tcPr>
                <w:p w14:paraId="5DC12E58">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8.39E-01</w:t>
                  </w:r>
                </w:p>
              </w:tc>
            </w:tr>
            <w:tr w14:paraId="05B7CD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9" w:hRule="atLeast"/>
              </w:trPr>
              <w:tc>
                <w:tcPr>
                  <w:tcW w:w="508" w:type="dxa"/>
                  <w:tcBorders>
                    <w:tl2br w:val="nil"/>
                    <w:tr2bl w:val="nil"/>
                  </w:tcBorders>
                  <w:shd w:val="clear" w:color="auto" w:fill="auto"/>
                  <w:vAlign w:val="center"/>
                </w:tcPr>
                <w:p w14:paraId="6B63AA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B</w:t>
                  </w:r>
                </w:p>
              </w:tc>
              <w:tc>
                <w:tcPr>
                  <w:tcW w:w="2261" w:type="dxa"/>
                  <w:tcBorders>
                    <w:tl2br w:val="nil"/>
                    <w:tr2bl w:val="nil"/>
                  </w:tcBorders>
                  <w:shd w:val="clear" w:color="auto" w:fill="auto"/>
                  <w:vAlign w:val="center"/>
                </w:tcPr>
                <w:p w14:paraId="06A640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rPr>
                  </w:pPr>
                  <w:r>
                    <w:rPr>
                      <w:rStyle w:val="44"/>
                      <w:rFonts w:hint="default" w:ascii="Times New Roman" w:hAnsi="Times New Roman" w:eastAsia="宋体" w:cs="Times New Roman"/>
                      <w:color w:val="auto"/>
                      <w:sz w:val="18"/>
                      <w:szCs w:val="18"/>
                      <w:highlight w:val="none"/>
                      <w:lang w:val="en-US" w:eastAsia="zh-CN" w:bidi="ar"/>
                    </w:rPr>
                    <w:t>合成柜侧面消毒室墙外30cm</w:t>
                  </w:r>
                </w:p>
              </w:tc>
              <w:tc>
                <w:tcPr>
                  <w:tcW w:w="2175" w:type="dxa"/>
                  <w:tcBorders>
                    <w:tl2br w:val="nil"/>
                    <w:tr2bl w:val="nil"/>
                  </w:tcBorders>
                  <w:shd w:val="clear" w:color="auto" w:fill="auto"/>
                  <w:vAlign w:val="center"/>
                </w:tcPr>
                <w:p w14:paraId="3952A8A9">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60mmPb+300mm混凝土</w:t>
                  </w:r>
                </w:p>
              </w:tc>
              <w:tc>
                <w:tcPr>
                  <w:tcW w:w="1258" w:type="dxa"/>
                  <w:tcBorders>
                    <w:tl2br w:val="nil"/>
                    <w:tr2bl w:val="nil"/>
                  </w:tcBorders>
                  <w:shd w:val="clear" w:color="auto" w:fill="auto"/>
                  <w:vAlign w:val="center"/>
                </w:tcPr>
                <w:p w14:paraId="3CD59966">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7.4E+4</w:t>
                  </w:r>
                </w:p>
              </w:tc>
              <w:tc>
                <w:tcPr>
                  <w:tcW w:w="950" w:type="dxa"/>
                  <w:tcBorders>
                    <w:tl2br w:val="nil"/>
                    <w:tr2bl w:val="nil"/>
                  </w:tcBorders>
                  <w:shd w:val="clear" w:color="auto" w:fill="auto"/>
                  <w:vAlign w:val="center"/>
                </w:tcPr>
                <w:p w14:paraId="66D0C6E3">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1.2</w:t>
                  </w:r>
                </w:p>
              </w:tc>
              <w:tc>
                <w:tcPr>
                  <w:tcW w:w="925" w:type="dxa"/>
                  <w:tcBorders>
                    <w:tl2br w:val="nil"/>
                    <w:tr2bl w:val="nil"/>
                  </w:tcBorders>
                  <w:shd w:val="clear" w:color="auto" w:fill="auto"/>
                  <w:vAlign w:val="center"/>
                </w:tcPr>
                <w:p w14:paraId="2CCE3BB3">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16.6</w:t>
                  </w:r>
                </w:p>
              </w:tc>
              <w:tc>
                <w:tcPr>
                  <w:tcW w:w="1361" w:type="dxa"/>
                  <w:tcBorders>
                    <w:tl2br w:val="nil"/>
                    <w:tr2bl w:val="nil"/>
                  </w:tcBorders>
                  <w:shd w:val="clear" w:color="auto" w:fill="auto"/>
                  <w:vAlign w:val="center"/>
                </w:tcPr>
                <w:p w14:paraId="2702D0FB">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1.35E+00</w:t>
                  </w:r>
                </w:p>
              </w:tc>
            </w:tr>
            <w:tr w14:paraId="36CADD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40" w:hRule="atLeast"/>
              </w:trPr>
              <w:tc>
                <w:tcPr>
                  <w:tcW w:w="508" w:type="dxa"/>
                  <w:tcBorders>
                    <w:tl2br w:val="nil"/>
                    <w:tr2bl w:val="nil"/>
                  </w:tcBorders>
                  <w:shd w:val="clear" w:color="auto" w:fill="auto"/>
                  <w:vAlign w:val="center"/>
                </w:tcPr>
                <w:p w14:paraId="24D1E5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C</w:t>
                  </w:r>
                </w:p>
              </w:tc>
              <w:tc>
                <w:tcPr>
                  <w:tcW w:w="2261" w:type="dxa"/>
                  <w:tcBorders>
                    <w:tl2br w:val="nil"/>
                    <w:tr2bl w:val="nil"/>
                  </w:tcBorders>
                  <w:shd w:val="clear" w:color="auto" w:fill="auto"/>
                  <w:vAlign w:val="center"/>
                </w:tcPr>
                <w:p w14:paraId="2AD918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sz w:val="18"/>
                      <w:szCs w:val="18"/>
                      <w:highlight w:val="none"/>
                      <w:u w:val="none"/>
                      <w:lang w:val="en-US" w:eastAsia="zh-CN"/>
                    </w:rPr>
                    <w:t>合成柜后面外30cm</w:t>
                  </w:r>
                </w:p>
              </w:tc>
              <w:tc>
                <w:tcPr>
                  <w:tcW w:w="2175" w:type="dxa"/>
                  <w:tcBorders>
                    <w:tl2br w:val="nil"/>
                    <w:tr2bl w:val="nil"/>
                  </w:tcBorders>
                  <w:shd w:val="clear" w:color="auto" w:fill="auto"/>
                  <w:vAlign w:val="center"/>
                </w:tcPr>
                <w:p w14:paraId="021D2F12">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60mmPb</w:t>
                  </w:r>
                </w:p>
              </w:tc>
              <w:tc>
                <w:tcPr>
                  <w:tcW w:w="1258" w:type="dxa"/>
                  <w:tcBorders>
                    <w:tl2br w:val="nil"/>
                    <w:tr2bl w:val="nil"/>
                  </w:tcBorders>
                  <w:shd w:val="clear" w:color="auto" w:fill="auto"/>
                  <w:vAlign w:val="center"/>
                </w:tcPr>
                <w:p w14:paraId="6C47345B">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7.4E+4</w:t>
                  </w:r>
                </w:p>
              </w:tc>
              <w:tc>
                <w:tcPr>
                  <w:tcW w:w="950" w:type="dxa"/>
                  <w:tcBorders>
                    <w:tl2br w:val="nil"/>
                    <w:tr2bl w:val="nil"/>
                  </w:tcBorders>
                  <w:shd w:val="clear" w:color="auto" w:fill="auto"/>
                  <w:vAlign w:val="center"/>
                </w:tcPr>
                <w:p w14:paraId="09A24FAF">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0.7</w:t>
                  </w:r>
                </w:p>
              </w:tc>
              <w:tc>
                <w:tcPr>
                  <w:tcW w:w="925" w:type="dxa"/>
                  <w:tcBorders>
                    <w:tl2br w:val="nil"/>
                    <w:tr2bl w:val="nil"/>
                  </w:tcBorders>
                  <w:shd w:val="clear" w:color="auto" w:fill="auto"/>
                  <w:vAlign w:val="center"/>
                </w:tcPr>
                <w:p w14:paraId="39B660A9">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16.6</w:t>
                  </w:r>
                </w:p>
              </w:tc>
              <w:tc>
                <w:tcPr>
                  <w:tcW w:w="1361" w:type="dxa"/>
                  <w:tcBorders>
                    <w:tl2br w:val="nil"/>
                    <w:tr2bl w:val="nil"/>
                  </w:tcBorders>
                  <w:shd w:val="clear" w:color="auto" w:fill="auto"/>
                  <w:vAlign w:val="center"/>
                </w:tcPr>
                <w:p w14:paraId="06B0A50B">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5.25E+00</w:t>
                  </w:r>
                </w:p>
              </w:tc>
            </w:tr>
            <w:tr w14:paraId="58A2B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2" w:hRule="atLeast"/>
              </w:trPr>
              <w:tc>
                <w:tcPr>
                  <w:tcW w:w="508" w:type="dxa"/>
                  <w:tcBorders>
                    <w:tl2br w:val="nil"/>
                    <w:tr2bl w:val="nil"/>
                  </w:tcBorders>
                  <w:shd w:val="clear" w:color="auto" w:fill="auto"/>
                  <w:vAlign w:val="center"/>
                </w:tcPr>
                <w:p w14:paraId="290717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D</w:t>
                  </w:r>
                </w:p>
              </w:tc>
              <w:tc>
                <w:tcPr>
                  <w:tcW w:w="2261" w:type="dxa"/>
                  <w:tcBorders>
                    <w:tl2br w:val="nil"/>
                    <w:tr2bl w:val="nil"/>
                  </w:tcBorders>
                  <w:shd w:val="clear" w:color="auto" w:fill="auto"/>
                  <w:vAlign w:val="center"/>
                </w:tcPr>
                <w:p w14:paraId="4489AC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sz w:val="18"/>
                      <w:szCs w:val="18"/>
                      <w:highlight w:val="none"/>
                      <w:u w:val="none"/>
                      <w:lang w:val="en-US" w:eastAsia="zh-CN"/>
                    </w:rPr>
                    <w:t>合成柜上方外30cm</w:t>
                  </w:r>
                </w:p>
              </w:tc>
              <w:tc>
                <w:tcPr>
                  <w:tcW w:w="2175" w:type="dxa"/>
                  <w:tcBorders>
                    <w:tl2br w:val="nil"/>
                    <w:tr2bl w:val="nil"/>
                  </w:tcBorders>
                  <w:shd w:val="clear" w:color="auto" w:fill="auto"/>
                  <w:vAlign w:val="center"/>
                </w:tcPr>
                <w:p w14:paraId="03E3761D">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60mmPb</w:t>
                  </w:r>
                </w:p>
              </w:tc>
              <w:tc>
                <w:tcPr>
                  <w:tcW w:w="1258" w:type="dxa"/>
                  <w:tcBorders>
                    <w:tl2br w:val="nil"/>
                    <w:tr2bl w:val="nil"/>
                  </w:tcBorders>
                  <w:shd w:val="clear" w:color="auto" w:fill="auto"/>
                  <w:vAlign w:val="center"/>
                </w:tcPr>
                <w:p w14:paraId="4F8769B2">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7.4E+4</w:t>
                  </w:r>
                </w:p>
              </w:tc>
              <w:tc>
                <w:tcPr>
                  <w:tcW w:w="950" w:type="dxa"/>
                  <w:tcBorders>
                    <w:tl2br w:val="nil"/>
                    <w:tr2bl w:val="nil"/>
                  </w:tcBorders>
                  <w:shd w:val="clear" w:color="auto" w:fill="auto"/>
                  <w:vAlign w:val="center"/>
                </w:tcPr>
                <w:p w14:paraId="63EADE49">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1</w:t>
                  </w:r>
                </w:p>
              </w:tc>
              <w:tc>
                <w:tcPr>
                  <w:tcW w:w="925" w:type="dxa"/>
                  <w:tcBorders>
                    <w:tl2br w:val="nil"/>
                    <w:tr2bl w:val="nil"/>
                  </w:tcBorders>
                  <w:shd w:val="clear" w:color="auto" w:fill="auto"/>
                  <w:vAlign w:val="center"/>
                </w:tcPr>
                <w:p w14:paraId="5985FFFB">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16.6</w:t>
                  </w:r>
                </w:p>
              </w:tc>
              <w:tc>
                <w:tcPr>
                  <w:tcW w:w="1361" w:type="dxa"/>
                  <w:tcBorders>
                    <w:tl2br w:val="nil"/>
                    <w:tr2bl w:val="nil"/>
                  </w:tcBorders>
                  <w:shd w:val="clear" w:color="auto" w:fill="auto"/>
                  <w:vAlign w:val="center"/>
                </w:tcPr>
                <w:p w14:paraId="48D54C17">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2.57E+00</w:t>
                  </w:r>
                </w:p>
              </w:tc>
            </w:tr>
            <w:tr w14:paraId="51F87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2" w:hRule="atLeast"/>
              </w:trPr>
              <w:tc>
                <w:tcPr>
                  <w:tcW w:w="508" w:type="dxa"/>
                  <w:tcBorders>
                    <w:tl2br w:val="nil"/>
                    <w:tr2bl w:val="nil"/>
                  </w:tcBorders>
                  <w:shd w:val="clear" w:color="auto" w:fill="auto"/>
                  <w:vAlign w:val="center"/>
                </w:tcPr>
                <w:p w14:paraId="0BB3EB8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E</w:t>
                  </w:r>
                </w:p>
              </w:tc>
              <w:tc>
                <w:tcPr>
                  <w:tcW w:w="2261" w:type="dxa"/>
                  <w:tcBorders>
                    <w:tl2br w:val="nil"/>
                    <w:tr2bl w:val="nil"/>
                  </w:tcBorders>
                  <w:shd w:val="clear" w:color="auto" w:fill="auto"/>
                  <w:vAlign w:val="center"/>
                </w:tcPr>
                <w:p w14:paraId="7DAEEA1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放药转移时北墙外30cm</w:t>
                  </w:r>
                </w:p>
              </w:tc>
              <w:tc>
                <w:tcPr>
                  <w:tcW w:w="2175" w:type="dxa"/>
                  <w:tcBorders>
                    <w:tl2br w:val="nil"/>
                    <w:tr2bl w:val="nil"/>
                  </w:tcBorders>
                  <w:shd w:val="clear" w:color="auto" w:fill="auto"/>
                  <w:vAlign w:val="center"/>
                </w:tcPr>
                <w:p w14:paraId="15B7159E">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40mmPb+300mm混凝土</w:t>
                  </w:r>
                </w:p>
              </w:tc>
              <w:tc>
                <w:tcPr>
                  <w:tcW w:w="1258" w:type="dxa"/>
                  <w:tcBorders>
                    <w:tl2br w:val="nil"/>
                    <w:tr2bl w:val="nil"/>
                  </w:tcBorders>
                  <w:shd w:val="clear" w:color="auto" w:fill="auto"/>
                  <w:vAlign w:val="center"/>
                </w:tcPr>
                <w:p w14:paraId="27C1635A">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7.4E+4</w:t>
                  </w:r>
                </w:p>
              </w:tc>
              <w:tc>
                <w:tcPr>
                  <w:tcW w:w="950" w:type="dxa"/>
                  <w:tcBorders>
                    <w:tl2br w:val="nil"/>
                    <w:tr2bl w:val="nil"/>
                  </w:tcBorders>
                  <w:shd w:val="clear" w:color="auto" w:fill="auto"/>
                  <w:vAlign w:val="center"/>
                </w:tcPr>
                <w:p w14:paraId="3C8F4317">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3.65</w:t>
                  </w:r>
                </w:p>
              </w:tc>
              <w:tc>
                <w:tcPr>
                  <w:tcW w:w="925" w:type="dxa"/>
                  <w:tcBorders>
                    <w:tl2br w:val="nil"/>
                    <w:tr2bl w:val="nil"/>
                  </w:tcBorders>
                  <w:shd w:val="clear" w:color="auto" w:fill="auto"/>
                  <w:vAlign w:val="center"/>
                </w:tcPr>
                <w:p w14:paraId="25C049E9">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16.6</w:t>
                  </w:r>
                </w:p>
              </w:tc>
              <w:tc>
                <w:tcPr>
                  <w:tcW w:w="1361" w:type="dxa"/>
                  <w:tcBorders>
                    <w:tl2br w:val="nil"/>
                    <w:tr2bl w:val="nil"/>
                  </w:tcBorders>
                  <w:shd w:val="clear" w:color="auto" w:fill="auto"/>
                  <w:vAlign w:val="center"/>
                </w:tcPr>
                <w:p w14:paraId="4476418F">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2.34E+00</w:t>
                  </w:r>
                </w:p>
              </w:tc>
            </w:tr>
            <w:tr w14:paraId="7BA4C5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2" w:hRule="atLeast"/>
              </w:trPr>
              <w:tc>
                <w:tcPr>
                  <w:tcW w:w="508" w:type="dxa"/>
                  <w:tcBorders>
                    <w:tl2br w:val="nil"/>
                    <w:tr2bl w:val="nil"/>
                  </w:tcBorders>
                  <w:shd w:val="clear" w:color="auto" w:fill="auto"/>
                  <w:vAlign w:val="center"/>
                </w:tcPr>
                <w:p w14:paraId="5EAE48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F</w:t>
                  </w:r>
                </w:p>
              </w:tc>
              <w:tc>
                <w:tcPr>
                  <w:tcW w:w="2261" w:type="dxa"/>
                  <w:tcBorders>
                    <w:tl2br w:val="nil"/>
                    <w:tr2bl w:val="nil"/>
                  </w:tcBorders>
                  <w:shd w:val="clear" w:color="auto" w:fill="auto"/>
                  <w:vAlign w:val="center"/>
                </w:tcPr>
                <w:p w14:paraId="15397A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放药转移时防护门外30cm</w:t>
                  </w:r>
                </w:p>
              </w:tc>
              <w:tc>
                <w:tcPr>
                  <w:tcW w:w="2175" w:type="dxa"/>
                  <w:tcBorders>
                    <w:tl2br w:val="nil"/>
                    <w:tr2bl w:val="nil"/>
                  </w:tcBorders>
                  <w:shd w:val="clear" w:color="auto" w:fill="auto"/>
                  <w:vAlign w:val="center"/>
                </w:tcPr>
                <w:p w14:paraId="07829017">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40mmPb+6mmPb</w:t>
                  </w:r>
                </w:p>
              </w:tc>
              <w:tc>
                <w:tcPr>
                  <w:tcW w:w="1258" w:type="dxa"/>
                  <w:tcBorders>
                    <w:tl2br w:val="nil"/>
                    <w:tr2bl w:val="nil"/>
                  </w:tcBorders>
                  <w:shd w:val="clear" w:color="auto" w:fill="auto"/>
                  <w:vAlign w:val="center"/>
                </w:tcPr>
                <w:p w14:paraId="0A71E95D">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7.4E+4</w:t>
                  </w:r>
                </w:p>
              </w:tc>
              <w:tc>
                <w:tcPr>
                  <w:tcW w:w="950" w:type="dxa"/>
                  <w:tcBorders>
                    <w:tl2br w:val="nil"/>
                    <w:tr2bl w:val="nil"/>
                  </w:tcBorders>
                  <w:shd w:val="clear" w:color="auto" w:fill="auto"/>
                  <w:vAlign w:val="center"/>
                </w:tcPr>
                <w:p w14:paraId="18249E3B">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3.42</w:t>
                  </w:r>
                </w:p>
              </w:tc>
              <w:tc>
                <w:tcPr>
                  <w:tcW w:w="925" w:type="dxa"/>
                  <w:tcBorders>
                    <w:tl2br w:val="nil"/>
                    <w:tr2bl w:val="nil"/>
                  </w:tcBorders>
                  <w:shd w:val="clear" w:color="auto" w:fill="auto"/>
                  <w:vAlign w:val="center"/>
                </w:tcPr>
                <w:p w14:paraId="7301B51E">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16.6</w:t>
                  </w:r>
                </w:p>
              </w:tc>
              <w:tc>
                <w:tcPr>
                  <w:tcW w:w="1361" w:type="dxa"/>
                  <w:tcBorders>
                    <w:tl2br w:val="nil"/>
                    <w:tr2bl w:val="nil"/>
                  </w:tcBorders>
                  <w:shd w:val="clear" w:color="auto" w:fill="auto"/>
                  <w:vAlign w:val="center"/>
                </w:tcPr>
                <w:p w14:paraId="6D3E025E">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1.53E+00</w:t>
                  </w:r>
                </w:p>
              </w:tc>
            </w:tr>
            <w:tr w14:paraId="50A415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2" w:hRule="atLeast"/>
              </w:trPr>
              <w:tc>
                <w:tcPr>
                  <w:tcW w:w="508" w:type="dxa"/>
                  <w:tcBorders>
                    <w:tl2br w:val="nil"/>
                    <w:tr2bl w:val="nil"/>
                  </w:tcBorders>
                  <w:shd w:val="clear" w:color="auto" w:fill="auto"/>
                  <w:vAlign w:val="center"/>
                </w:tcPr>
                <w:p w14:paraId="0AE6714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G</w:t>
                  </w:r>
                </w:p>
              </w:tc>
              <w:tc>
                <w:tcPr>
                  <w:tcW w:w="2261" w:type="dxa"/>
                  <w:tcBorders>
                    <w:tl2br w:val="nil"/>
                    <w:tr2bl w:val="nil"/>
                  </w:tcBorders>
                  <w:shd w:val="clear" w:color="auto" w:fill="auto"/>
                  <w:vAlign w:val="center"/>
                </w:tcPr>
                <w:p w14:paraId="2F24CC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放药转移时屋顶上方100cm</w:t>
                  </w:r>
                </w:p>
              </w:tc>
              <w:tc>
                <w:tcPr>
                  <w:tcW w:w="2175" w:type="dxa"/>
                  <w:tcBorders>
                    <w:tl2br w:val="nil"/>
                    <w:tr2bl w:val="nil"/>
                  </w:tcBorders>
                  <w:shd w:val="clear" w:color="auto" w:fill="auto"/>
                  <w:vAlign w:val="center"/>
                </w:tcPr>
                <w:p w14:paraId="3D6234C7">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40mmPb+300mm混凝土</w:t>
                  </w:r>
                </w:p>
              </w:tc>
              <w:tc>
                <w:tcPr>
                  <w:tcW w:w="1258" w:type="dxa"/>
                  <w:tcBorders>
                    <w:tl2br w:val="nil"/>
                    <w:tr2bl w:val="nil"/>
                  </w:tcBorders>
                  <w:shd w:val="clear" w:color="auto" w:fill="auto"/>
                  <w:vAlign w:val="center"/>
                </w:tcPr>
                <w:p w14:paraId="31CFE82D">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7.4E+4</w:t>
                  </w:r>
                </w:p>
              </w:tc>
              <w:tc>
                <w:tcPr>
                  <w:tcW w:w="950" w:type="dxa"/>
                  <w:tcBorders>
                    <w:tl2br w:val="nil"/>
                    <w:tr2bl w:val="nil"/>
                  </w:tcBorders>
                  <w:shd w:val="clear" w:color="auto" w:fill="auto"/>
                  <w:vAlign w:val="center"/>
                </w:tcPr>
                <w:p w14:paraId="15FE9F57">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5.5</w:t>
                  </w:r>
                </w:p>
              </w:tc>
              <w:tc>
                <w:tcPr>
                  <w:tcW w:w="925" w:type="dxa"/>
                  <w:tcBorders>
                    <w:tl2br w:val="nil"/>
                    <w:tr2bl w:val="nil"/>
                  </w:tcBorders>
                  <w:shd w:val="clear" w:color="auto" w:fill="auto"/>
                  <w:vAlign w:val="center"/>
                </w:tcPr>
                <w:p w14:paraId="3D2F42F0">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16.6</w:t>
                  </w:r>
                </w:p>
              </w:tc>
              <w:tc>
                <w:tcPr>
                  <w:tcW w:w="1361" w:type="dxa"/>
                  <w:tcBorders>
                    <w:tl2br w:val="nil"/>
                    <w:tr2bl w:val="nil"/>
                  </w:tcBorders>
                  <w:shd w:val="clear" w:color="auto" w:fill="auto"/>
                  <w:vAlign w:val="center"/>
                </w:tcPr>
                <w:p w14:paraId="0D4953FE">
                  <w:pPr>
                    <w:keepNext w:val="0"/>
                    <w:keepLines w:val="0"/>
                    <w:widowControl/>
                    <w:suppressLineNumbers w:val="0"/>
                    <w:spacing w:before="0" w:beforeAutospacing="0" w:after="0" w:afterAutospacing="0"/>
                    <w:ind w:left="0" w:right="0"/>
                    <w:jc w:val="center"/>
                    <w:textAlignment w:val="center"/>
                    <w:rPr>
                      <w:rStyle w:val="44"/>
                      <w:rFonts w:hint="default" w:ascii="Times New Roman" w:hAnsi="Times New Roman" w:eastAsia="宋体" w:cs="Times New Roman"/>
                      <w:color w:val="auto"/>
                      <w:sz w:val="18"/>
                      <w:szCs w:val="18"/>
                      <w:highlight w:val="none"/>
                      <w:lang w:val="en-US" w:eastAsia="zh-CN" w:bidi="ar"/>
                    </w:rPr>
                  </w:pPr>
                  <w:r>
                    <w:rPr>
                      <w:rStyle w:val="44"/>
                      <w:rFonts w:hint="default" w:ascii="Times New Roman" w:hAnsi="Times New Roman" w:eastAsia="宋体" w:cs="Times New Roman"/>
                      <w:color w:val="auto"/>
                      <w:sz w:val="18"/>
                      <w:szCs w:val="18"/>
                      <w:highlight w:val="none"/>
                      <w:lang w:val="en-US" w:eastAsia="zh-CN" w:bidi="ar"/>
                    </w:rPr>
                    <w:t>6.44E-02</w:t>
                  </w:r>
                </w:p>
              </w:tc>
            </w:tr>
          </w:tbl>
          <w:p w14:paraId="3F06FE7B">
            <w:pPr>
              <w:keepNext w:val="0"/>
              <w:keepLines w:val="0"/>
              <w:suppressLineNumbers w:val="0"/>
              <w:shd w:val="clear"/>
              <w:bidi w:val="0"/>
              <w:spacing w:before="0" w:beforeAutospacing="0" w:after="0" w:afterAutospacing="0" w:line="360" w:lineRule="auto"/>
              <w:ind w:left="0" w:right="0" w:firstLine="420" w:firstLineChars="200"/>
              <w:jc w:val="both"/>
              <w:rPr>
                <w:rFonts w:hint="default" w:ascii="Times New Roman" w:hAnsi="Times New Roman" w:cs="Times New Roman"/>
                <w:color w:val="auto"/>
                <w:sz w:val="21"/>
                <w:szCs w:val="20"/>
                <w:highlight w:val="none"/>
                <w:lang w:val="en-US" w:eastAsia="zh-CN"/>
              </w:rPr>
            </w:pPr>
            <w:r>
              <w:rPr>
                <w:rFonts w:hint="default" w:ascii="Times New Roman" w:hAnsi="Times New Roman" w:cs="Times New Roman"/>
                <w:color w:val="auto"/>
                <w:sz w:val="21"/>
                <w:szCs w:val="20"/>
                <w:highlight w:val="none"/>
                <w:lang w:val="en-US" w:eastAsia="zh-CN"/>
              </w:rPr>
              <w:t>注：热室墙体屋顶采用300mm混凝土，保守折算为2mmPb。</w:t>
            </w:r>
          </w:p>
          <w:p w14:paraId="44D5BCF2">
            <w:pPr>
              <w:keepNext w:val="0"/>
              <w:keepLines w:val="0"/>
              <w:suppressLineNumbers w:val="0"/>
              <w:shd w:val="clear"/>
              <w:bidi w:val="0"/>
              <w:spacing w:before="0" w:beforeAutospacing="0" w:after="0" w:afterAutospacing="0" w:line="360" w:lineRule="auto"/>
              <w:ind w:left="0" w:right="0" w:firstLine="480" w:firstLineChars="200"/>
              <w:jc w:val="center"/>
              <w:rPr>
                <w:rFonts w:hint="default" w:ascii="Times New Roman" w:hAnsi="Times New Roman" w:cs="Times New Roman"/>
                <w:color w:val="auto"/>
                <w:highlight w:val="none"/>
                <w:lang w:val="en-US" w:eastAsia="zh-CN"/>
              </w:rPr>
            </w:pPr>
          </w:p>
          <w:p w14:paraId="3AAF49F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b/>
                <w:bCs w:val="0"/>
                <w:color w:val="auto"/>
                <w:sz w:val="24"/>
                <w:szCs w:val="24"/>
                <w:highlight w:val="none"/>
              </w:rPr>
            </w:pPr>
            <w:r>
              <w:rPr>
                <w:rFonts w:hint="eastAsia" w:cs="Times New Roman"/>
                <w:b/>
                <w:bCs w:val="0"/>
                <w:color w:val="auto"/>
                <w:sz w:val="24"/>
                <w:szCs w:val="24"/>
                <w:highlight w:val="none"/>
                <w:lang w:val="en-US" w:eastAsia="zh-CN"/>
              </w:rPr>
              <w:t>图10-2  合成热室关注点位示意图</w:t>
            </w:r>
          </w:p>
          <w:p w14:paraId="2C345AD4">
            <w:pPr>
              <w:pStyle w:val="14"/>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4"/>
                <w:szCs w:val="22"/>
                <w:highlight w:val="none"/>
                <w:lang w:eastAsia="zh-CN"/>
              </w:rPr>
            </w:pPr>
            <w:r>
              <w:rPr>
                <w:rFonts w:hint="default" w:ascii="Times New Roman" w:hAnsi="Times New Roman" w:cs="Times New Roman"/>
                <w:b/>
                <w:color w:val="auto"/>
                <w:sz w:val="24"/>
                <w:szCs w:val="22"/>
                <w:highlight w:val="none"/>
                <w:lang w:val="en-US" w:eastAsia="zh-CN"/>
              </w:rPr>
              <w:t>表11-</w:t>
            </w:r>
            <w:r>
              <w:rPr>
                <w:rFonts w:hint="eastAsia" w:ascii="Times New Roman" w:hAnsi="Times New Roman" w:cs="Times New Roman"/>
                <w:b/>
                <w:color w:val="auto"/>
                <w:sz w:val="24"/>
                <w:szCs w:val="22"/>
                <w:highlight w:val="none"/>
                <w:lang w:val="en-US" w:eastAsia="zh-CN"/>
              </w:rPr>
              <w:t>5</w:t>
            </w:r>
            <w:r>
              <w:rPr>
                <w:rFonts w:hint="default" w:ascii="Times New Roman" w:hAnsi="Times New Roman" w:cs="Times New Roman"/>
                <w:b/>
                <w:color w:val="auto"/>
                <w:sz w:val="24"/>
                <w:szCs w:val="22"/>
                <w:highlight w:val="none"/>
                <w:lang w:val="en-US" w:eastAsia="zh-CN"/>
              </w:rPr>
              <w:t xml:space="preserve">  质</w:t>
            </w:r>
            <w:r>
              <w:rPr>
                <w:rFonts w:hint="default" w:ascii="Times New Roman" w:hAnsi="Times New Roman" w:cs="Times New Roman"/>
                <w:b/>
                <w:color w:val="auto"/>
                <w:sz w:val="24"/>
                <w:szCs w:val="22"/>
                <w:highlight w:val="none"/>
                <w:lang w:eastAsia="zh-CN"/>
              </w:rPr>
              <w:t>控</w:t>
            </w:r>
            <w:r>
              <w:rPr>
                <w:rFonts w:hint="default" w:ascii="Times New Roman" w:hAnsi="Times New Roman" w:cs="Times New Roman"/>
                <w:b/>
                <w:color w:val="auto"/>
                <w:sz w:val="24"/>
                <w:szCs w:val="22"/>
                <w:highlight w:val="none"/>
                <w:lang w:val="en-US" w:eastAsia="zh-CN"/>
              </w:rPr>
              <w:t>室周围</w:t>
            </w:r>
            <w:r>
              <w:rPr>
                <w:rFonts w:hint="default" w:ascii="Times New Roman" w:hAnsi="Times New Roman" w:cs="Times New Roman"/>
                <w:b/>
                <w:color w:val="auto"/>
                <w:sz w:val="24"/>
                <w:szCs w:val="22"/>
                <w:highlight w:val="none"/>
                <w:lang w:eastAsia="zh-CN"/>
              </w:rPr>
              <w:t>各关注点预测结果</w:t>
            </w:r>
          </w:p>
          <w:tbl>
            <w:tblPr>
              <w:tblStyle w:val="22"/>
              <w:tblW w:w="9438" w:type="dxa"/>
              <w:tblInd w:w="7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08"/>
              <w:gridCol w:w="2261"/>
              <w:gridCol w:w="2175"/>
              <w:gridCol w:w="1258"/>
              <w:gridCol w:w="950"/>
              <w:gridCol w:w="925"/>
              <w:gridCol w:w="1361"/>
            </w:tblGrid>
            <w:tr w14:paraId="41D3A6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8" w:hRule="atLeast"/>
              </w:trPr>
              <w:tc>
                <w:tcPr>
                  <w:tcW w:w="2769" w:type="dxa"/>
                  <w:gridSpan w:val="2"/>
                  <w:tcBorders>
                    <w:tl2br w:val="nil"/>
                    <w:tr2bl w:val="nil"/>
                  </w:tcBorders>
                  <w:shd w:val="clear" w:color="auto" w:fill="auto"/>
                  <w:vAlign w:val="center"/>
                </w:tcPr>
                <w:p w14:paraId="1CD0D7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关注点位置</w:t>
                  </w:r>
                </w:p>
              </w:tc>
              <w:tc>
                <w:tcPr>
                  <w:tcW w:w="2175" w:type="dxa"/>
                  <w:tcBorders>
                    <w:tl2br w:val="nil"/>
                    <w:tr2bl w:val="nil"/>
                  </w:tcBorders>
                  <w:shd w:val="clear" w:color="auto" w:fill="auto"/>
                  <w:vAlign w:val="center"/>
                </w:tcPr>
                <w:p w14:paraId="4654AAE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屏蔽及厚度</w:t>
                  </w:r>
                </w:p>
              </w:tc>
              <w:tc>
                <w:tcPr>
                  <w:tcW w:w="1258" w:type="dxa"/>
                  <w:tcBorders>
                    <w:tl2br w:val="nil"/>
                    <w:tr2bl w:val="nil"/>
                  </w:tcBorders>
                  <w:shd w:val="clear" w:color="auto" w:fill="auto"/>
                  <w:vAlign w:val="center"/>
                </w:tcPr>
                <w:p w14:paraId="70016A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A（MBq）</w:t>
                  </w:r>
                </w:p>
              </w:tc>
              <w:tc>
                <w:tcPr>
                  <w:tcW w:w="950" w:type="dxa"/>
                  <w:tcBorders>
                    <w:tl2br w:val="nil"/>
                    <w:tr2bl w:val="nil"/>
                  </w:tcBorders>
                  <w:shd w:val="clear" w:color="auto" w:fill="auto"/>
                  <w:vAlign w:val="center"/>
                </w:tcPr>
                <w:p w14:paraId="1064026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r（m）</w:t>
                  </w:r>
                </w:p>
              </w:tc>
              <w:tc>
                <w:tcPr>
                  <w:tcW w:w="925" w:type="dxa"/>
                  <w:tcBorders>
                    <w:tl2br w:val="nil"/>
                    <w:tr2bl w:val="nil"/>
                  </w:tcBorders>
                  <w:shd w:val="clear" w:color="auto" w:fill="auto"/>
                  <w:vAlign w:val="center"/>
                </w:tcPr>
                <w:p w14:paraId="037A98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TVL</w:t>
                  </w:r>
                </w:p>
              </w:tc>
              <w:tc>
                <w:tcPr>
                  <w:tcW w:w="1361" w:type="dxa"/>
                  <w:tcBorders>
                    <w:tl2br w:val="nil"/>
                    <w:tr2bl w:val="nil"/>
                  </w:tcBorders>
                  <w:shd w:val="clear" w:color="auto" w:fill="auto"/>
                  <w:vAlign w:val="center"/>
                </w:tcPr>
                <w:p w14:paraId="057625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剂量率估算结果</w:t>
                  </w:r>
                </w:p>
              </w:tc>
            </w:tr>
            <w:tr w14:paraId="32ED0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508" w:type="dxa"/>
                  <w:tcBorders>
                    <w:tl2br w:val="nil"/>
                    <w:tr2bl w:val="nil"/>
                  </w:tcBorders>
                  <w:shd w:val="clear" w:color="auto" w:fill="auto"/>
                  <w:vAlign w:val="center"/>
                </w:tcPr>
                <w:p w14:paraId="0C2387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a</w:t>
                  </w:r>
                </w:p>
              </w:tc>
              <w:tc>
                <w:tcPr>
                  <w:tcW w:w="2261" w:type="dxa"/>
                  <w:tcBorders>
                    <w:tl2br w:val="nil"/>
                    <w:tr2bl w:val="nil"/>
                  </w:tcBorders>
                  <w:shd w:val="clear" w:color="auto" w:fill="auto"/>
                  <w:vAlign w:val="center"/>
                </w:tcPr>
                <w:p w14:paraId="7A118D6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质控室通风橱正面外30cm（人员操作位）</w:t>
                  </w:r>
                </w:p>
              </w:tc>
              <w:tc>
                <w:tcPr>
                  <w:tcW w:w="2175" w:type="dxa"/>
                  <w:tcBorders>
                    <w:tl2br w:val="nil"/>
                    <w:tr2bl w:val="nil"/>
                  </w:tcBorders>
                  <w:shd w:val="clear" w:color="auto" w:fill="auto"/>
                  <w:vAlign w:val="center"/>
                </w:tcPr>
                <w:p w14:paraId="2F69A5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3mmPb</w:t>
                  </w:r>
                </w:p>
              </w:tc>
              <w:tc>
                <w:tcPr>
                  <w:tcW w:w="1258" w:type="dxa"/>
                  <w:tcBorders>
                    <w:tl2br w:val="nil"/>
                    <w:tr2bl w:val="nil"/>
                  </w:tcBorders>
                  <w:shd w:val="clear" w:color="auto" w:fill="auto"/>
                  <w:vAlign w:val="center"/>
                </w:tcPr>
                <w:p w14:paraId="6CAEE57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1.85E+01</w:t>
                  </w:r>
                </w:p>
              </w:tc>
              <w:tc>
                <w:tcPr>
                  <w:tcW w:w="950" w:type="dxa"/>
                  <w:tcBorders>
                    <w:tl2br w:val="nil"/>
                    <w:tr2bl w:val="nil"/>
                  </w:tcBorders>
                  <w:shd w:val="clear" w:color="auto" w:fill="auto"/>
                  <w:vAlign w:val="center"/>
                </w:tcPr>
                <w:p w14:paraId="3C10DC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0.9</w:t>
                  </w:r>
                </w:p>
              </w:tc>
              <w:tc>
                <w:tcPr>
                  <w:tcW w:w="925" w:type="dxa"/>
                  <w:tcBorders>
                    <w:tl2br w:val="nil"/>
                    <w:tr2bl w:val="nil"/>
                  </w:tcBorders>
                  <w:shd w:val="clear" w:color="auto" w:fill="auto"/>
                  <w:vAlign w:val="center"/>
                </w:tcPr>
                <w:p w14:paraId="58D640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16.6</w:t>
                  </w:r>
                </w:p>
              </w:tc>
              <w:tc>
                <w:tcPr>
                  <w:tcW w:w="1361" w:type="dxa"/>
                  <w:tcBorders>
                    <w:tl2br w:val="nil"/>
                    <w:tr2bl w:val="nil"/>
                  </w:tcBorders>
                  <w:shd w:val="clear" w:color="auto" w:fill="auto"/>
                  <w:vAlign w:val="center"/>
                </w:tcPr>
                <w:p w14:paraId="75406E7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2.23E+00</w:t>
                  </w:r>
                </w:p>
              </w:tc>
            </w:tr>
            <w:tr w14:paraId="70630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508" w:type="dxa"/>
                  <w:tcBorders>
                    <w:tl2br w:val="nil"/>
                    <w:tr2bl w:val="nil"/>
                  </w:tcBorders>
                  <w:shd w:val="clear" w:color="auto" w:fill="auto"/>
                  <w:vAlign w:val="center"/>
                </w:tcPr>
                <w:p w14:paraId="1B98B3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b</w:t>
                  </w:r>
                </w:p>
              </w:tc>
              <w:tc>
                <w:tcPr>
                  <w:tcW w:w="2261" w:type="dxa"/>
                  <w:tcBorders>
                    <w:tl2br w:val="nil"/>
                    <w:tr2bl w:val="nil"/>
                  </w:tcBorders>
                  <w:shd w:val="clear" w:color="auto" w:fill="auto"/>
                  <w:vAlign w:val="center"/>
                </w:tcPr>
                <w:p w14:paraId="23EEBB9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sz w:val="18"/>
                      <w:szCs w:val="18"/>
                      <w:highlight w:val="none"/>
                      <w:u w:val="none"/>
                      <w:lang w:val="en-US" w:eastAsia="zh-CN"/>
                    </w:rPr>
                    <w:t>质控室通风橱</w:t>
                  </w:r>
                  <w:r>
                    <w:rPr>
                      <w:rFonts w:hint="default" w:ascii="Times New Roman" w:hAnsi="Times New Roman" w:cs="Times New Roman"/>
                      <w:i w:val="0"/>
                      <w:iCs w:val="0"/>
                      <w:color w:val="auto"/>
                      <w:sz w:val="18"/>
                      <w:szCs w:val="18"/>
                      <w:highlight w:val="none"/>
                      <w:u w:val="none"/>
                      <w:lang w:val="en-US" w:eastAsia="zh-CN"/>
                    </w:rPr>
                    <w:t>侧</w:t>
                  </w:r>
                  <w:r>
                    <w:rPr>
                      <w:rFonts w:hint="default" w:ascii="Times New Roman" w:hAnsi="Times New Roman" w:eastAsia="宋体" w:cs="Times New Roman"/>
                      <w:i w:val="0"/>
                      <w:iCs w:val="0"/>
                      <w:color w:val="auto"/>
                      <w:sz w:val="18"/>
                      <w:szCs w:val="18"/>
                      <w:highlight w:val="none"/>
                      <w:u w:val="none"/>
                      <w:lang w:val="en-US" w:eastAsia="zh-CN"/>
                    </w:rPr>
                    <w:t>面外30cm</w:t>
                  </w:r>
                </w:p>
              </w:tc>
              <w:tc>
                <w:tcPr>
                  <w:tcW w:w="2175" w:type="dxa"/>
                  <w:tcBorders>
                    <w:tl2br w:val="nil"/>
                    <w:tr2bl w:val="nil"/>
                  </w:tcBorders>
                  <w:shd w:val="clear" w:color="auto" w:fill="auto"/>
                  <w:vAlign w:val="center"/>
                </w:tcPr>
                <w:p w14:paraId="325B5F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3mmPb</w:t>
                  </w:r>
                </w:p>
              </w:tc>
              <w:tc>
                <w:tcPr>
                  <w:tcW w:w="1258" w:type="dxa"/>
                  <w:tcBorders>
                    <w:tl2br w:val="nil"/>
                    <w:tr2bl w:val="nil"/>
                  </w:tcBorders>
                  <w:shd w:val="clear" w:color="auto" w:fill="auto"/>
                  <w:vAlign w:val="center"/>
                </w:tcPr>
                <w:p w14:paraId="4BFDBA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1.85E+01</w:t>
                  </w:r>
                </w:p>
              </w:tc>
              <w:tc>
                <w:tcPr>
                  <w:tcW w:w="950" w:type="dxa"/>
                  <w:tcBorders>
                    <w:tl2br w:val="nil"/>
                    <w:tr2bl w:val="nil"/>
                  </w:tcBorders>
                  <w:shd w:val="clear" w:color="auto" w:fill="auto"/>
                  <w:vAlign w:val="center"/>
                </w:tcPr>
                <w:p w14:paraId="601926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0.9</w:t>
                  </w:r>
                </w:p>
              </w:tc>
              <w:tc>
                <w:tcPr>
                  <w:tcW w:w="925" w:type="dxa"/>
                  <w:tcBorders>
                    <w:tl2br w:val="nil"/>
                    <w:tr2bl w:val="nil"/>
                  </w:tcBorders>
                  <w:shd w:val="clear" w:color="auto" w:fill="auto"/>
                  <w:vAlign w:val="center"/>
                </w:tcPr>
                <w:p w14:paraId="79DAC1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16.6</w:t>
                  </w:r>
                </w:p>
              </w:tc>
              <w:tc>
                <w:tcPr>
                  <w:tcW w:w="1361" w:type="dxa"/>
                  <w:tcBorders>
                    <w:tl2br w:val="nil"/>
                    <w:tr2bl w:val="nil"/>
                  </w:tcBorders>
                  <w:shd w:val="clear" w:color="auto" w:fill="auto"/>
                  <w:vAlign w:val="center"/>
                </w:tcPr>
                <w:p w14:paraId="494ADD2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2.23E+00</w:t>
                  </w:r>
                </w:p>
              </w:tc>
            </w:tr>
            <w:tr w14:paraId="4111A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08" w:type="dxa"/>
                  <w:tcBorders>
                    <w:tl2br w:val="nil"/>
                    <w:tr2bl w:val="nil"/>
                  </w:tcBorders>
                  <w:shd w:val="clear" w:color="auto" w:fill="auto"/>
                  <w:vAlign w:val="center"/>
                </w:tcPr>
                <w:p w14:paraId="60DF7E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c</w:t>
                  </w:r>
                </w:p>
              </w:tc>
              <w:tc>
                <w:tcPr>
                  <w:tcW w:w="2261" w:type="dxa"/>
                  <w:tcBorders>
                    <w:tl2br w:val="nil"/>
                    <w:tr2bl w:val="nil"/>
                  </w:tcBorders>
                  <w:shd w:val="clear" w:color="auto" w:fill="auto"/>
                  <w:vAlign w:val="center"/>
                </w:tcPr>
                <w:p w14:paraId="0EF446A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sz w:val="18"/>
                      <w:szCs w:val="18"/>
                      <w:highlight w:val="none"/>
                      <w:u w:val="none"/>
                      <w:lang w:val="en-US" w:eastAsia="zh-CN"/>
                    </w:rPr>
                    <w:t>质控室通风橱</w:t>
                  </w:r>
                  <w:r>
                    <w:rPr>
                      <w:rFonts w:hint="default" w:ascii="Times New Roman" w:hAnsi="Times New Roman" w:cs="Times New Roman"/>
                      <w:i w:val="0"/>
                      <w:iCs w:val="0"/>
                      <w:color w:val="auto"/>
                      <w:sz w:val="18"/>
                      <w:szCs w:val="18"/>
                      <w:highlight w:val="none"/>
                      <w:u w:val="none"/>
                      <w:lang w:val="en-US" w:eastAsia="zh-CN"/>
                    </w:rPr>
                    <w:t>西墙</w:t>
                  </w:r>
                  <w:r>
                    <w:rPr>
                      <w:rFonts w:hint="default" w:ascii="Times New Roman" w:hAnsi="Times New Roman" w:eastAsia="宋体" w:cs="Times New Roman"/>
                      <w:i w:val="0"/>
                      <w:iCs w:val="0"/>
                      <w:color w:val="auto"/>
                      <w:sz w:val="18"/>
                      <w:szCs w:val="18"/>
                      <w:highlight w:val="none"/>
                      <w:u w:val="none"/>
                      <w:lang w:val="en-US" w:eastAsia="zh-CN"/>
                    </w:rPr>
                    <w:t>外30cm</w:t>
                  </w:r>
                </w:p>
              </w:tc>
              <w:tc>
                <w:tcPr>
                  <w:tcW w:w="2175" w:type="dxa"/>
                  <w:tcBorders>
                    <w:tl2br w:val="nil"/>
                    <w:tr2bl w:val="nil"/>
                  </w:tcBorders>
                  <w:shd w:val="clear" w:color="auto" w:fill="auto"/>
                  <w:vAlign w:val="center"/>
                </w:tcPr>
                <w:p w14:paraId="3C174F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3mmPb+240mm实心砖+20mm硫酸钡</w:t>
                  </w:r>
                </w:p>
              </w:tc>
              <w:tc>
                <w:tcPr>
                  <w:tcW w:w="1258" w:type="dxa"/>
                  <w:tcBorders>
                    <w:tl2br w:val="nil"/>
                    <w:tr2bl w:val="nil"/>
                  </w:tcBorders>
                  <w:shd w:val="clear" w:color="auto" w:fill="auto"/>
                  <w:vAlign w:val="center"/>
                </w:tcPr>
                <w:p w14:paraId="70F266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1.85E+01</w:t>
                  </w:r>
                </w:p>
              </w:tc>
              <w:tc>
                <w:tcPr>
                  <w:tcW w:w="950" w:type="dxa"/>
                  <w:tcBorders>
                    <w:tl2br w:val="nil"/>
                    <w:tr2bl w:val="nil"/>
                  </w:tcBorders>
                  <w:shd w:val="clear" w:color="auto" w:fill="auto"/>
                  <w:vAlign w:val="center"/>
                </w:tcPr>
                <w:p w14:paraId="714F6A2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2.80</w:t>
                  </w:r>
                </w:p>
              </w:tc>
              <w:tc>
                <w:tcPr>
                  <w:tcW w:w="925" w:type="dxa"/>
                  <w:tcBorders>
                    <w:tl2br w:val="nil"/>
                    <w:tr2bl w:val="nil"/>
                  </w:tcBorders>
                  <w:shd w:val="clear" w:color="auto" w:fill="auto"/>
                  <w:vAlign w:val="center"/>
                </w:tcPr>
                <w:p w14:paraId="5F806D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16.6</w:t>
                  </w:r>
                </w:p>
              </w:tc>
              <w:tc>
                <w:tcPr>
                  <w:tcW w:w="1361" w:type="dxa"/>
                  <w:tcBorders>
                    <w:tl2br w:val="nil"/>
                    <w:tr2bl w:val="nil"/>
                  </w:tcBorders>
                  <w:shd w:val="clear" w:color="auto" w:fill="auto"/>
                  <w:vAlign w:val="center"/>
                </w:tcPr>
                <w:p w14:paraId="21ECA6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1.75E-01</w:t>
                  </w:r>
                </w:p>
              </w:tc>
            </w:tr>
            <w:tr w14:paraId="45C6C5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508" w:type="dxa"/>
                  <w:tcBorders>
                    <w:tl2br w:val="nil"/>
                    <w:tr2bl w:val="nil"/>
                  </w:tcBorders>
                  <w:shd w:val="clear" w:color="auto" w:fill="auto"/>
                  <w:vAlign w:val="center"/>
                </w:tcPr>
                <w:p w14:paraId="38D8DF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d</w:t>
                  </w:r>
                </w:p>
              </w:tc>
              <w:tc>
                <w:tcPr>
                  <w:tcW w:w="2261" w:type="dxa"/>
                  <w:tcBorders>
                    <w:tl2br w:val="nil"/>
                    <w:tr2bl w:val="nil"/>
                  </w:tcBorders>
                  <w:shd w:val="clear" w:color="auto" w:fill="auto"/>
                  <w:vAlign w:val="center"/>
                </w:tcPr>
                <w:p w14:paraId="14CC15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sz w:val="18"/>
                      <w:szCs w:val="18"/>
                      <w:highlight w:val="none"/>
                      <w:u w:val="none"/>
                      <w:lang w:val="en-US" w:eastAsia="zh-CN"/>
                    </w:rPr>
                    <w:t>质控室</w:t>
                  </w:r>
                  <w:r>
                    <w:rPr>
                      <w:rFonts w:hint="default" w:ascii="Times New Roman" w:hAnsi="Times New Roman" w:cs="Times New Roman"/>
                      <w:i w:val="0"/>
                      <w:iCs w:val="0"/>
                      <w:color w:val="auto"/>
                      <w:sz w:val="18"/>
                      <w:szCs w:val="18"/>
                      <w:highlight w:val="none"/>
                      <w:u w:val="none"/>
                      <w:lang w:val="en-US" w:eastAsia="zh-CN"/>
                    </w:rPr>
                    <w:t>防护门外30cm</w:t>
                  </w:r>
                </w:p>
              </w:tc>
              <w:tc>
                <w:tcPr>
                  <w:tcW w:w="2175" w:type="dxa"/>
                  <w:tcBorders>
                    <w:tl2br w:val="nil"/>
                    <w:tr2bl w:val="nil"/>
                  </w:tcBorders>
                  <w:shd w:val="clear" w:color="auto" w:fill="auto"/>
                  <w:vAlign w:val="center"/>
                </w:tcPr>
                <w:p w14:paraId="42B4CF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3mmPb+3mmPb</w:t>
                  </w:r>
                </w:p>
              </w:tc>
              <w:tc>
                <w:tcPr>
                  <w:tcW w:w="1258" w:type="dxa"/>
                  <w:tcBorders>
                    <w:tl2br w:val="nil"/>
                    <w:tr2bl w:val="nil"/>
                  </w:tcBorders>
                  <w:shd w:val="clear" w:color="auto" w:fill="auto"/>
                  <w:vAlign w:val="center"/>
                </w:tcPr>
                <w:p w14:paraId="13ECB8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1.85E+01</w:t>
                  </w:r>
                </w:p>
              </w:tc>
              <w:tc>
                <w:tcPr>
                  <w:tcW w:w="950" w:type="dxa"/>
                  <w:tcBorders>
                    <w:tl2br w:val="nil"/>
                    <w:tr2bl w:val="nil"/>
                  </w:tcBorders>
                  <w:shd w:val="clear" w:color="auto" w:fill="auto"/>
                  <w:vAlign w:val="center"/>
                </w:tcPr>
                <w:p w14:paraId="69DF115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4.16</w:t>
                  </w:r>
                </w:p>
              </w:tc>
              <w:tc>
                <w:tcPr>
                  <w:tcW w:w="925" w:type="dxa"/>
                  <w:tcBorders>
                    <w:tl2br w:val="nil"/>
                    <w:tr2bl w:val="nil"/>
                  </w:tcBorders>
                  <w:shd w:val="clear" w:color="auto" w:fill="auto"/>
                  <w:vAlign w:val="center"/>
                </w:tcPr>
                <w:p w14:paraId="165907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16.6</w:t>
                  </w:r>
                </w:p>
              </w:tc>
              <w:tc>
                <w:tcPr>
                  <w:tcW w:w="1361" w:type="dxa"/>
                  <w:tcBorders>
                    <w:tl2br w:val="nil"/>
                    <w:tr2bl w:val="nil"/>
                  </w:tcBorders>
                  <w:shd w:val="clear" w:color="auto" w:fill="auto"/>
                  <w:vAlign w:val="center"/>
                </w:tcPr>
                <w:p w14:paraId="08108A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6.88E-02</w:t>
                  </w:r>
                </w:p>
              </w:tc>
            </w:tr>
            <w:tr w14:paraId="3870C2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508" w:type="dxa"/>
                  <w:tcBorders>
                    <w:tl2br w:val="nil"/>
                    <w:tr2bl w:val="nil"/>
                  </w:tcBorders>
                  <w:shd w:val="clear" w:color="auto" w:fill="auto"/>
                  <w:vAlign w:val="center"/>
                </w:tcPr>
                <w:p w14:paraId="028047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cs="Times New Roman"/>
                      <w:i w:val="0"/>
                      <w:iCs w:val="0"/>
                      <w:color w:val="auto"/>
                      <w:kern w:val="0"/>
                      <w:sz w:val="18"/>
                      <w:szCs w:val="18"/>
                      <w:highlight w:val="none"/>
                      <w:u w:val="none"/>
                      <w:lang w:val="en-US" w:eastAsia="zh-CN" w:bidi="ar"/>
                    </w:rPr>
                    <w:t>e</w:t>
                  </w:r>
                </w:p>
              </w:tc>
              <w:tc>
                <w:tcPr>
                  <w:tcW w:w="2261" w:type="dxa"/>
                  <w:tcBorders>
                    <w:tl2br w:val="nil"/>
                    <w:tr2bl w:val="nil"/>
                  </w:tcBorders>
                  <w:shd w:val="clear" w:color="auto" w:fill="auto"/>
                  <w:vAlign w:val="center"/>
                </w:tcPr>
                <w:p w14:paraId="5DBF64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质控室通风橱</w:t>
                  </w:r>
                  <w:r>
                    <w:rPr>
                      <w:rFonts w:hint="default" w:ascii="Times New Roman" w:hAnsi="Times New Roman" w:cs="Times New Roman"/>
                      <w:i w:val="0"/>
                      <w:iCs w:val="0"/>
                      <w:color w:val="auto"/>
                      <w:sz w:val="18"/>
                      <w:szCs w:val="18"/>
                      <w:highlight w:val="none"/>
                      <w:u w:val="none"/>
                      <w:lang w:val="en-US" w:eastAsia="zh-CN"/>
                    </w:rPr>
                    <w:t>东</w:t>
                  </w:r>
                  <w:r>
                    <w:rPr>
                      <w:rFonts w:hint="default" w:ascii="Times New Roman" w:hAnsi="Times New Roman" w:eastAsia="宋体" w:cs="Times New Roman"/>
                      <w:i w:val="0"/>
                      <w:iCs w:val="0"/>
                      <w:color w:val="auto"/>
                      <w:sz w:val="18"/>
                      <w:szCs w:val="18"/>
                      <w:highlight w:val="none"/>
                      <w:u w:val="none"/>
                      <w:lang w:val="en-US" w:eastAsia="zh-CN"/>
                    </w:rPr>
                    <w:t>墙外30cm</w:t>
                  </w:r>
                </w:p>
              </w:tc>
              <w:tc>
                <w:tcPr>
                  <w:tcW w:w="2175" w:type="dxa"/>
                  <w:tcBorders>
                    <w:tl2br w:val="nil"/>
                    <w:tr2bl w:val="nil"/>
                  </w:tcBorders>
                  <w:shd w:val="clear" w:color="auto" w:fill="auto"/>
                  <w:vAlign w:val="center"/>
                </w:tcPr>
                <w:p w14:paraId="4AF0426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3mmPb+240mm实心砖+20mm硫酸钡</w:t>
                  </w:r>
                </w:p>
              </w:tc>
              <w:tc>
                <w:tcPr>
                  <w:tcW w:w="1258" w:type="dxa"/>
                  <w:tcBorders>
                    <w:tl2br w:val="nil"/>
                    <w:tr2bl w:val="nil"/>
                  </w:tcBorders>
                  <w:shd w:val="clear" w:color="auto" w:fill="auto"/>
                  <w:vAlign w:val="center"/>
                </w:tcPr>
                <w:p w14:paraId="1989A9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1.85E+01</w:t>
                  </w:r>
                </w:p>
              </w:tc>
              <w:tc>
                <w:tcPr>
                  <w:tcW w:w="950" w:type="dxa"/>
                  <w:tcBorders>
                    <w:tl2br w:val="nil"/>
                    <w:tr2bl w:val="nil"/>
                  </w:tcBorders>
                  <w:shd w:val="clear" w:color="auto" w:fill="auto"/>
                  <w:vAlign w:val="center"/>
                </w:tcPr>
                <w:p w14:paraId="5B83A4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3.96</w:t>
                  </w:r>
                </w:p>
              </w:tc>
              <w:tc>
                <w:tcPr>
                  <w:tcW w:w="925" w:type="dxa"/>
                  <w:tcBorders>
                    <w:tl2br w:val="nil"/>
                    <w:tr2bl w:val="nil"/>
                  </w:tcBorders>
                  <w:shd w:val="clear" w:color="auto" w:fill="auto"/>
                  <w:vAlign w:val="center"/>
                </w:tcPr>
                <w:p w14:paraId="296261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16.6</w:t>
                  </w:r>
                </w:p>
              </w:tc>
              <w:tc>
                <w:tcPr>
                  <w:tcW w:w="1361" w:type="dxa"/>
                  <w:tcBorders>
                    <w:tl2br w:val="nil"/>
                    <w:tr2bl w:val="nil"/>
                  </w:tcBorders>
                  <w:shd w:val="clear" w:color="auto" w:fill="auto"/>
                  <w:vAlign w:val="center"/>
                </w:tcPr>
                <w:p w14:paraId="3AD227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8.73E-02</w:t>
                  </w:r>
                </w:p>
              </w:tc>
            </w:tr>
            <w:tr w14:paraId="3CFE9F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508" w:type="dxa"/>
                  <w:tcBorders>
                    <w:tl2br w:val="nil"/>
                    <w:tr2bl w:val="nil"/>
                  </w:tcBorders>
                  <w:shd w:val="clear" w:color="auto" w:fill="auto"/>
                  <w:vAlign w:val="center"/>
                </w:tcPr>
                <w:p w14:paraId="1E1DF8D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cs="Times New Roman"/>
                      <w:i w:val="0"/>
                      <w:iCs w:val="0"/>
                      <w:color w:val="auto"/>
                      <w:kern w:val="0"/>
                      <w:sz w:val="18"/>
                      <w:szCs w:val="18"/>
                      <w:highlight w:val="none"/>
                      <w:u w:val="none"/>
                      <w:lang w:val="en-US" w:eastAsia="zh-CN" w:bidi="ar"/>
                    </w:rPr>
                    <w:t>f</w:t>
                  </w:r>
                </w:p>
              </w:tc>
              <w:tc>
                <w:tcPr>
                  <w:tcW w:w="2261" w:type="dxa"/>
                  <w:tcBorders>
                    <w:tl2br w:val="nil"/>
                    <w:tr2bl w:val="nil"/>
                  </w:tcBorders>
                  <w:shd w:val="clear" w:color="auto" w:fill="auto"/>
                  <w:vAlign w:val="center"/>
                </w:tcPr>
                <w:p w14:paraId="7B4806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质控室通风橱</w:t>
                  </w:r>
                  <w:r>
                    <w:rPr>
                      <w:rFonts w:hint="default" w:ascii="Times New Roman" w:hAnsi="Times New Roman" w:cs="Times New Roman"/>
                      <w:i w:val="0"/>
                      <w:iCs w:val="0"/>
                      <w:color w:val="auto"/>
                      <w:sz w:val="18"/>
                      <w:szCs w:val="18"/>
                      <w:highlight w:val="none"/>
                      <w:u w:val="none"/>
                      <w:lang w:val="en-US" w:eastAsia="zh-CN"/>
                    </w:rPr>
                    <w:t>南</w:t>
                  </w:r>
                  <w:r>
                    <w:rPr>
                      <w:rFonts w:hint="default" w:ascii="Times New Roman" w:hAnsi="Times New Roman" w:eastAsia="宋体" w:cs="Times New Roman"/>
                      <w:i w:val="0"/>
                      <w:iCs w:val="0"/>
                      <w:color w:val="auto"/>
                      <w:sz w:val="18"/>
                      <w:szCs w:val="18"/>
                      <w:highlight w:val="none"/>
                      <w:u w:val="none"/>
                      <w:lang w:val="en-US" w:eastAsia="zh-CN"/>
                    </w:rPr>
                    <w:t>墙外30cm</w:t>
                  </w:r>
                </w:p>
              </w:tc>
              <w:tc>
                <w:tcPr>
                  <w:tcW w:w="2175" w:type="dxa"/>
                  <w:tcBorders>
                    <w:tl2br w:val="nil"/>
                    <w:tr2bl w:val="nil"/>
                  </w:tcBorders>
                  <w:shd w:val="clear" w:color="auto" w:fill="auto"/>
                  <w:vAlign w:val="center"/>
                </w:tcPr>
                <w:p w14:paraId="0A0CCE0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3mmPb+240mm实心砖+20mm硫酸钡</w:t>
                  </w:r>
                </w:p>
              </w:tc>
              <w:tc>
                <w:tcPr>
                  <w:tcW w:w="1258" w:type="dxa"/>
                  <w:tcBorders>
                    <w:tl2br w:val="nil"/>
                    <w:tr2bl w:val="nil"/>
                  </w:tcBorders>
                  <w:shd w:val="clear" w:color="auto" w:fill="auto"/>
                  <w:vAlign w:val="center"/>
                </w:tcPr>
                <w:p w14:paraId="645CF8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1.85E+01</w:t>
                  </w:r>
                </w:p>
              </w:tc>
              <w:tc>
                <w:tcPr>
                  <w:tcW w:w="950" w:type="dxa"/>
                  <w:tcBorders>
                    <w:tl2br w:val="nil"/>
                    <w:tr2bl w:val="nil"/>
                  </w:tcBorders>
                  <w:shd w:val="clear" w:color="auto" w:fill="auto"/>
                  <w:vAlign w:val="center"/>
                </w:tcPr>
                <w:p w14:paraId="73CD14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1.13</w:t>
                  </w:r>
                </w:p>
              </w:tc>
              <w:tc>
                <w:tcPr>
                  <w:tcW w:w="925" w:type="dxa"/>
                  <w:tcBorders>
                    <w:tl2br w:val="nil"/>
                    <w:tr2bl w:val="nil"/>
                  </w:tcBorders>
                  <w:shd w:val="clear" w:color="auto" w:fill="auto"/>
                  <w:vAlign w:val="center"/>
                </w:tcPr>
                <w:p w14:paraId="03D2D6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16.6</w:t>
                  </w:r>
                </w:p>
              </w:tc>
              <w:tc>
                <w:tcPr>
                  <w:tcW w:w="1361" w:type="dxa"/>
                  <w:tcBorders>
                    <w:tl2br w:val="nil"/>
                    <w:tr2bl w:val="nil"/>
                  </w:tcBorders>
                  <w:shd w:val="clear" w:color="auto" w:fill="auto"/>
                  <w:vAlign w:val="center"/>
                </w:tcPr>
                <w:p w14:paraId="5BEB2B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1.07E+00</w:t>
                  </w:r>
                </w:p>
              </w:tc>
            </w:tr>
            <w:tr w14:paraId="04DE1C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2" w:hRule="atLeast"/>
              </w:trPr>
              <w:tc>
                <w:tcPr>
                  <w:tcW w:w="508" w:type="dxa"/>
                  <w:tcBorders>
                    <w:tl2br w:val="nil"/>
                    <w:tr2bl w:val="nil"/>
                  </w:tcBorders>
                  <w:shd w:val="clear" w:color="auto" w:fill="auto"/>
                  <w:vAlign w:val="center"/>
                </w:tcPr>
                <w:p w14:paraId="5830F9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cs="Times New Roman"/>
                      <w:i w:val="0"/>
                      <w:iCs w:val="0"/>
                      <w:color w:val="auto"/>
                      <w:kern w:val="0"/>
                      <w:sz w:val="18"/>
                      <w:szCs w:val="18"/>
                      <w:highlight w:val="none"/>
                      <w:u w:val="none"/>
                      <w:lang w:val="en-US" w:eastAsia="zh-CN" w:bidi="ar"/>
                    </w:rPr>
                    <w:t>g</w:t>
                  </w:r>
                </w:p>
              </w:tc>
              <w:tc>
                <w:tcPr>
                  <w:tcW w:w="2261" w:type="dxa"/>
                  <w:tcBorders>
                    <w:tl2br w:val="nil"/>
                    <w:tr2bl w:val="nil"/>
                  </w:tcBorders>
                  <w:shd w:val="clear" w:color="auto" w:fill="auto"/>
                  <w:vAlign w:val="center"/>
                </w:tcPr>
                <w:p w14:paraId="45EFCBD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rPr>
                    <w:t>质控室</w:t>
                  </w:r>
                  <w:r>
                    <w:rPr>
                      <w:rFonts w:hint="default" w:ascii="Times New Roman" w:hAnsi="Times New Roman" w:cs="Times New Roman"/>
                      <w:i w:val="0"/>
                      <w:iCs w:val="0"/>
                      <w:color w:val="auto"/>
                      <w:sz w:val="18"/>
                      <w:szCs w:val="18"/>
                      <w:highlight w:val="none"/>
                      <w:u w:val="none"/>
                      <w:lang w:val="en-US" w:eastAsia="zh-CN"/>
                    </w:rPr>
                    <w:t>屋顶外100cm</w:t>
                  </w:r>
                </w:p>
              </w:tc>
              <w:tc>
                <w:tcPr>
                  <w:tcW w:w="2175" w:type="dxa"/>
                  <w:tcBorders>
                    <w:tl2br w:val="nil"/>
                    <w:tr2bl w:val="nil"/>
                  </w:tcBorders>
                  <w:shd w:val="clear" w:color="auto" w:fill="auto"/>
                  <w:vAlign w:val="center"/>
                </w:tcPr>
                <w:p w14:paraId="71BF0D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3mmPb+240mm实心砖+20mm硫酸钡</w:t>
                  </w:r>
                </w:p>
              </w:tc>
              <w:tc>
                <w:tcPr>
                  <w:tcW w:w="1258" w:type="dxa"/>
                  <w:tcBorders>
                    <w:tl2br w:val="nil"/>
                    <w:tr2bl w:val="nil"/>
                  </w:tcBorders>
                  <w:shd w:val="clear" w:color="auto" w:fill="auto"/>
                  <w:vAlign w:val="center"/>
                </w:tcPr>
                <w:p w14:paraId="1D0CAC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1.85E+01</w:t>
                  </w:r>
                </w:p>
              </w:tc>
              <w:tc>
                <w:tcPr>
                  <w:tcW w:w="950" w:type="dxa"/>
                  <w:tcBorders>
                    <w:tl2br w:val="nil"/>
                    <w:tr2bl w:val="nil"/>
                  </w:tcBorders>
                  <w:shd w:val="clear" w:color="auto" w:fill="auto"/>
                  <w:vAlign w:val="center"/>
                </w:tcPr>
                <w:p w14:paraId="0E0F445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5.5</w:t>
                  </w:r>
                </w:p>
              </w:tc>
              <w:tc>
                <w:tcPr>
                  <w:tcW w:w="925" w:type="dxa"/>
                  <w:tcBorders>
                    <w:tl2br w:val="nil"/>
                    <w:tr2bl w:val="nil"/>
                  </w:tcBorders>
                  <w:shd w:val="clear" w:color="auto" w:fill="auto"/>
                  <w:vAlign w:val="center"/>
                </w:tcPr>
                <w:p w14:paraId="5E7D4F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16.6</w:t>
                  </w:r>
                </w:p>
              </w:tc>
              <w:tc>
                <w:tcPr>
                  <w:tcW w:w="1361" w:type="dxa"/>
                  <w:tcBorders>
                    <w:tl2br w:val="nil"/>
                    <w:tr2bl w:val="nil"/>
                  </w:tcBorders>
                  <w:shd w:val="clear" w:color="auto" w:fill="auto"/>
                  <w:vAlign w:val="center"/>
                </w:tcPr>
                <w:p w14:paraId="52B7FA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4.52E-02</w:t>
                  </w:r>
                </w:p>
              </w:tc>
            </w:tr>
          </w:tbl>
          <w:p w14:paraId="25E1C978">
            <w:pPr>
              <w:keepNext w:val="0"/>
              <w:keepLines w:val="0"/>
              <w:suppressLineNumbers w:val="0"/>
              <w:spacing w:before="0" w:beforeLines="0" w:beforeAutospacing="0" w:after="0" w:afterLines="0" w:afterAutospacing="0" w:line="360" w:lineRule="auto"/>
              <w:ind w:left="0" w:right="0" w:firstLine="420" w:firstLineChars="200"/>
              <w:jc w:val="both"/>
              <w:rPr>
                <w:rFonts w:hint="default" w:ascii="Times New Roman" w:hAnsi="Times New Roman" w:eastAsia="宋体" w:cs="Times New Roman"/>
                <w:b w:val="0"/>
                <w:bCs/>
                <w:color w:val="auto"/>
                <w:sz w:val="21"/>
                <w:szCs w:val="20"/>
                <w:highlight w:val="none"/>
                <w:lang w:val="en-US" w:eastAsia="zh-CN"/>
              </w:rPr>
            </w:pPr>
            <w:r>
              <w:rPr>
                <w:rFonts w:hint="eastAsia" w:cs="Times New Roman"/>
                <w:b w:val="0"/>
                <w:bCs/>
                <w:color w:val="auto"/>
                <w:sz w:val="21"/>
                <w:szCs w:val="20"/>
                <w:highlight w:val="none"/>
                <w:lang w:val="en-US" w:eastAsia="zh-CN"/>
              </w:rPr>
              <w:t>注：</w:t>
            </w:r>
            <w:r>
              <w:rPr>
                <w:rFonts w:hint="default" w:ascii="Times New Roman" w:hAnsi="Times New Roman" w:eastAsia="宋体" w:cs="Times New Roman"/>
                <w:b w:val="0"/>
                <w:bCs/>
                <w:color w:val="auto"/>
                <w:sz w:val="21"/>
                <w:szCs w:val="20"/>
                <w:highlight w:val="none"/>
                <w:lang w:val="en-US" w:eastAsia="zh-CN"/>
              </w:rPr>
              <w:t>240mm实心砖+20mm硫酸钡，保守折算为2mmPb。</w:t>
            </w:r>
          </w:p>
          <w:p w14:paraId="3C040F2F">
            <w:pPr>
              <w:keepNext w:val="0"/>
              <w:keepLines w:val="0"/>
              <w:suppressLineNumbers w:val="0"/>
              <w:spacing w:before="0" w:beforeLines="0" w:beforeAutospacing="0" w:after="0" w:afterLines="0" w:afterAutospacing="0" w:line="360" w:lineRule="auto"/>
              <w:ind w:left="0" w:right="0" w:firstLine="482" w:firstLineChars="200"/>
              <w:jc w:val="center"/>
              <w:rPr>
                <w:rFonts w:hint="default" w:ascii="Times New Roman" w:hAnsi="Times New Roman" w:eastAsia="宋体" w:cs="Times New Roman"/>
                <w:b/>
                <w:color w:val="auto"/>
                <w:sz w:val="24"/>
                <w:szCs w:val="22"/>
                <w:highlight w:val="none"/>
                <w:lang w:eastAsia="zh-CN"/>
              </w:rPr>
            </w:pPr>
          </w:p>
          <w:p w14:paraId="7CC75D9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b/>
                <w:bCs w:val="0"/>
                <w:color w:val="auto"/>
                <w:sz w:val="24"/>
                <w:szCs w:val="24"/>
                <w:highlight w:val="none"/>
              </w:rPr>
            </w:pPr>
            <w:r>
              <w:rPr>
                <w:rFonts w:hint="eastAsia" w:cs="Times New Roman"/>
                <w:b/>
                <w:bCs w:val="0"/>
                <w:color w:val="auto"/>
                <w:sz w:val="24"/>
                <w:szCs w:val="24"/>
                <w:highlight w:val="none"/>
                <w:lang w:val="en-US" w:eastAsia="zh-CN"/>
              </w:rPr>
              <w:t>图10-3  质控室关注点位示意图</w:t>
            </w:r>
          </w:p>
          <w:p w14:paraId="1F11EE83">
            <w:pPr>
              <w:pStyle w:val="14"/>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4"/>
                <w:szCs w:val="22"/>
                <w:highlight w:val="none"/>
                <w:lang w:eastAsia="zh-CN"/>
              </w:rPr>
            </w:pPr>
            <w:r>
              <w:rPr>
                <w:rFonts w:hint="default" w:ascii="Times New Roman" w:hAnsi="Times New Roman" w:cs="Times New Roman"/>
                <w:b/>
                <w:color w:val="auto"/>
                <w:sz w:val="24"/>
                <w:szCs w:val="22"/>
                <w:highlight w:val="none"/>
                <w:lang w:val="en-US" w:eastAsia="zh-CN"/>
              </w:rPr>
              <w:t>表11-</w:t>
            </w:r>
            <w:r>
              <w:rPr>
                <w:rFonts w:hint="eastAsia" w:ascii="Times New Roman" w:hAnsi="Times New Roman" w:cs="Times New Roman"/>
                <w:b/>
                <w:color w:val="auto"/>
                <w:sz w:val="24"/>
                <w:szCs w:val="22"/>
                <w:highlight w:val="none"/>
                <w:lang w:val="en-US" w:eastAsia="zh-CN"/>
              </w:rPr>
              <w:t>6</w:t>
            </w:r>
            <w:r>
              <w:rPr>
                <w:rFonts w:hint="default" w:ascii="Times New Roman" w:hAnsi="Times New Roman" w:cs="Times New Roman"/>
                <w:b/>
                <w:color w:val="auto"/>
                <w:sz w:val="24"/>
                <w:szCs w:val="22"/>
                <w:highlight w:val="none"/>
                <w:lang w:val="en-US" w:eastAsia="zh-CN"/>
              </w:rPr>
              <w:t xml:space="preserve">  </w:t>
            </w:r>
            <w:r>
              <w:rPr>
                <w:rFonts w:hint="default" w:ascii="Times New Roman" w:hAnsi="Times New Roman" w:cs="Times New Roman"/>
                <w:b/>
                <w:color w:val="auto"/>
                <w:sz w:val="24"/>
                <w:szCs w:val="22"/>
                <w:highlight w:val="none"/>
                <w:lang w:eastAsia="zh-CN"/>
              </w:rPr>
              <w:t>单光</w:t>
            </w:r>
            <w:r>
              <w:rPr>
                <w:rFonts w:hint="default" w:ascii="Times New Roman" w:hAnsi="Times New Roman" w:cs="Times New Roman"/>
                <w:b/>
                <w:color w:val="auto"/>
                <w:sz w:val="24"/>
                <w:szCs w:val="22"/>
                <w:highlight w:val="none"/>
                <w:lang w:val="en-US" w:eastAsia="zh-CN"/>
              </w:rPr>
              <w:t>子药物</w:t>
            </w:r>
            <w:r>
              <w:rPr>
                <w:rFonts w:hint="default" w:ascii="Times New Roman" w:hAnsi="Times New Roman" w:cs="Times New Roman"/>
                <w:b/>
                <w:color w:val="auto"/>
                <w:sz w:val="24"/>
                <w:szCs w:val="22"/>
                <w:highlight w:val="none"/>
                <w:lang w:eastAsia="zh-CN"/>
              </w:rPr>
              <w:t>生产车间各关注点预测结果</w:t>
            </w:r>
          </w:p>
          <w:tbl>
            <w:tblPr>
              <w:tblStyle w:val="22"/>
              <w:tblW w:w="9478" w:type="dxa"/>
              <w:tblInd w:w="7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10"/>
              <w:gridCol w:w="2029"/>
              <w:gridCol w:w="2426"/>
              <w:gridCol w:w="1263"/>
              <w:gridCol w:w="954"/>
              <w:gridCol w:w="929"/>
              <w:gridCol w:w="1367"/>
            </w:tblGrid>
            <w:tr w14:paraId="05500F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7" w:hRule="atLeast"/>
              </w:trPr>
              <w:tc>
                <w:tcPr>
                  <w:tcW w:w="2539" w:type="dxa"/>
                  <w:gridSpan w:val="2"/>
                  <w:tcBorders>
                    <w:tl2br w:val="nil"/>
                    <w:tr2bl w:val="nil"/>
                  </w:tcBorders>
                  <w:shd w:val="clear" w:color="auto" w:fill="auto"/>
                  <w:vAlign w:val="center"/>
                </w:tcPr>
                <w:p w14:paraId="1A4CB9A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关注点位置</w:t>
                  </w:r>
                </w:p>
              </w:tc>
              <w:tc>
                <w:tcPr>
                  <w:tcW w:w="2426" w:type="dxa"/>
                  <w:tcBorders>
                    <w:tl2br w:val="nil"/>
                    <w:tr2bl w:val="nil"/>
                  </w:tcBorders>
                  <w:shd w:val="clear" w:color="auto" w:fill="auto"/>
                  <w:vAlign w:val="center"/>
                </w:tcPr>
                <w:p w14:paraId="1AC269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屏蔽及厚度</w:t>
                  </w:r>
                </w:p>
              </w:tc>
              <w:tc>
                <w:tcPr>
                  <w:tcW w:w="1263" w:type="dxa"/>
                  <w:tcBorders>
                    <w:tl2br w:val="nil"/>
                    <w:tr2bl w:val="nil"/>
                  </w:tcBorders>
                  <w:shd w:val="clear" w:color="auto" w:fill="auto"/>
                  <w:vAlign w:val="center"/>
                </w:tcPr>
                <w:p w14:paraId="4C8A1D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A（MBq）</w:t>
                  </w:r>
                </w:p>
              </w:tc>
              <w:tc>
                <w:tcPr>
                  <w:tcW w:w="954" w:type="dxa"/>
                  <w:tcBorders>
                    <w:tl2br w:val="nil"/>
                    <w:tr2bl w:val="nil"/>
                  </w:tcBorders>
                  <w:shd w:val="clear" w:color="auto" w:fill="auto"/>
                  <w:vAlign w:val="center"/>
                </w:tcPr>
                <w:p w14:paraId="329158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r（m）</w:t>
                  </w:r>
                </w:p>
              </w:tc>
              <w:tc>
                <w:tcPr>
                  <w:tcW w:w="929" w:type="dxa"/>
                  <w:tcBorders>
                    <w:tl2br w:val="nil"/>
                    <w:tr2bl w:val="nil"/>
                  </w:tcBorders>
                  <w:shd w:val="clear" w:color="auto" w:fill="auto"/>
                  <w:vAlign w:val="center"/>
                </w:tcPr>
                <w:p w14:paraId="428060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TVL</w:t>
                  </w:r>
                </w:p>
              </w:tc>
              <w:tc>
                <w:tcPr>
                  <w:tcW w:w="1367" w:type="dxa"/>
                  <w:tcBorders>
                    <w:tl2br w:val="nil"/>
                    <w:tr2bl w:val="nil"/>
                  </w:tcBorders>
                  <w:shd w:val="clear" w:color="auto" w:fill="auto"/>
                  <w:vAlign w:val="center"/>
                </w:tcPr>
                <w:p w14:paraId="0F14F7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rPr>
                  </w:pPr>
                  <w:r>
                    <w:rPr>
                      <w:rFonts w:hint="default" w:ascii="Times New Roman" w:hAnsi="Times New Roman" w:eastAsia="宋体" w:cs="Times New Roman"/>
                      <w:i w:val="0"/>
                      <w:iCs w:val="0"/>
                      <w:color w:val="auto"/>
                      <w:kern w:val="0"/>
                      <w:sz w:val="18"/>
                      <w:szCs w:val="18"/>
                      <w:highlight w:val="none"/>
                      <w:u w:val="none"/>
                      <w:lang w:val="en-US" w:eastAsia="zh-CN" w:bidi="ar"/>
                    </w:rPr>
                    <w:t>剂量率估算结果</w:t>
                  </w:r>
                </w:p>
              </w:tc>
            </w:tr>
            <w:tr w14:paraId="5D6D82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2" w:hRule="atLeast"/>
              </w:trPr>
              <w:tc>
                <w:tcPr>
                  <w:tcW w:w="510" w:type="dxa"/>
                  <w:tcBorders>
                    <w:tl2br w:val="nil"/>
                    <w:tr2bl w:val="nil"/>
                  </w:tcBorders>
                  <w:shd w:val="clear" w:color="auto" w:fill="auto"/>
                  <w:vAlign w:val="center"/>
                </w:tcPr>
                <w:p w14:paraId="14B1AC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A</w:t>
                  </w:r>
                </w:p>
              </w:tc>
              <w:tc>
                <w:tcPr>
                  <w:tcW w:w="2029" w:type="dxa"/>
                  <w:tcBorders>
                    <w:tl2br w:val="nil"/>
                    <w:tr2bl w:val="nil"/>
                  </w:tcBorders>
                  <w:shd w:val="clear" w:color="auto" w:fill="auto"/>
                  <w:vAlign w:val="center"/>
                </w:tcPr>
                <w:p w14:paraId="27AE62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通风橱正面30cm（人员操作位）</w:t>
                  </w:r>
                </w:p>
              </w:tc>
              <w:tc>
                <w:tcPr>
                  <w:tcW w:w="2426" w:type="dxa"/>
                  <w:tcBorders>
                    <w:tl2br w:val="nil"/>
                    <w:tr2bl w:val="nil"/>
                  </w:tcBorders>
                  <w:shd w:val="clear" w:color="auto" w:fill="auto"/>
                  <w:vAlign w:val="center"/>
                </w:tcPr>
                <w:p w14:paraId="48B01F6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20</w:t>
                  </w:r>
                  <w:r>
                    <w:rPr>
                      <w:rFonts w:hint="default" w:ascii="Times New Roman" w:hAnsi="Times New Roman" w:eastAsia="宋体" w:cs="Times New Roman"/>
                      <w:i w:val="0"/>
                      <w:iCs w:val="0"/>
                      <w:color w:val="auto"/>
                      <w:sz w:val="18"/>
                      <w:szCs w:val="18"/>
                      <w:highlight w:val="none"/>
                      <w:u w:val="none"/>
                      <w:lang w:val="en-US" w:eastAsia="zh-CN"/>
                    </w:rPr>
                    <w:t>mmPb</w:t>
                  </w:r>
                </w:p>
              </w:tc>
              <w:tc>
                <w:tcPr>
                  <w:tcW w:w="1263" w:type="dxa"/>
                  <w:tcBorders>
                    <w:tl2br w:val="nil"/>
                    <w:tr2bl w:val="nil"/>
                  </w:tcBorders>
                  <w:shd w:val="clear" w:color="auto" w:fill="auto"/>
                  <w:vAlign w:val="center"/>
                </w:tcPr>
                <w:p w14:paraId="4709A35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7.40E+04</w:t>
                  </w:r>
                </w:p>
              </w:tc>
              <w:tc>
                <w:tcPr>
                  <w:tcW w:w="954" w:type="dxa"/>
                  <w:tcBorders>
                    <w:tl2br w:val="nil"/>
                    <w:tr2bl w:val="nil"/>
                  </w:tcBorders>
                  <w:shd w:val="clear" w:color="auto" w:fill="auto"/>
                  <w:vAlign w:val="center"/>
                </w:tcPr>
                <w:p w14:paraId="5DA9F65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0.8</w:t>
                  </w:r>
                </w:p>
              </w:tc>
              <w:tc>
                <w:tcPr>
                  <w:tcW w:w="929" w:type="dxa"/>
                  <w:tcBorders>
                    <w:tl2br w:val="nil"/>
                    <w:tr2bl w:val="nil"/>
                  </w:tcBorders>
                  <w:shd w:val="clear" w:color="auto" w:fill="auto"/>
                  <w:vAlign w:val="center"/>
                </w:tcPr>
                <w:p w14:paraId="1EADF50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w:t>
                  </w:r>
                </w:p>
              </w:tc>
              <w:tc>
                <w:tcPr>
                  <w:tcW w:w="1367" w:type="dxa"/>
                  <w:tcBorders>
                    <w:tl2br w:val="nil"/>
                    <w:tr2bl w:val="nil"/>
                  </w:tcBorders>
                  <w:shd w:val="clear" w:color="auto" w:fill="auto"/>
                  <w:vAlign w:val="center"/>
                </w:tcPr>
                <w:p w14:paraId="35AF4E8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3.50E-17</w:t>
                  </w:r>
                </w:p>
              </w:tc>
            </w:tr>
            <w:tr w14:paraId="195430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7" w:hRule="atLeast"/>
              </w:trPr>
              <w:tc>
                <w:tcPr>
                  <w:tcW w:w="510" w:type="dxa"/>
                  <w:tcBorders>
                    <w:tl2br w:val="nil"/>
                    <w:tr2bl w:val="nil"/>
                  </w:tcBorders>
                  <w:shd w:val="clear" w:color="auto" w:fill="auto"/>
                  <w:vAlign w:val="center"/>
                </w:tcPr>
                <w:p w14:paraId="66C0D6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B</w:t>
                  </w:r>
                </w:p>
              </w:tc>
              <w:tc>
                <w:tcPr>
                  <w:tcW w:w="2029" w:type="dxa"/>
                  <w:tcBorders>
                    <w:tl2br w:val="nil"/>
                    <w:tr2bl w:val="nil"/>
                  </w:tcBorders>
                  <w:shd w:val="clear" w:color="auto" w:fill="auto"/>
                  <w:vAlign w:val="center"/>
                </w:tcPr>
                <w:p w14:paraId="55318B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sz w:val="18"/>
                      <w:szCs w:val="18"/>
                      <w:highlight w:val="none"/>
                      <w:u w:val="none"/>
                      <w:lang w:val="en-US" w:eastAsia="zh-CN"/>
                    </w:rPr>
                    <w:t>通风橱</w:t>
                  </w:r>
                  <w:r>
                    <w:rPr>
                      <w:rFonts w:hint="default" w:ascii="Times New Roman" w:hAnsi="Times New Roman" w:cs="Times New Roman"/>
                      <w:i w:val="0"/>
                      <w:iCs w:val="0"/>
                      <w:color w:val="auto"/>
                      <w:sz w:val="18"/>
                      <w:szCs w:val="18"/>
                      <w:highlight w:val="none"/>
                      <w:u w:val="none"/>
                      <w:lang w:val="en-US" w:eastAsia="zh-CN"/>
                    </w:rPr>
                    <w:t>侧</w:t>
                  </w:r>
                  <w:r>
                    <w:rPr>
                      <w:rFonts w:hint="default" w:ascii="Times New Roman" w:hAnsi="Times New Roman" w:eastAsia="宋体" w:cs="Times New Roman"/>
                      <w:i w:val="0"/>
                      <w:iCs w:val="0"/>
                      <w:color w:val="auto"/>
                      <w:sz w:val="18"/>
                      <w:szCs w:val="18"/>
                      <w:highlight w:val="none"/>
                      <w:u w:val="none"/>
                      <w:lang w:val="en-US" w:eastAsia="zh-CN"/>
                    </w:rPr>
                    <w:t>面30cm</w:t>
                  </w:r>
                </w:p>
              </w:tc>
              <w:tc>
                <w:tcPr>
                  <w:tcW w:w="2426" w:type="dxa"/>
                  <w:tcBorders>
                    <w:tl2br w:val="nil"/>
                    <w:tr2bl w:val="nil"/>
                  </w:tcBorders>
                  <w:shd w:val="clear" w:color="auto" w:fill="auto"/>
                  <w:vAlign w:val="center"/>
                </w:tcPr>
                <w:p w14:paraId="0F66EDD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20</w:t>
                  </w:r>
                  <w:r>
                    <w:rPr>
                      <w:rFonts w:hint="default" w:ascii="Times New Roman" w:hAnsi="Times New Roman" w:eastAsia="宋体" w:cs="Times New Roman"/>
                      <w:i w:val="0"/>
                      <w:iCs w:val="0"/>
                      <w:color w:val="auto"/>
                      <w:sz w:val="18"/>
                      <w:szCs w:val="18"/>
                      <w:highlight w:val="none"/>
                      <w:u w:val="none"/>
                      <w:lang w:val="en-US" w:eastAsia="zh-CN"/>
                    </w:rPr>
                    <w:t>mmPb</w:t>
                  </w:r>
                </w:p>
              </w:tc>
              <w:tc>
                <w:tcPr>
                  <w:tcW w:w="1263" w:type="dxa"/>
                  <w:tcBorders>
                    <w:tl2br w:val="nil"/>
                    <w:tr2bl w:val="nil"/>
                  </w:tcBorders>
                  <w:shd w:val="clear" w:color="auto" w:fill="auto"/>
                  <w:vAlign w:val="center"/>
                </w:tcPr>
                <w:p w14:paraId="467E0C9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7.40E+04</w:t>
                  </w:r>
                </w:p>
              </w:tc>
              <w:tc>
                <w:tcPr>
                  <w:tcW w:w="954" w:type="dxa"/>
                  <w:tcBorders>
                    <w:tl2br w:val="nil"/>
                    <w:tr2bl w:val="nil"/>
                  </w:tcBorders>
                  <w:shd w:val="clear" w:color="auto" w:fill="auto"/>
                  <w:vAlign w:val="center"/>
                </w:tcPr>
                <w:p w14:paraId="0703DE4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0.8</w:t>
                  </w:r>
                </w:p>
              </w:tc>
              <w:tc>
                <w:tcPr>
                  <w:tcW w:w="929" w:type="dxa"/>
                  <w:tcBorders>
                    <w:tl2br w:val="nil"/>
                    <w:tr2bl w:val="nil"/>
                  </w:tcBorders>
                  <w:shd w:val="clear" w:color="auto" w:fill="auto"/>
                  <w:vAlign w:val="center"/>
                </w:tcPr>
                <w:p w14:paraId="2F20931D">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w:t>
                  </w:r>
                </w:p>
              </w:tc>
              <w:tc>
                <w:tcPr>
                  <w:tcW w:w="1367" w:type="dxa"/>
                  <w:tcBorders>
                    <w:tl2br w:val="nil"/>
                    <w:tr2bl w:val="nil"/>
                  </w:tcBorders>
                  <w:shd w:val="clear" w:color="auto" w:fill="auto"/>
                  <w:vAlign w:val="center"/>
                </w:tcPr>
                <w:p w14:paraId="21BD8F9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3.50E-17</w:t>
                  </w:r>
                </w:p>
              </w:tc>
            </w:tr>
            <w:tr w14:paraId="019DCD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2" w:hRule="atLeast"/>
              </w:trPr>
              <w:tc>
                <w:tcPr>
                  <w:tcW w:w="510" w:type="dxa"/>
                  <w:tcBorders>
                    <w:tl2br w:val="nil"/>
                    <w:tr2bl w:val="nil"/>
                  </w:tcBorders>
                  <w:shd w:val="clear" w:color="auto" w:fill="auto"/>
                  <w:vAlign w:val="center"/>
                </w:tcPr>
                <w:p w14:paraId="54A6528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C</w:t>
                  </w:r>
                </w:p>
              </w:tc>
              <w:tc>
                <w:tcPr>
                  <w:tcW w:w="2029" w:type="dxa"/>
                  <w:tcBorders>
                    <w:tl2br w:val="nil"/>
                    <w:tr2bl w:val="nil"/>
                  </w:tcBorders>
                  <w:shd w:val="clear" w:color="auto" w:fill="auto"/>
                  <w:vAlign w:val="center"/>
                </w:tcPr>
                <w:p w14:paraId="171DD3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eastAsia="zh-CN"/>
                    </w:rPr>
                  </w:pPr>
                  <w:r>
                    <w:rPr>
                      <w:rFonts w:hint="default" w:ascii="Times New Roman" w:hAnsi="Times New Roman" w:cs="Times New Roman"/>
                      <w:i w:val="0"/>
                      <w:iCs w:val="0"/>
                      <w:color w:val="auto"/>
                      <w:sz w:val="18"/>
                      <w:szCs w:val="18"/>
                      <w:highlight w:val="none"/>
                      <w:u w:val="none"/>
                      <w:lang w:eastAsia="zh-CN"/>
                    </w:rPr>
                    <w:t>生产车间东墙外</w:t>
                  </w:r>
                  <w:r>
                    <w:rPr>
                      <w:rFonts w:hint="default" w:ascii="Times New Roman" w:hAnsi="Times New Roman" w:cs="Times New Roman"/>
                      <w:i w:val="0"/>
                      <w:iCs w:val="0"/>
                      <w:color w:val="auto"/>
                      <w:sz w:val="18"/>
                      <w:szCs w:val="18"/>
                      <w:highlight w:val="none"/>
                      <w:u w:val="none"/>
                      <w:lang w:val="en-US" w:eastAsia="zh-CN"/>
                    </w:rPr>
                    <w:t>30cm</w:t>
                  </w:r>
                </w:p>
              </w:tc>
              <w:tc>
                <w:tcPr>
                  <w:tcW w:w="2426" w:type="dxa"/>
                  <w:tcBorders>
                    <w:tl2br w:val="nil"/>
                    <w:tr2bl w:val="nil"/>
                  </w:tcBorders>
                  <w:shd w:val="clear" w:color="auto" w:fill="auto"/>
                  <w:vAlign w:val="center"/>
                </w:tcPr>
                <w:p w14:paraId="3018769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20</w:t>
                  </w:r>
                  <w:r>
                    <w:rPr>
                      <w:rFonts w:hint="default" w:ascii="Times New Roman" w:hAnsi="Times New Roman" w:eastAsia="宋体" w:cs="Times New Roman"/>
                      <w:i w:val="0"/>
                      <w:iCs w:val="0"/>
                      <w:color w:val="auto"/>
                      <w:sz w:val="18"/>
                      <w:szCs w:val="18"/>
                      <w:highlight w:val="none"/>
                      <w:u w:val="none"/>
                      <w:lang w:val="en-US" w:eastAsia="zh-CN"/>
                    </w:rPr>
                    <w:t>mmPb+240mm实心砖+20mm硫酸钡</w:t>
                  </w:r>
                </w:p>
              </w:tc>
              <w:tc>
                <w:tcPr>
                  <w:tcW w:w="1263" w:type="dxa"/>
                  <w:tcBorders>
                    <w:tl2br w:val="nil"/>
                    <w:tr2bl w:val="nil"/>
                  </w:tcBorders>
                  <w:shd w:val="clear" w:color="auto" w:fill="auto"/>
                  <w:vAlign w:val="center"/>
                </w:tcPr>
                <w:p w14:paraId="4ECFC4E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7.40E+04</w:t>
                  </w:r>
                </w:p>
              </w:tc>
              <w:tc>
                <w:tcPr>
                  <w:tcW w:w="954" w:type="dxa"/>
                  <w:tcBorders>
                    <w:tl2br w:val="nil"/>
                    <w:tr2bl w:val="nil"/>
                  </w:tcBorders>
                  <w:shd w:val="clear" w:color="auto" w:fill="auto"/>
                  <w:vAlign w:val="center"/>
                </w:tcPr>
                <w:p w14:paraId="5185E65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1.2</w:t>
                  </w:r>
                </w:p>
              </w:tc>
              <w:tc>
                <w:tcPr>
                  <w:tcW w:w="929" w:type="dxa"/>
                  <w:tcBorders>
                    <w:tl2br w:val="nil"/>
                    <w:tr2bl w:val="nil"/>
                  </w:tcBorders>
                  <w:shd w:val="clear" w:color="auto" w:fill="auto"/>
                  <w:vAlign w:val="center"/>
                </w:tcPr>
                <w:p w14:paraId="63A4E7B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w:t>
                  </w:r>
                </w:p>
              </w:tc>
              <w:tc>
                <w:tcPr>
                  <w:tcW w:w="1367" w:type="dxa"/>
                  <w:tcBorders>
                    <w:tl2br w:val="nil"/>
                    <w:tr2bl w:val="nil"/>
                  </w:tcBorders>
                  <w:shd w:val="clear" w:color="auto" w:fill="auto"/>
                  <w:vAlign w:val="center"/>
                </w:tcPr>
                <w:p w14:paraId="613F2727">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1.56E-19</w:t>
                  </w:r>
                </w:p>
              </w:tc>
            </w:tr>
            <w:tr w14:paraId="2394FB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2" w:hRule="atLeast"/>
              </w:trPr>
              <w:tc>
                <w:tcPr>
                  <w:tcW w:w="510" w:type="dxa"/>
                  <w:tcBorders>
                    <w:tl2br w:val="nil"/>
                    <w:tr2bl w:val="nil"/>
                  </w:tcBorders>
                  <w:shd w:val="clear" w:color="auto" w:fill="auto"/>
                  <w:vAlign w:val="center"/>
                </w:tcPr>
                <w:p w14:paraId="2670758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D</w:t>
                  </w:r>
                </w:p>
              </w:tc>
              <w:tc>
                <w:tcPr>
                  <w:tcW w:w="2029" w:type="dxa"/>
                  <w:tcBorders>
                    <w:tl2br w:val="nil"/>
                    <w:tr2bl w:val="nil"/>
                  </w:tcBorders>
                  <w:shd w:val="clear" w:color="auto" w:fill="auto"/>
                  <w:vAlign w:val="center"/>
                </w:tcPr>
                <w:p w14:paraId="396377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rPr>
                  </w:pPr>
                  <w:r>
                    <w:rPr>
                      <w:rFonts w:hint="default" w:ascii="Times New Roman" w:hAnsi="Times New Roman" w:eastAsia="宋体" w:cs="Times New Roman"/>
                      <w:i w:val="0"/>
                      <w:iCs w:val="0"/>
                      <w:color w:val="auto"/>
                      <w:sz w:val="18"/>
                      <w:szCs w:val="18"/>
                      <w:highlight w:val="none"/>
                      <w:u w:val="none"/>
                      <w:lang w:val="en-US" w:eastAsia="zh-CN"/>
                    </w:rPr>
                    <w:t>生产车间</w:t>
                  </w:r>
                  <w:r>
                    <w:rPr>
                      <w:rFonts w:hint="default" w:ascii="Times New Roman" w:hAnsi="Times New Roman" w:cs="Times New Roman"/>
                      <w:i w:val="0"/>
                      <w:iCs w:val="0"/>
                      <w:color w:val="auto"/>
                      <w:sz w:val="18"/>
                      <w:szCs w:val="18"/>
                      <w:highlight w:val="none"/>
                      <w:u w:val="none"/>
                      <w:lang w:val="en-US" w:eastAsia="zh-CN"/>
                    </w:rPr>
                    <w:t>南</w:t>
                  </w:r>
                  <w:r>
                    <w:rPr>
                      <w:rFonts w:hint="default" w:ascii="Times New Roman" w:hAnsi="Times New Roman" w:eastAsia="宋体" w:cs="Times New Roman"/>
                      <w:i w:val="0"/>
                      <w:iCs w:val="0"/>
                      <w:color w:val="auto"/>
                      <w:sz w:val="18"/>
                      <w:szCs w:val="18"/>
                      <w:highlight w:val="none"/>
                      <w:u w:val="none"/>
                      <w:lang w:val="en-US" w:eastAsia="zh-CN"/>
                    </w:rPr>
                    <w:t>墙外30cm</w:t>
                  </w:r>
                </w:p>
              </w:tc>
              <w:tc>
                <w:tcPr>
                  <w:tcW w:w="2426" w:type="dxa"/>
                  <w:tcBorders>
                    <w:tl2br w:val="nil"/>
                    <w:tr2bl w:val="nil"/>
                  </w:tcBorders>
                  <w:shd w:val="clear" w:color="auto" w:fill="auto"/>
                  <w:vAlign w:val="center"/>
                </w:tcPr>
                <w:p w14:paraId="33C7C4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20</w:t>
                  </w:r>
                  <w:r>
                    <w:rPr>
                      <w:rFonts w:hint="default" w:ascii="Times New Roman" w:hAnsi="Times New Roman" w:eastAsia="宋体" w:cs="Times New Roman"/>
                      <w:i w:val="0"/>
                      <w:iCs w:val="0"/>
                      <w:color w:val="auto"/>
                      <w:sz w:val="18"/>
                      <w:szCs w:val="18"/>
                      <w:highlight w:val="none"/>
                      <w:u w:val="none"/>
                      <w:lang w:val="en-US" w:eastAsia="zh-CN"/>
                    </w:rPr>
                    <w:t>mmPb+240mm实心砖+20mm硫酸钡</w:t>
                  </w:r>
                </w:p>
              </w:tc>
              <w:tc>
                <w:tcPr>
                  <w:tcW w:w="1263" w:type="dxa"/>
                  <w:tcBorders>
                    <w:tl2br w:val="nil"/>
                    <w:tr2bl w:val="nil"/>
                  </w:tcBorders>
                  <w:shd w:val="clear" w:color="auto" w:fill="auto"/>
                  <w:vAlign w:val="center"/>
                </w:tcPr>
                <w:p w14:paraId="5EA3B20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7.40E+04</w:t>
                  </w:r>
                </w:p>
              </w:tc>
              <w:tc>
                <w:tcPr>
                  <w:tcW w:w="954" w:type="dxa"/>
                  <w:tcBorders>
                    <w:tl2br w:val="nil"/>
                    <w:tr2bl w:val="nil"/>
                  </w:tcBorders>
                  <w:shd w:val="clear" w:color="auto" w:fill="auto"/>
                  <w:vAlign w:val="center"/>
                </w:tcPr>
                <w:p w14:paraId="26D15C9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4.67</w:t>
                  </w:r>
                </w:p>
              </w:tc>
              <w:tc>
                <w:tcPr>
                  <w:tcW w:w="929" w:type="dxa"/>
                  <w:tcBorders>
                    <w:tl2br w:val="nil"/>
                    <w:tr2bl w:val="nil"/>
                  </w:tcBorders>
                  <w:shd w:val="clear" w:color="auto" w:fill="auto"/>
                  <w:vAlign w:val="center"/>
                </w:tcPr>
                <w:p w14:paraId="4B3D18C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w:t>
                  </w:r>
                </w:p>
              </w:tc>
              <w:tc>
                <w:tcPr>
                  <w:tcW w:w="1367" w:type="dxa"/>
                  <w:tcBorders>
                    <w:tl2br w:val="nil"/>
                    <w:tr2bl w:val="nil"/>
                  </w:tcBorders>
                  <w:shd w:val="clear" w:color="auto" w:fill="auto"/>
                  <w:vAlign w:val="center"/>
                </w:tcPr>
                <w:p w14:paraId="62B7177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1.03E-20</w:t>
                  </w:r>
                </w:p>
              </w:tc>
            </w:tr>
            <w:tr w14:paraId="59B0C7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8" w:hRule="atLeast"/>
              </w:trPr>
              <w:tc>
                <w:tcPr>
                  <w:tcW w:w="510" w:type="dxa"/>
                  <w:tcBorders>
                    <w:tl2br w:val="nil"/>
                    <w:tr2bl w:val="nil"/>
                  </w:tcBorders>
                  <w:shd w:val="clear" w:color="auto" w:fill="auto"/>
                  <w:vAlign w:val="center"/>
                </w:tcPr>
                <w:p w14:paraId="5E2B18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cs="Times New Roman"/>
                      <w:i w:val="0"/>
                      <w:iCs w:val="0"/>
                      <w:color w:val="auto"/>
                      <w:kern w:val="0"/>
                      <w:sz w:val="18"/>
                      <w:szCs w:val="18"/>
                      <w:highlight w:val="none"/>
                      <w:u w:val="none"/>
                      <w:lang w:val="en-US" w:eastAsia="zh-CN" w:bidi="ar"/>
                    </w:rPr>
                    <w:t>E</w:t>
                  </w:r>
                </w:p>
              </w:tc>
              <w:tc>
                <w:tcPr>
                  <w:tcW w:w="2029" w:type="dxa"/>
                  <w:tcBorders>
                    <w:tl2br w:val="nil"/>
                    <w:tr2bl w:val="nil"/>
                  </w:tcBorders>
                  <w:shd w:val="clear" w:color="auto" w:fill="auto"/>
                  <w:vAlign w:val="center"/>
                </w:tcPr>
                <w:p w14:paraId="5F0CB5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生产车间</w:t>
                  </w:r>
                  <w:r>
                    <w:rPr>
                      <w:rFonts w:hint="default" w:ascii="Times New Roman" w:hAnsi="Times New Roman" w:cs="Times New Roman"/>
                      <w:i w:val="0"/>
                      <w:iCs w:val="0"/>
                      <w:color w:val="auto"/>
                      <w:sz w:val="18"/>
                      <w:szCs w:val="18"/>
                      <w:highlight w:val="none"/>
                      <w:u w:val="none"/>
                      <w:lang w:val="en-US" w:eastAsia="zh-CN"/>
                    </w:rPr>
                    <w:t>防护门</w:t>
                  </w:r>
                  <w:r>
                    <w:rPr>
                      <w:rFonts w:hint="default" w:ascii="Times New Roman" w:hAnsi="Times New Roman" w:eastAsia="宋体" w:cs="Times New Roman"/>
                      <w:i w:val="0"/>
                      <w:iCs w:val="0"/>
                      <w:color w:val="auto"/>
                      <w:sz w:val="18"/>
                      <w:szCs w:val="18"/>
                      <w:highlight w:val="none"/>
                      <w:u w:val="none"/>
                      <w:lang w:val="en-US" w:eastAsia="zh-CN"/>
                    </w:rPr>
                    <w:t>外30cm</w:t>
                  </w:r>
                </w:p>
              </w:tc>
              <w:tc>
                <w:tcPr>
                  <w:tcW w:w="2426" w:type="dxa"/>
                  <w:tcBorders>
                    <w:tl2br w:val="nil"/>
                    <w:tr2bl w:val="nil"/>
                  </w:tcBorders>
                  <w:shd w:val="clear" w:color="auto" w:fill="auto"/>
                  <w:vAlign w:val="center"/>
                </w:tcPr>
                <w:p w14:paraId="288DAAA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20</w:t>
                  </w:r>
                  <w:r>
                    <w:rPr>
                      <w:rFonts w:hint="default" w:ascii="Times New Roman" w:hAnsi="Times New Roman" w:eastAsia="宋体" w:cs="Times New Roman"/>
                      <w:i w:val="0"/>
                      <w:iCs w:val="0"/>
                      <w:color w:val="auto"/>
                      <w:sz w:val="18"/>
                      <w:szCs w:val="18"/>
                      <w:highlight w:val="none"/>
                      <w:u w:val="none"/>
                      <w:lang w:val="en-US" w:eastAsia="zh-CN"/>
                    </w:rPr>
                    <w:t>mmPb+3mmPb</w:t>
                  </w:r>
                </w:p>
              </w:tc>
              <w:tc>
                <w:tcPr>
                  <w:tcW w:w="1263" w:type="dxa"/>
                  <w:tcBorders>
                    <w:tl2br w:val="nil"/>
                    <w:tr2bl w:val="nil"/>
                  </w:tcBorders>
                  <w:shd w:val="clear" w:color="auto" w:fill="auto"/>
                  <w:vAlign w:val="center"/>
                </w:tcPr>
                <w:p w14:paraId="1DA56CB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7.40E+04</w:t>
                  </w:r>
                </w:p>
              </w:tc>
              <w:tc>
                <w:tcPr>
                  <w:tcW w:w="954" w:type="dxa"/>
                  <w:tcBorders>
                    <w:tl2br w:val="nil"/>
                    <w:tr2bl w:val="nil"/>
                  </w:tcBorders>
                  <w:shd w:val="clear" w:color="auto" w:fill="auto"/>
                  <w:vAlign w:val="center"/>
                </w:tcPr>
                <w:p w14:paraId="18F476E5">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5.5</w:t>
                  </w:r>
                </w:p>
              </w:tc>
              <w:tc>
                <w:tcPr>
                  <w:tcW w:w="929" w:type="dxa"/>
                  <w:tcBorders>
                    <w:tl2br w:val="nil"/>
                    <w:tr2bl w:val="nil"/>
                  </w:tcBorders>
                  <w:shd w:val="clear" w:color="auto" w:fill="auto"/>
                  <w:vAlign w:val="center"/>
                </w:tcPr>
                <w:p w14:paraId="0DF7AF3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w:t>
                  </w:r>
                </w:p>
              </w:tc>
              <w:tc>
                <w:tcPr>
                  <w:tcW w:w="1367" w:type="dxa"/>
                  <w:tcBorders>
                    <w:tl2br w:val="nil"/>
                    <w:tr2bl w:val="nil"/>
                  </w:tcBorders>
                  <w:shd w:val="clear" w:color="auto" w:fill="auto"/>
                  <w:vAlign w:val="center"/>
                </w:tcPr>
                <w:p w14:paraId="7D8E26E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7.41E-22</w:t>
                  </w:r>
                </w:p>
              </w:tc>
            </w:tr>
            <w:tr w14:paraId="1A106D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510" w:type="dxa"/>
                  <w:tcBorders>
                    <w:tl2br w:val="nil"/>
                    <w:tr2bl w:val="nil"/>
                  </w:tcBorders>
                  <w:shd w:val="clear" w:color="auto" w:fill="auto"/>
                  <w:vAlign w:val="center"/>
                </w:tcPr>
                <w:p w14:paraId="0421684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cs="Times New Roman"/>
                      <w:i w:val="0"/>
                      <w:iCs w:val="0"/>
                      <w:color w:val="auto"/>
                      <w:kern w:val="0"/>
                      <w:sz w:val="18"/>
                      <w:szCs w:val="18"/>
                      <w:highlight w:val="none"/>
                      <w:u w:val="none"/>
                      <w:lang w:val="en-US" w:eastAsia="zh-CN" w:bidi="ar"/>
                    </w:rPr>
                    <w:t>F</w:t>
                  </w:r>
                </w:p>
              </w:tc>
              <w:tc>
                <w:tcPr>
                  <w:tcW w:w="2029" w:type="dxa"/>
                  <w:tcBorders>
                    <w:tl2br w:val="nil"/>
                    <w:tr2bl w:val="nil"/>
                  </w:tcBorders>
                  <w:shd w:val="clear" w:color="auto" w:fill="auto"/>
                  <w:vAlign w:val="center"/>
                </w:tcPr>
                <w:p w14:paraId="30793E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eastAsia="宋体" w:cs="Times New Roman"/>
                      <w:i w:val="0"/>
                      <w:iCs w:val="0"/>
                      <w:color w:val="auto"/>
                      <w:sz w:val="18"/>
                      <w:szCs w:val="18"/>
                      <w:highlight w:val="none"/>
                      <w:u w:val="none"/>
                      <w:lang w:val="en-US" w:eastAsia="zh-CN"/>
                    </w:rPr>
                    <w:t>生产车间</w:t>
                  </w:r>
                  <w:r>
                    <w:rPr>
                      <w:rFonts w:hint="default" w:ascii="Times New Roman" w:hAnsi="Times New Roman" w:cs="Times New Roman"/>
                      <w:i w:val="0"/>
                      <w:iCs w:val="0"/>
                      <w:color w:val="auto"/>
                      <w:sz w:val="18"/>
                      <w:szCs w:val="18"/>
                      <w:highlight w:val="none"/>
                      <w:u w:val="none"/>
                      <w:lang w:val="en-US" w:eastAsia="zh-CN"/>
                    </w:rPr>
                    <w:t>西墙</w:t>
                  </w:r>
                  <w:r>
                    <w:rPr>
                      <w:rFonts w:hint="default" w:ascii="Times New Roman" w:hAnsi="Times New Roman" w:eastAsia="宋体" w:cs="Times New Roman"/>
                      <w:i w:val="0"/>
                      <w:iCs w:val="0"/>
                      <w:color w:val="auto"/>
                      <w:sz w:val="18"/>
                      <w:szCs w:val="18"/>
                      <w:highlight w:val="none"/>
                      <w:u w:val="none"/>
                      <w:lang w:val="en-US" w:eastAsia="zh-CN"/>
                    </w:rPr>
                    <w:t>外30cm</w:t>
                  </w:r>
                </w:p>
              </w:tc>
              <w:tc>
                <w:tcPr>
                  <w:tcW w:w="2426" w:type="dxa"/>
                  <w:tcBorders>
                    <w:tl2br w:val="nil"/>
                    <w:tr2bl w:val="nil"/>
                  </w:tcBorders>
                  <w:shd w:val="clear" w:color="auto" w:fill="auto"/>
                  <w:vAlign w:val="center"/>
                </w:tcPr>
                <w:p w14:paraId="2F6725B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20</w:t>
                  </w:r>
                  <w:r>
                    <w:rPr>
                      <w:rFonts w:hint="default" w:ascii="Times New Roman" w:hAnsi="Times New Roman" w:eastAsia="宋体" w:cs="Times New Roman"/>
                      <w:i w:val="0"/>
                      <w:iCs w:val="0"/>
                      <w:color w:val="auto"/>
                      <w:sz w:val="18"/>
                      <w:szCs w:val="18"/>
                      <w:highlight w:val="none"/>
                      <w:u w:val="none"/>
                      <w:lang w:val="en-US" w:eastAsia="zh-CN"/>
                    </w:rPr>
                    <w:t>mmPb+240mm实心砖+20mm硫酸钡</w:t>
                  </w:r>
                </w:p>
              </w:tc>
              <w:tc>
                <w:tcPr>
                  <w:tcW w:w="1263" w:type="dxa"/>
                  <w:tcBorders>
                    <w:tl2br w:val="nil"/>
                    <w:tr2bl w:val="nil"/>
                  </w:tcBorders>
                  <w:shd w:val="clear" w:color="auto" w:fill="auto"/>
                  <w:vAlign w:val="center"/>
                </w:tcPr>
                <w:p w14:paraId="734E80E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7.40E+04</w:t>
                  </w:r>
                </w:p>
              </w:tc>
              <w:tc>
                <w:tcPr>
                  <w:tcW w:w="954" w:type="dxa"/>
                  <w:tcBorders>
                    <w:tl2br w:val="nil"/>
                    <w:tr2bl w:val="nil"/>
                  </w:tcBorders>
                  <w:shd w:val="clear" w:color="auto" w:fill="auto"/>
                  <w:vAlign w:val="center"/>
                </w:tcPr>
                <w:p w14:paraId="0CC6E944">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4.53</w:t>
                  </w:r>
                </w:p>
              </w:tc>
              <w:tc>
                <w:tcPr>
                  <w:tcW w:w="929" w:type="dxa"/>
                  <w:tcBorders>
                    <w:tl2br w:val="nil"/>
                    <w:tr2bl w:val="nil"/>
                  </w:tcBorders>
                  <w:shd w:val="clear" w:color="auto" w:fill="auto"/>
                  <w:vAlign w:val="center"/>
                </w:tcPr>
                <w:p w14:paraId="710EDC83">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w:t>
                  </w:r>
                </w:p>
              </w:tc>
              <w:tc>
                <w:tcPr>
                  <w:tcW w:w="1367" w:type="dxa"/>
                  <w:tcBorders>
                    <w:tl2br w:val="nil"/>
                    <w:tr2bl w:val="nil"/>
                  </w:tcBorders>
                  <w:shd w:val="clear" w:color="auto" w:fill="auto"/>
                  <w:vAlign w:val="center"/>
                </w:tcPr>
                <w:p w14:paraId="3BBBD15B">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1.09E-20</w:t>
                  </w:r>
                </w:p>
              </w:tc>
            </w:tr>
            <w:tr w14:paraId="713E58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2" w:hRule="atLeast"/>
              </w:trPr>
              <w:tc>
                <w:tcPr>
                  <w:tcW w:w="510" w:type="dxa"/>
                  <w:tcBorders>
                    <w:tl2br w:val="nil"/>
                    <w:tr2bl w:val="nil"/>
                  </w:tcBorders>
                  <w:shd w:val="clear" w:color="auto" w:fill="auto"/>
                  <w:vAlign w:val="center"/>
                </w:tcPr>
                <w:p w14:paraId="4B0530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cs="Times New Roman"/>
                      <w:i w:val="0"/>
                      <w:iCs w:val="0"/>
                      <w:color w:val="auto"/>
                      <w:kern w:val="0"/>
                      <w:sz w:val="18"/>
                      <w:szCs w:val="18"/>
                      <w:highlight w:val="none"/>
                      <w:u w:val="none"/>
                      <w:lang w:val="en-US" w:eastAsia="zh-CN" w:bidi="ar"/>
                    </w:rPr>
                    <w:t>G</w:t>
                  </w:r>
                </w:p>
              </w:tc>
              <w:tc>
                <w:tcPr>
                  <w:tcW w:w="2029" w:type="dxa"/>
                  <w:tcBorders>
                    <w:tl2br w:val="nil"/>
                    <w:tr2bl w:val="nil"/>
                  </w:tcBorders>
                  <w:shd w:val="clear" w:color="auto" w:fill="auto"/>
                  <w:vAlign w:val="center"/>
                </w:tcPr>
                <w:p w14:paraId="4F9164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生产车间</w:t>
                  </w:r>
                  <w:r>
                    <w:rPr>
                      <w:rFonts w:hint="default" w:ascii="Times New Roman" w:hAnsi="Times New Roman" w:cs="Times New Roman"/>
                      <w:i w:val="0"/>
                      <w:iCs w:val="0"/>
                      <w:color w:val="auto"/>
                      <w:sz w:val="18"/>
                      <w:szCs w:val="18"/>
                      <w:highlight w:val="none"/>
                      <w:u w:val="none"/>
                      <w:lang w:val="en-US" w:eastAsia="zh-CN" w:bidi="ar-SA"/>
                    </w:rPr>
                    <w:t>北</w:t>
                  </w:r>
                  <w:r>
                    <w:rPr>
                      <w:rFonts w:hint="default" w:ascii="Times New Roman" w:hAnsi="Times New Roman" w:eastAsia="宋体" w:cs="Times New Roman"/>
                      <w:i w:val="0"/>
                      <w:iCs w:val="0"/>
                      <w:color w:val="auto"/>
                      <w:sz w:val="18"/>
                      <w:szCs w:val="18"/>
                      <w:highlight w:val="none"/>
                      <w:u w:val="none"/>
                      <w:lang w:val="en-US" w:eastAsia="zh-CN" w:bidi="ar-SA"/>
                    </w:rPr>
                    <w:t>墙外30cm</w:t>
                  </w:r>
                </w:p>
              </w:tc>
              <w:tc>
                <w:tcPr>
                  <w:tcW w:w="2426" w:type="dxa"/>
                  <w:tcBorders>
                    <w:tl2br w:val="nil"/>
                    <w:tr2bl w:val="nil"/>
                  </w:tcBorders>
                  <w:shd w:val="clear" w:color="auto" w:fill="auto"/>
                  <w:vAlign w:val="center"/>
                </w:tcPr>
                <w:p w14:paraId="5248C1F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20</w:t>
                  </w:r>
                  <w:r>
                    <w:rPr>
                      <w:rFonts w:hint="default" w:ascii="Times New Roman" w:hAnsi="Times New Roman" w:eastAsia="宋体" w:cs="Times New Roman"/>
                      <w:i w:val="0"/>
                      <w:iCs w:val="0"/>
                      <w:color w:val="auto"/>
                      <w:sz w:val="18"/>
                      <w:szCs w:val="18"/>
                      <w:highlight w:val="none"/>
                      <w:u w:val="none"/>
                      <w:lang w:val="en-US" w:eastAsia="zh-CN"/>
                    </w:rPr>
                    <w:t>mmPb+240mm实心砖+20mm硫酸钡</w:t>
                  </w:r>
                </w:p>
              </w:tc>
              <w:tc>
                <w:tcPr>
                  <w:tcW w:w="1263" w:type="dxa"/>
                  <w:tcBorders>
                    <w:tl2br w:val="nil"/>
                    <w:tr2bl w:val="nil"/>
                  </w:tcBorders>
                  <w:shd w:val="clear" w:color="auto" w:fill="auto"/>
                  <w:vAlign w:val="center"/>
                </w:tcPr>
                <w:p w14:paraId="5A377679">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7.40E+04</w:t>
                  </w:r>
                </w:p>
              </w:tc>
              <w:tc>
                <w:tcPr>
                  <w:tcW w:w="954" w:type="dxa"/>
                  <w:tcBorders>
                    <w:tl2br w:val="nil"/>
                    <w:tr2bl w:val="nil"/>
                  </w:tcBorders>
                  <w:shd w:val="clear" w:color="auto" w:fill="auto"/>
                  <w:vAlign w:val="center"/>
                </w:tcPr>
                <w:p w14:paraId="1DBFE7A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4.34</w:t>
                  </w:r>
                </w:p>
              </w:tc>
              <w:tc>
                <w:tcPr>
                  <w:tcW w:w="929" w:type="dxa"/>
                  <w:tcBorders>
                    <w:tl2br w:val="nil"/>
                    <w:tr2bl w:val="nil"/>
                  </w:tcBorders>
                  <w:shd w:val="clear" w:color="auto" w:fill="auto"/>
                  <w:vAlign w:val="center"/>
                </w:tcPr>
                <w:p w14:paraId="405BBF11">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w:t>
                  </w:r>
                </w:p>
              </w:tc>
              <w:tc>
                <w:tcPr>
                  <w:tcW w:w="1367" w:type="dxa"/>
                  <w:tcBorders>
                    <w:tl2br w:val="nil"/>
                    <w:tr2bl w:val="nil"/>
                  </w:tcBorders>
                  <w:shd w:val="clear" w:color="auto" w:fill="auto"/>
                  <w:vAlign w:val="center"/>
                </w:tcPr>
                <w:p w14:paraId="2138F09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1.19E-20</w:t>
                  </w:r>
                </w:p>
              </w:tc>
            </w:tr>
            <w:tr w14:paraId="40CF32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1" w:hRule="atLeast"/>
              </w:trPr>
              <w:tc>
                <w:tcPr>
                  <w:tcW w:w="510" w:type="dxa"/>
                  <w:tcBorders>
                    <w:tl2br w:val="nil"/>
                    <w:tr2bl w:val="nil"/>
                  </w:tcBorders>
                  <w:shd w:val="clear" w:color="auto" w:fill="auto"/>
                  <w:vAlign w:val="center"/>
                </w:tcPr>
                <w:p w14:paraId="3FCC807F">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kern w:val="0"/>
                      <w:sz w:val="18"/>
                      <w:szCs w:val="18"/>
                      <w:highlight w:val="none"/>
                      <w:u w:val="none"/>
                      <w:lang w:val="en-US" w:eastAsia="zh-CN" w:bidi="ar"/>
                    </w:rPr>
                  </w:pPr>
                  <w:r>
                    <w:rPr>
                      <w:rFonts w:hint="default" w:ascii="Times New Roman" w:hAnsi="Times New Roman" w:cs="Times New Roman"/>
                      <w:i w:val="0"/>
                      <w:iCs w:val="0"/>
                      <w:color w:val="auto"/>
                      <w:kern w:val="0"/>
                      <w:sz w:val="18"/>
                      <w:szCs w:val="18"/>
                      <w:highlight w:val="none"/>
                      <w:u w:val="none"/>
                      <w:lang w:val="en-US" w:eastAsia="zh-CN" w:bidi="ar"/>
                    </w:rPr>
                    <w:t>H</w:t>
                  </w:r>
                </w:p>
              </w:tc>
              <w:tc>
                <w:tcPr>
                  <w:tcW w:w="2029" w:type="dxa"/>
                  <w:tcBorders>
                    <w:tl2br w:val="nil"/>
                    <w:tr2bl w:val="nil"/>
                  </w:tcBorders>
                  <w:shd w:val="clear" w:color="auto" w:fill="auto"/>
                  <w:vAlign w:val="center"/>
                </w:tcPr>
                <w:p w14:paraId="5901C6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sz w:val="18"/>
                      <w:szCs w:val="18"/>
                      <w:highlight w:val="none"/>
                      <w:u w:val="none"/>
                      <w:lang w:val="en-US" w:eastAsia="zh-CN" w:bidi="ar-SA"/>
                    </w:rPr>
                    <w:t>生产车间</w:t>
                  </w:r>
                  <w:r>
                    <w:rPr>
                      <w:rFonts w:hint="default" w:ascii="Times New Roman" w:hAnsi="Times New Roman" w:cs="Times New Roman"/>
                      <w:i w:val="0"/>
                      <w:iCs w:val="0"/>
                      <w:color w:val="auto"/>
                      <w:sz w:val="18"/>
                      <w:szCs w:val="18"/>
                      <w:highlight w:val="none"/>
                      <w:u w:val="none"/>
                      <w:lang w:val="en-US" w:eastAsia="zh-CN" w:bidi="ar-SA"/>
                    </w:rPr>
                    <w:t>屋顶外100cm</w:t>
                  </w:r>
                </w:p>
              </w:tc>
              <w:tc>
                <w:tcPr>
                  <w:tcW w:w="2426" w:type="dxa"/>
                  <w:tcBorders>
                    <w:tl2br w:val="nil"/>
                    <w:tr2bl w:val="nil"/>
                  </w:tcBorders>
                  <w:shd w:val="clear" w:color="auto" w:fill="auto"/>
                  <w:vAlign w:val="center"/>
                </w:tcPr>
                <w:p w14:paraId="048563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20</w:t>
                  </w:r>
                  <w:r>
                    <w:rPr>
                      <w:rFonts w:hint="default" w:ascii="Times New Roman" w:hAnsi="Times New Roman" w:eastAsia="宋体" w:cs="Times New Roman"/>
                      <w:i w:val="0"/>
                      <w:iCs w:val="0"/>
                      <w:color w:val="auto"/>
                      <w:sz w:val="18"/>
                      <w:szCs w:val="18"/>
                      <w:highlight w:val="none"/>
                      <w:u w:val="none"/>
                      <w:lang w:val="en-US" w:eastAsia="zh-CN"/>
                    </w:rPr>
                    <w:t>mmPb+</w:t>
                  </w:r>
                  <w:r>
                    <w:rPr>
                      <w:rFonts w:hint="default" w:ascii="Times New Roman" w:hAnsi="Times New Roman" w:cs="Times New Roman"/>
                      <w:i w:val="0"/>
                      <w:iCs w:val="0"/>
                      <w:color w:val="auto"/>
                      <w:sz w:val="18"/>
                      <w:szCs w:val="18"/>
                      <w:highlight w:val="none"/>
                      <w:u w:val="none"/>
                      <w:lang w:val="en-US" w:eastAsia="zh-CN"/>
                    </w:rPr>
                    <w:t>300mm混凝土</w:t>
                  </w:r>
                </w:p>
              </w:tc>
              <w:tc>
                <w:tcPr>
                  <w:tcW w:w="1263" w:type="dxa"/>
                  <w:tcBorders>
                    <w:tl2br w:val="nil"/>
                    <w:tr2bl w:val="nil"/>
                  </w:tcBorders>
                  <w:shd w:val="clear" w:color="auto" w:fill="auto"/>
                  <w:vAlign w:val="center"/>
                </w:tcPr>
                <w:p w14:paraId="6D20E37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7.40E+04</w:t>
                  </w:r>
                </w:p>
              </w:tc>
              <w:tc>
                <w:tcPr>
                  <w:tcW w:w="954" w:type="dxa"/>
                  <w:tcBorders>
                    <w:tl2br w:val="nil"/>
                    <w:tr2bl w:val="nil"/>
                  </w:tcBorders>
                  <w:shd w:val="clear" w:color="auto" w:fill="auto"/>
                  <w:vAlign w:val="center"/>
                </w:tcPr>
                <w:p w14:paraId="2544861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5.5</w:t>
                  </w:r>
                </w:p>
              </w:tc>
              <w:tc>
                <w:tcPr>
                  <w:tcW w:w="929" w:type="dxa"/>
                  <w:tcBorders>
                    <w:tl2br w:val="nil"/>
                    <w:tr2bl w:val="nil"/>
                  </w:tcBorders>
                  <w:shd w:val="clear" w:color="auto" w:fill="auto"/>
                  <w:vAlign w:val="center"/>
                </w:tcPr>
                <w:p w14:paraId="20203ADE">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1</w:t>
                  </w:r>
                </w:p>
              </w:tc>
              <w:tc>
                <w:tcPr>
                  <w:tcW w:w="1367" w:type="dxa"/>
                  <w:tcBorders>
                    <w:tl2br w:val="nil"/>
                    <w:tr2bl w:val="nil"/>
                  </w:tcBorders>
                  <w:shd w:val="clear" w:color="auto" w:fill="auto"/>
                  <w:vAlign w:val="center"/>
                </w:tcPr>
                <w:p w14:paraId="4339F6D6">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i w:val="0"/>
                      <w:iCs w:val="0"/>
                      <w:color w:val="auto"/>
                      <w:sz w:val="18"/>
                      <w:szCs w:val="18"/>
                      <w:highlight w:val="none"/>
                      <w:u w:val="none"/>
                      <w:lang w:val="en-US" w:eastAsia="zh-CN"/>
                    </w:rPr>
                  </w:pPr>
                  <w:r>
                    <w:rPr>
                      <w:rFonts w:hint="default" w:ascii="Times New Roman" w:hAnsi="Times New Roman" w:cs="Times New Roman"/>
                      <w:i w:val="0"/>
                      <w:iCs w:val="0"/>
                      <w:color w:val="auto"/>
                      <w:sz w:val="18"/>
                      <w:szCs w:val="18"/>
                      <w:highlight w:val="none"/>
                      <w:u w:val="none"/>
                      <w:lang w:val="en-US" w:eastAsia="zh-CN"/>
                    </w:rPr>
                    <w:t>7.41E-21</w:t>
                  </w:r>
                </w:p>
              </w:tc>
            </w:tr>
          </w:tbl>
          <w:p w14:paraId="0B7F8025">
            <w:pPr>
              <w:pStyle w:val="14"/>
              <w:keepNext w:val="0"/>
              <w:keepLines w:val="0"/>
              <w:suppressLineNumbers w:val="0"/>
              <w:spacing w:before="0" w:beforeAutospacing="0" w:after="0" w:afterAutospacing="0"/>
              <w:ind w:left="0" w:right="0"/>
              <w:jc w:val="both"/>
              <w:rPr>
                <w:rFonts w:hint="default" w:ascii="Times New Roman" w:hAnsi="Times New Roman" w:cs="Times New Roman"/>
                <w:b w:val="0"/>
                <w:bCs/>
                <w:color w:val="auto"/>
                <w:sz w:val="21"/>
                <w:szCs w:val="20"/>
                <w:highlight w:val="none"/>
              </w:rPr>
            </w:pPr>
            <w:r>
              <w:rPr>
                <w:rFonts w:hint="default" w:ascii="Times New Roman" w:hAnsi="Times New Roman" w:cs="Times New Roman"/>
                <w:b w:val="0"/>
                <w:bCs/>
                <w:color w:val="auto"/>
                <w:sz w:val="21"/>
                <w:szCs w:val="20"/>
                <w:highlight w:val="none"/>
                <w:lang w:val="en-US" w:eastAsia="zh-CN"/>
              </w:rPr>
              <w:t>注：300mm混凝土、240mm实心砖+20mm硫酸钡，保守折算为2mmPb。</w:t>
            </w:r>
          </w:p>
          <w:p w14:paraId="4998EE68">
            <w:pPr>
              <w:pStyle w:val="14"/>
              <w:keepNext w:val="0"/>
              <w:keepLines w:val="0"/>
              <w:suppressLineNumbers w:val="0"/>
              <w:spacing w:before="0" w:beforeAutospacing="0" w:after="0" w:afterAutospacing="0"/>
              <w:ind w:left="0" w:right="0"/>
              <w:jc w:val="both"/>
              <w:rPr>
                <w:rFonts w:hint="default" w:ascii="Times New Roman" w:hAnsi="Times New Roman" w:cs="Times New Roman"/>
                <w:b/>
                <w:color w:val="auto"/>
                <w:sz w:val="24"/>
                <w:szCs w:val="22"/>
                <w:highlight w:val="none"/>
              </w:rPr>
            </w:pPr>
          </w:p>
          <w:p w14:paraId="20F39657">
            <w:pPr>
              <w:pStyle w:val="14"/>
              <w:keepNext w:val="0"/>
              <w:keepLines w:val="0"/>
              <w:suppressLineNumbers w:val="0"/>
              <w:spacing w:before="0" w:beforeAutospacing="0" w:after="0" w:afterAutospacing="0"/>
              <w:ind w:left="0" w:leftChars="0" w:right="0" w:firstLine="0" w:firstLineChars="0"/>
              <w:jc w:val="both"/>
              <w:rPr>
                <w:rFonts w:hint="default" w:ascii="Times New Roman" w:hAnsi="Times New Roman" w:eastAsia="宋体" w:cs="Times New Roman"/>
                <w:b/>
                <w:color w:val="auto"/>
                <w:sz w:val="24"/>
                <w:szCs w:val="22"/>
                <w:highlight w:val="none"/>
                <w:lang w:eastAsia="zh-CN"/>
              </w:rPr>
            </w:pPr>
          </w:p>
          <w:p w14:paraId="78FAC183">
            <w:pPr>
              <w:keepNext w:val="0"/>
              <w:keepLines w:val="0"/>
              <w:suppressLineNumbers w:val="0"/>
              <w:spacing w:before="0" w:beforeAutospacing="0" w:after="0" w:afterAutospacing="0" w:line="360" w:lineRule="auto"/>
              <w:ind w:left="0" w:right="0"/>
              <w:jc w:val="center"/>
              <w:rPr>
                <w:rFonts w:hint="eastAsia" w:cs="Times New Roman"/>
                <w:b/>
                <w:bCs w:val="0"/>
                <w:color w:val="auto"/>
                <w:sz w:val="24"/>
                <w:szCs w:val="24"/>
                <w:highlight w:val="none"/>
                <w:lang w:val="en-US" w:eastAsia="zh-CN"/>
              </w:rPr>
            </w:pPr>
            <w:r>
              <w:rPr>
                <w:rFonts w:hint="eastAsia" w:cs="Times New Roman"/>
                <w:b/>
                <w:bCs w:val="0"/>
                <w:color w:val="auto"/>
                <w:sz w:val="24"/>
                <w:szCs w:val="24"/>
                <w:highlight w:val="none"/>
                <w:lang w:val="en-US" w:eastAsia="zh-CN"/>
              </w:rPr>
              <w:t>图10-4  单光子药物生产车间关注点位示意图</w:t>
            </w:r>
          </w:p>
          <w:p w14:paraId="5BCA1668">
            <w:pPr>
              <w:pStyle w:val="3"/>
              <w:keepNext w:val="0"/>
              <w:keepLines w:val="0"/>
              <w:suppressLineNumbers w:val="0"/>
              <w:spacing w:before="0" w:beforeAutospacing="0" w:after="0" w:afterAutospacing="0"/>
              <w:ind w:left="0" w:right="0" w:firstLine="482" w:firstLineChars="200"/>
              <w:jc w:val="both"/>
              <w:rPr>
                <w:rFonts w:hint="default" w:cs="Times New Roman"/>
                <w:b/>
                <w:bCs w:val="0"/>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11.2.</w:t>
            </w:r>
            <w:r>
              <w:rPr>
                <w:rFonts w:hint="default" w:ascii="Times New Roman" w:hAnsi="Times New Roman" w:cs="Times New Roman"/>
                <w:b/>
                <w:bCs/>
                <w:color w:val="auto"/>
                <w:sz w:val="24"/>
                <w:szCs w:val="24"/>
                <w:highlight w:val="none"/>
                <w:lang w:val="en-US" w:eastAsia="zh-CN"/>
              </w:rPr>
              <w:t>1.</w:t>
            </w:r>
            <w:r>
              <w:rPr>
                <w:rFonts w:hint="eastAsia" w:ascii="Times New Roman" w:hAnsi="Times New Roman" w:cs="Times New Roman"/>
                <w:b/>
                <w:bCs/>
                <w:color w:val="auto"/>
                <w:sz w:val="24"/>
                <w:szCs w:val="24"/>
                <w:highlight w:val="none"/>
                <w:lang w:val="en-US" w:eastAsia="zh-CN"/>
              </w:rPr>
              <w:t>3 核素诊断、治疗场所环境影响分析</w:t>
            </w:r>
          </w:p>
          <w:p w14:paraId="4B5B2F4F">
            <w:pPr>
              <w:keepNext w:val="0"/>
              <w:keepLines w:val="0"/>
              <w:suppressLineNumbers w:val="0"/>
              <w:spacing w:before="0" w:beforeAutospacing="0" w:after="0" w:afterAutospacing="0"/>
              <w:ind w:left="0" w:right="0"/>
              <w:jc w:val="both"/>
              <w:rPr>
                <w:rFonts w:hint="eastAsia" w:cs="Times New Roman"/>
                <w:b/>
                <w:bCs w:val="0"/>
                <w:color w:val="auto"/>
                <w:sz w:val="24"/>
                <w:szCs w:val="24"/>
                <w:highlight w:val="none"/>
                <w:lang w:val="en-US" w:eastAsia="zh-CN"/>
              </w:rPr>
            </w:pPr>
          </w:p>
          <w:p w14:paraId="288AF248">
            <w:pPr>
              <w:keepNext w:val="0"/>
              <w:keepLines w:val="0"/>
              <w:suppressLineNumbers w:val="0"/>
              <w:spacing w:before="0" w:beforeAutospacing="0" w:after="0" w:afterAutospacing="0" w:line="360" w:lineRule="auto"/>
              <w:ind w:left="0" w:right="0" w:firstLine="480" w:firstLineChars="200"/>
              <w:jc w:val="both"/>
              <w:rPr>
                <w:rFonts w:hint="default" w:cs="Times New Roman"/>
                <w:b w:val="0"/>
                <w:bCs/>
                <w:color w:val="auto"/>
                <w:sz w:val="24"/>
                <w:szCs w:val="24"/>
                <w:highlight w:val="none"/>
                <w:lang w:val="en-US" w:eastAsia="zh-CN"/>
              </w:rPr>
            </w:pPr>
            <w:r>
              <w:rPr>
                <w:rFonts w:hint="eastAsia" w:cs="Times New Roman"/>
                <w:b w:val="0"/>
                <w:bCs/>
                <w:color w:val="auto"/>
                <w:sz w:val="24"/>
                <w:szCs w:val="24"/>
                <w:highlight w:val="none"/>
                <w:lang w:val="en-US" w:eastAsia="zh-CN"/>
              </w:rPr>
              <w:t>工作人员于放射性药物操作区完成放射性药物分装、患者核素注射作业，作业过程中外照射风险主要来源于放射性核素释放的 γ 射线。患者注射放射性药物后成为移动辐射源，工作场所需考虑患者体内核素产生的射线照射。开展核素诊疗场所周围剂量当量率计算时，将给药后的患者按点源模型考虑，计入屏蔽材料衰减，计算评价目标点位的 γ 辐射剂量率。各场所内预测参数及预测结果如下：</w:t>
            </w:r>
          </w:p>
          <w:p w14:paraId="36D06CB4">
            <w:pPr>
              <w:keepNext w:val="0"/>
              <w:keepLines w:val="0"/>
              <w:suppressLineNumbers w:val="0"/>
              <w:spacing w:before="0" w:beforeAutospacing="0" w:after="0" w:afterAutospacing="0" w:line="360" w:lineRule="auto"/>
              <w:ind w:left="0" w:right="0"/>
              <w:jc w:val="center"/>
              <w:rPr>
                <w:rFonts w:hint="default" w:cs="Times New Roman"/>
                <w:b/>
                <w:bCs w:val="0"/>
                <w:color w:val="auto"/>
                <w:sz w:val="24"/>
                <w:szCs w:val="24"/>
                <w:highlight w:val="none"/>
                <w:lang w:val="en-US" w:eastAsia="zh-CN"/>
              </w:rPr>
            </w:pPr>
            <w:r>
              <w:rPr>
                <w:rFonts w:hint="eastAsia" w:cs="Times New Roman"/>
                <w:b/>
                <w:bCs w:val="0"/>
                <w:color w:val="auto"/>
                <w:sz w:val="24"/>
                <w:szCs w:val="24"/>
                <w:highlight w:val="none"/>
                <w:lang w:val="en-US" w:eastAsia="zh-CN"/>
              </w:rPr>
              <w:t xml:space="preserve">表11-7  核医学科诊断区、治疗区各关注点预测结果 </w:t>
            </w:r>
            <w:r>
              <w:rPr>
                <w:rFonts w:hint="default" w:ascii="Times New Roman" w:hAnsi="Times New Roman" w:cs="Times New Roman"/>
                <w:b/>
                <w:bCs w:val="0"/>
                <w:color w:val="auto"/>
                <w:sz w:val="24"/>
                <w:szCs w:val="24"/>
                <w:highlight w:val="none"/>
                <w:lang w:val="en-US" w:eastAsia="zh-CN"/>
              </w:rPr>
              <w:t xml:space="preserve"> 单位μSv/h</w:t>
            </w:r>
          </w:p>
          <w:tbl>
            <w:tblPr>
              <w:tblStyle w:val="22"/>
              <w:tblW w:w="960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0"/>
              <w:gridCol w:w="1704"/>
              <w:gridCol w:w="1259"/>
              <w:gridCol w:w="2232"/>
              <w:gridCol w:w="971"/>
              <w:gridCol w:w="920"/>
              <w:gridCol w:w="963"/>
              <w:gridCol w:w="985"/>
            </w:tblGrid>
            <w:tr w14:paraId="272693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21" w:hRule="atLeast"/>
                <w:tblHeader/>
                <w:jc w:val="center"/>
              </w:trPr>
              <w:tc>
                <w:tcPr>
                  <w:tcW w:w="570" w:type="dxa"/>
                  <w:tcBorders>
                    <w:tl2br w:val="nil"/>
                    <w:tr2bl w:val="nil"/>
                  </w:tcBorders>
                  <w:shd w:val="clear" w:color="auto" w:fill="auto"/>
                  <w:vAlign w:val="center"/>
                </w:tcPr>
                <w:p w14:paraId="73692E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编号</w:t>
                  </w:r>
                </w:p>
              </w:tc>
              <w:tc>
                <w:tcPr>
                  <w:tcW w:w="1704" w:type="dxa"/>
                  <w:tcBorders>
                    <w:tl2br w:val="nil"/>
                    <w:tr2bl w:val="nil"/>
                  </w:tcBorders>
                  <w:shd w:val="clear" w:color="auto" w:fill="auto"/>
                  <w:vAlign w:val="center"/>
                </w:tcPr>
                <w:p w14:paraId="76E97B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关注点</w:t>
                  </w:r>
                </w:p>
              </w:tc>
              <w:tc>
                <w:tcPr>
                  <w:tcW w:w="1259" w:type="dxa"/>
                  <w:tcBorders>
                    <w:tl2br w:val="nil"/>
                    <w:tr2bl w:val="nil"/>
                  </w:tcBorders>
                  <w:shd w:val="clear" w:color="auto" w:fill="auto"/>
                  <w:vAlign w:val="center"/>
                </w:tcPr>
                <w:p w14:paraId="6DCC55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源强</w:t>
                  </w:r>
                </w:p>
              </w:tc>
              <w:tc>
                <w:tcPr>
                  <w:tcW w:w="2232" w:type="dxa"/>
                  <w:tcBorders>
                    <w:tl2br w:val="nil"/>
                    <w:tr2bl w:val="nil"/>
                  </w:tcBorders>
                  <w:shd w:val="clear" w:color="auto" w:fill="auto"/>
                  <w:vAlign w:val="center"/>
                </w:tcPr>
                <w:p w14:paraId="2FE6E2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屏蔽措施</w:t>
                  </w:r>
                </w:p>
              </w:tc>
              <w:tc>
                <w:tcPr>
                  <w:tcW w:w="971" w:type="dxa"/>
                  <w:tcBorders>
                    <w:tl2br w:val="nil"/>
                    <w:tr2bl w:val="nil"/>
                  </w:tcBorders>
                  <w:shd w:val="clear" w:color="auto" w:fill="auto"/>
                  <w:vAlign w:val="center"/>
                </w:tcPr>
                <w:p w14:paraId="2F6F90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关注点到源的距离（m）</w:t>
                  </w:r>
                </w:p>
              </w:tc>
              <w:tc>
                <w:tcPr>
                  <w:tcW w:w="920" w:type="dxa"/>
                  <w:tcBorders>
                    <w:tl2br w:val="nil"/>
                    <w:tr2bl w:val="nil"/>
                  </w:tcBorders>
                  <w:shd w:val="clear" w:color="auto" w:fill="auto"/>
                  <w:vAlign w:val="center"/>
                </w:tcPr>
                <w:p w14:paraId="2BC142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6"/>
                      <w:szCs w:val="16"/>
                      <w:highlight w:val="none"/>
                      <w:u w:val="none"/>
                      <w:lang w:val="en-US" w:eastAsia="zh-CN" w:bidi="ar-SA"/>
                    </w:rPr>
                  </w:pPr>
                  <w: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t>99m</w:t>
                  </w:r>
                  <w:r>
                    <w:rPr>
                      <w:rFonts w:hint="default" w:ascii="Times New Roman" w:hAnsi="Times New Roman" w:eastAsia="宋体" w:cs="Times New Roman"/>
                      <w:i w:val="0"/>
                      <w:iCs w:val="0"/>
                      <w:color w:val="auto"/>
                      <w:kern w:val="0"/>
                      <w:sz w:val="16"/>
                      <w:szCs w:val="16"/>
                      <w:highlight w:val="none"/>
                      <w:u w:val="none"/>
                      <w:lang w:val="en-US" w:eastAsia="zh-CN" w:bidi="ar"/>
                    </w:rPr>
                    <w:t>Tc</w:t>
                  </w:r>
                  <w:r>
                    <w:rPr>
                      <w:rFonts w:hint="eastAsia" w:cs="Times New Roman"/>
                      <w:i w:val="0"/>
                      <w:iCs w:val="0"/>
                      <w:color w:val="auto"/>
                      <w:kern w:val="0"/>
                      <w:sz w:val="16"/>
                      <w:szCs w:val="16"/>
                      <w:highlight w:val="none"/>
                      <w:u w:val="none"/>
                      <w:lang w:val="en-US" w:eastAsia="zh-CN" w:bidi="ar"/>
                    </w:rPr>
                    <w:t>场所外剂量率</w:t>
                  </w:r>
                </w:p>
              </w:tc>
              <w:tc>
                <w:tcPr>
                  <w:tcW w:w="963" w:type="dxa"/>
                  <w:tcBorders>
                    <w:tl2br w:val="nil"/>
                    <w:tr2bl w:val="nil"/>
                  </w:tcBorders>
                  <w:shd w:val="clear" w:color="auto" w:fill="auto"/>
                  <w:noWrap/>
                  <w:vAlign w:val="center"/>
                </w:tcPr>
                <w:p w14:paraId="73DE27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6"/>
                      <w:szCs w:val="16"/>
                      <w:highlight w:val="none"/>
                      <w:u w:val="none"/>
                      <w:lang w:val="en-US" w:eastAsia="zh-CN" w:bidi="ar-SA"/>
                    </w:rPr>
                  </w:pPr>
                  <w:r>
                    <w:rPr>
                      <w:rFonts w:hint="eastAsia" w:cs="Times New Roman"/>
                      <w:i w:val="0"/>
                      <w:iCs w:val="0"/>
                      <w:color w:val="auto"/>
                      <w:kern w:val="0"/>
                      <w:sz w:val="16"/>
                      <w:szCs w:val="16"/>
                      <w:highlight w:val="none"/>
                      <w:u w:val="none"/>
                      <w:vertAlign w:val="baseline"/>
                      <w:lang w:val="en-US" w:eastAsia="zh-CN" w:bidi="ar"/>
                    </w:rPr>
                    <w:t>I-131场所外剂量率</w:t>
                  </w:r>
                </w:p>
              </w:tc>
              <w:tc>
                <w:tcPr>
                  <w:tcW w:w="985" w:type="dxa"/>
                  <w:tcBorders>
                    <w:tl2br w:val="nil"/>
                    <w:tr2bl w:val="nil"/>
                  </w:tcBorders>
                  <w:shd w:val="clear" w:color="auto" w:fill="auto"/>
                  <w:noWrap/>
                  <w:vAlign w:val="center"/>
                </w:tcPr>
                <w:p w14:paraId="0D4C60E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6"/>
                      <w:szCs w:val="16"/>
                      <w:highlight w:val="none"/>
                      <w:u w:val="none"/>
                      <w:lang w:val="en-US" w:eastAsia="zh-CN" w:bidi="ar-SA"/>
                    </w:rPr>
                  </w:pPr>
                  <w:r>
                    <w:rPr>
                      <w:rFonts w:hint="eastAsia" w:cs="Times New Roman"/>
                      <w:i w:val="0"/>
                      <w:iCs w:val="0"/>
                      <w:color w:val="auto"/>
                      <w:kern w:val="0"/>
                      <w:sz w:val="16"/>
                      <w:szCs w:val="16"/>
                      <w:highlight w:val="none"/>
                      <w:u w:val="none"/>
                      <w:vertAlign w:val="baseline"/>
                      <w:lang w:val="en-US" w:eastAsia="zh-CN" w:bidi="ar"/>
                    </w:rPr>
                    <w:t>F-18场所外剂量率</w:t>
                  </w:r>
                </w:p>
              </w:tc>
            </w:tr>
            <w:tr w14:paraId="4C6AAB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604" w:type="dxa"/>
                  <w:gridSpan w:val="8"/>
                  <w:tcBorders>
                    <w:tl2br w:val="nil"/>
                    <w:tr2bl w:val="nil"/>
                  </w:tcBorders>
                  <w:shd w:val="clear" w:color="auto" w:fill="auto"/>
                  <w:vAlign w:val="center"/>
                </w:tcPr>
                <w:p w14:paraId="1305796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b/>
                      <w:bCs/>
                      <w:i w:val="0"/>
                      <w:iCs w:val="0"/>
                      <w:color w:val="auto"/>
                      <w:kern w:val="0"/>
                      <w:sz w:val="16"/>
                      <w:szCs w:val="16"/>
                      <w:highlight w:val="none"/>
                      <w:u w:val="none"/>
                      <w:lang w:val="en-US" w:eastAsia="zh-CN" w:bidi="ar"/>
                    </w:rPr>
                    <w:t>一层SPECT诊断区</w:t>
                  </w:r>
                </w:p>
              </w:tc>
            </w:tr>
            <w:tr w14:paraId="60E3AD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70DAEF6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w:t>
                  </w:r>
                </w:p>
              </w:tc>
              <w:tc>
                <w:tcPr>
                  <w:tcW w:w="1704" w:type="dxa"/>
                  <w:tcBorders>
                    <w:tl2br w:val="nil"/>
                    <w:tr2bl w:val="nil"/>
                  </w:tcBorders>
                  <w:shd w:val="clear" w:color="auto" w:fill="auto"/>
                  <w:vAlign w:val="center"/>
                </w:tcPr>
                <w:p w14:paraId="294A8A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北墙外30cm处</w:t>
                  </w:r>
                </w:p>
              </w:tc>
              <w:tc>
                <w:tcPr>
                  <w:tcW w:w="1259" w:type="dxa"/>
                  <w:vMerge w:val="restart"/>
                  <w:tcBorders>
                    <w:tl2br w:val="nil"/>
                    <w:tr2bl w:val="nil"/>
                  </w:tcBorders>
                  <w:shd w:val="clear" w:color="auto" w:fill="auto"/>
                  <w:vAlign w:val="center"/>
                </w:tcPr>
                <w:p w14:paraId="0D145D5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cs="Times New Roman"/>
                      <w:i w:val="0"/>
                      <w:iCs w:val="0"/>
                      <w:color w:val="auto"/>
                      <w:kern w:val="0"/>
                      <w:sz w:val="16"/>
                      <w:szCs w:val="16"/>
                      <w:highlight w:val="none"/>
                      <w:u w:val="none"/>
                      <w:lang w:val="en-US" w:eastAsia="zh-CN" w:bidi="ar"/>
                    </w:rPr>
                    <w:t>场所：抢救室</w:t>
                  </w:r>
                </w:p>
                <w:p w14:paraId="4646CAA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p w14:paraId="17F7669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①</w:t>
                  </w:r>
                  <w: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t>99m</w:t>
                  </w:r>
                  <w:r>
                    <w:rPr>
                      <w:rFonts w:hint="default" w:ascii="Times New Roman" w:hAnsi="Times New Roman" w:eastAsia="宋体" w:cs="Times New Roman"/>
                      <w:i w:val="0"/>
                      <w:iCs w:val="0"/>
                      <w:color w:val="auto"/>
                      <w:kern w:val="0"/>
                      <w:sz w:val="16"/>
                      <w:szCs w:val="16"/>
                      <w:highlight w:val="none"/>
                      <w:u w:val="none"/>
                      <w:lang w:val="en-US" w:eastAsia="zh-CN" w:bidi="ar"/>
                    </w:rPr>
                    <w:t>Tc 740MBq（20mCi）②</w:t>
                  </w: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185MBq （5mCi）</w:t>
                  </w:r>
                </w:p>
              </w:tc>
              <w:tc>
                <w:tcPr>
                  <w:tcW w:w="2232" w:type="dxa"/>
                  <w:tcBorders>
                    <w:tl2br w:val="nil"/>
                    <w:tr2bl w:val="nil"/>
                  </w:tcBorders>
                  <w:shd w:val="clear" w:color="auto" w:fill="auto"/>
                  <w:vAlign w:val="center"/>
                </w:tcPr>
                <w:p w14:paraId="2FB991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150mm实心砖+140mm混凝土</w:t>
                  </w:r>
                </w:p>
              </w:tc>
              <w:tc>
                <w:tcPr>
                  <w:tcW w:w="971" w:type="dxa"/>
                  <w:tcBorders>
                    <w:tl2br w:val="nil"/>
                    <w:tr2bl w:val="nil"/>
                  </w:tcBorders>
                  <w:shd w:val="clear" w:color="auto" w:fill="auto"/>
                  <w:vAlign w:val="center"/>
                </w:tcPr>
                <w:p w14:paraId="10F221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2.5</w:t>
                  </w:r>
                </w:p>
              </w:tc>
              <w:tc>
                <w:tcPr>
                  <w:tcW w:w="920" w:type="dxa"/>
                  <w:tcBorders>
                    <w:tl2br w:val="nil"/>
                    <w:tr2bl w:val="nil"/>
                  </w:tcBorders>
                  <w:shd w:val="clear" w:color="auto" w:fill="auto"/>
                  <w:vAlign w:val="center"/>
                </w:tcPr>
                <w:p w14:paraId="492A54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3.59E-02</w:t>
                  </w:r>
                </w:p>
              </w:tc>
              <w:tc>
                <w:tcPr>
                  <w:tcW w:w="963" w:type="dxa"/>
                  <w:tcBorders>
                    <w:tl2br w:val="nil"/>
                    <w:tr2bl w:val="nil"/>
                  </w:tcBorders>
                  <w:shd w:val="clear" w:color="auto" w:fill="auto"/>
                  <w:vAlign w:val="center"/>
                </w:tcPr>
                <w:p w14:paraId="7CFB06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8.17E-02</w:t>
                  </w:r>
                </w:p>
              </w:tc>
              <w:tc>
                <w:tcPr>
                  <w:tcW w:w="985" w:type="dxa"/>
                  <w:tcBorders>
                    <w:tl2br w:val="nil"/>
                    <w:tr2bl w:val="nil"/>
                  </w:tcBorders>
                  <w:shd w:val="clear" w:color="auto" w:fill="auto"/>
                  <w:vAlign w:val="center"/>
                </w:tcPr>
                <w:p w14:paraId="33F972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366195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FEB34E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1704" w:type="dxa"/>
                  <w:tcBorders>
                    <w:tl2br w:val="nil"/>
                    <w:tr2bl w:val="nil"/>
                  </w:tcBorders>
                  <w:shd w:val="clear" w:color="auto" w:fill="auto"/>
                  <w:vAlign w:val="center"/>
                </w:tcPr>
                <w:p w14:paraId="0CFA634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东墙外30cm处</w:t>
                  </w:r>
                </w:p>
              </w:tc>
              <w:tc>
                <w:tcPr>
                  <w:tcW w:w="1259" w:type="dxa"/>
                  <w:vMerge w:val="continue"/>
                  <w:tcBorders>
                    <w:tl2br w:val="nil"/>
                    <w:tr2bl w:val="nil"/>
                  </w:tcBorders>
                  <w:shd w:val="clear" w:color="auto" w:fill="auto"/>
                  <w:vAlign w:val="center"/>
                </w:tcPr>
                <w:p w14:paraId="615B0A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45EB87F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3D4C1D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920" w:type="dxa"/>
                  <w:tcBorders>
                    <w:tl2br w:val="nil"/>
                    <w:tr2bl w:val="nil"/>
                  </w:tcBorders>
                  <w:shd w:val="clear" w:color="auto" w:fill="auto"/>
                  <w:vAlign w:val="center"/>
                </w:tcPr>
                <w:p w14:paraId="0492EC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2.19E-01</w:t>
                  </w:r>
                </w:p>
              </w:tc>
              <w:tc>
                <w:tcPr>
                  <w:tcW w:w="963" w:type="dxa"/>
                  <w:tcBorders>
                    <w:tl2br w:val="nil"/>
                    <w:tr2bl w:val="nil"/>
                  </w:tcBorders>
                  <w:shd w:val="clear" w:color="auto" w:fill="auto"/>
                  <w:vAlign w:val="center"/>
                </w:tcPr>
                <w:p w14:paraId="48C15D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3.40E-01</w:t>
                  </w:r>
                </w:p>
              </w:tc>
              <w:tc>
                <w:tcPr>
                  <w:tcW w:w="985" w:type="dxa"/>
                  <w:tcBorders>
                    <w:tl2br w:val="nil"/>
                    <w:tr2bl w:val="nil"/>
                  </w:tcBorders>
                  <w:shd w:val="clear" w:color="auto" w:fill="auto"/>
                  <w:vAlign w:val="center"/>
                </w:tcPr>
                <w:p w14:paraId="662322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61C07F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40FC3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1704" w:type="dxa"/>
                  <w:tcBorders>
                    <w:tl2br w:val="nil"/>
                    <w:tr2bl w:val="nil"/>
                  </w:tcBorders>
                  <w:shd w:val="clear" w:color="auto" w:fill="auto"/>
                  <w:vAlign w:val="center"/>
                </w:tcPr>
                <w:p w14:paraId="487749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南墙外30cm处</w:t>
                  </w:r>
                </w:p>
              </w:tc>
              <w:tc>
                <w:tcPr>
                  <w:tcW w:w="1259" w:type="dxa"/>
                  <w:vMerge w:val="continue"/>
                  <w:tcBorders>
                    <w:tl2br w:val="nil"/>
                    <w:tr2bl w:val="nil"/>
                  </w:tcBorders>
                  <w:shd w:val="clear" w:color="auto" w:fill="auto"/>
                  <w:vAlign w:val="center"/>
                </w:tcPr>
                <w:p w14:paraId="171155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DBC3CC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31EE6C4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2.5</w:t>
                  </w:r>
                </w:p>
              </w:tc>
              <w:tc>
                <w:tcPr>
                  <w:tcW w:w="920" w:type="dxa"/>
                  <w:tcBorders>
                    <w:tl2br w:val="nil"/>
                    <w:tr2bl w:val="nil"/>
                  </w:tcBorders>
                  <w:shd w:val="clear" w:color="auto" w:fill="auto"/>
                  <w:vAlign w:val="center"/>
                </w:tcPr>
                <w:p w14:paraId="5FC925D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1.13E-01</w:t>
                  </w:r>
                </w:p>
              </w:tc>
              <w:tc>
                <w:tcPr>
                  <w:tcW w:w="963" w:type="dxa"/>
                  <w:tcBorders>
                    <w:tl2br w:val="nil"/>
                    <w:tr2bl w:val="nil"/>
                  </w:tcBorders>
                  <w:shd w:val="clear" w:color="auto" w:fill="auto"/>
                  <w:vAlign w:val="center"/>
                </w:tcPr>
                <w:p w14:paraId="301CE3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1.76E-01</w:t>
                  </w:r>
                </w:p>
              </w:tc>
              <w:tc>
                <w:tcPr>
                  <w:tcW w:w="985" w:type="dxa"/>
                  <w:tcBorders>
                    <w:tl2br w:val="nil"/>
                    <w:tr2bl w:val="nil"/>
                  </w:tcBorders>
                  <w:shd w:val="clear" w:color="auto" w:fill="auto"/>
                  <w:vAlign w:val="center"/>
                </w:tcPr>
                <w:p w14:paraId="0D6707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57FF11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411C0BC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1704" w:type="dxa"/>
                  <w:tcBorders>
                    <w:tl2br w:val="nil"/>
                    <w:tr2bl w:val="nil"/>
                  </w:tcBorders>
                  <w:shd w:val="clear" w:color="auto" w:fill="auto"/>
                  <w:vAlign w:val="center"/>
                </w:tcPr>
                <w:p w14:paraId="31844A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西墙外30cm处</w:t>
                  </w:r>
                </w:p>
              </w:tc>
              <w:tc>
                <w:tcPr>
                  <w:tcW w:w="1259" w:type="dxa"/>
                  <w:vMerge w:val="continue"/>
                  <w:tcBorders>
                    <w:tl2br w:val="nil"/>
                    <w:tr2bl w:val="nil"/>
                  </w:tcBorders>
                  <w:shd w:val="clear" w:color="auto" w:fill="auto"/>
                  <w:vAlign w:val="center"/>
                </w:tcPr>
                <w:p w14:paraId="03800C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787E2D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085A9A4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920" w:type="dxa"/>
                  <w:tcBorders>
                    <w:tl2br w:val="nil"/>
                    <w:tr2bl w:val="nil"/>
                  </w:tcBorders>
                  <w:shd w:val="clear" w:color="auto" w:fill="auto"/>
                  <w:vAlign w:val="center"/>
                </w:tcPr>
                <w:p w14:paraId="36F284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2.19E-01</w:t>
                  </w:r>
                </w:p>
              </w:tc>
              <w:tc>
                <w:tcPr>
                  <w:tcW w:w="963" w:type="dxa"/>
                  <w:tcBorders>
                    <w:tl2br w:val="nil"/>
                    <w:tr2bl w:val="nil"/>
                  </w:tcBorders>
                  <w:shd w:val="clear" w:color="auto" w:fill="auto"/>
                  <w:vAlign w:val="center"/>
                </w:tcPr>
                <w:p w14:paraId="68E898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3.40E-01</w:t>
                  </w:r>
                </w:p>
              </w:tc>
              <w:tc>
                <w:tcPr>
                  <w:tcW w:w="985" w:type="dxa"/>
                  <w:tcBorders>
                    <w:tl2br w:val="nil"/>
                    <w:tr2bl w:val="nil"/>
                  </w:tcBorders>
                  <w:shd w:val="clear" w:color="auto" w:fill="auto"/>
                  <w:vAlign w:val="center"/>
                </w:tcPr>
                <w:p w14:paraId="7270842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65C18A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1BE3E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1704" w:type="dxa"/>
                  <w:tcBorders>
                    <w:tl2br w:val="nil"/>
                    <w:tr2bl w:val="nil"/>
                  </w:tcBorders>
                  <w:shd w:val="clear" w:color="auto" w:fill="auto"/>
                  <w:vAlign w:val="center"/>
                </w:tcPr>
                <w:p w14:paraId="69221F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6C7829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537402D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79D493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vAlign w:val="center"/>
                </w:tcPr>
                <w:p w14:paraId="4F0485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63" w:type="dxa"/>
                  <w:tcBorders>
                    <w:tl2br w:val="nil"/>
                    <w:tr2bl w:val="nil"/>
                  </w:tcBorders>
                  <w:shd w:val="clear" w:color="auto" w:fill="auto"/>
                  <w:vAlign w:val="center"/>
                </w:tcPr>
                <w:p w14:paraId="51C5E3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7.57E-03</w:t>
                  </w:r>
                </w:p>
              </w:tc>
              <w:tc>
                <w:tcPr>
                  <w:tcW w:w="985" w:type="dxa"/>
                  <w:tcBorders>
                    <w:tl2br w:val="nil"/>
                    <w:tr2bl w:val="nil"/>
                  </w:tcBorders>
                  <w:shd w:val="clear" w:color="auto" w:fill="auto"/>
                  <w:vAlign w:val="center"/>
                </w:tcPr>
                <w:p w14:paraId="612456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581357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E337B8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w:t>
                  </w:r>
                </w:p>
              </w:tc>
              <w:tc>
                <w:tcPr>
                  <w:tcW w:w="1704" w:type="dxa"/>
                  <w:tcBorders>
                    <w:tl2br w:val="nil"/>
                    <w:tr2bl w:val="nil"/>
                  </w:tcBorders>
                  <w:shd w:val="clear" w:color="auto" w:fill="auto"/>
                  <w:vAlign w:val="center"/>
                </w:tcPr>
                <w:p w14:paraId="4B4DF3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2910CDB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03F923C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27F2588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vAlign w:val="center"/>
                </w:tcPr>
                <w:p w14:paraId="3E9BCC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63" w:type="dxa"/>
                  <w:tcBorders>
                    <w:tl2br w:val="nil"/>
                    <w:tr2bl w:val="nil"/>
                  </w:tcBorders>
                  <w:shd w:val="clear" w:color="auto" w:fill="auto"/>
                  <w:vAlign w:val="center"/>
                </w:tcPr>
                <w:p w14:paraId="0BE7CA9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8.21E-03</w:t>
                  </w:r>
                </w:p>
              </w:tc>
              <w:tc>
                <w:tcPr>
                  <w:tcW w:w="985" w:type="dxa"/>
                  <w:tcBorders>
                    <w:tl2br w:val="nil"/>
                    <w:tr2bl w:val="nil"/>
                  </w:tcBorders>
                  <w:shd w:val="clear" w:color="auto" w:fill="auto"/>
                  <w:vAlign w:val="center"/>
                </w:tcPr>
                <w:p w14:paraId="4245FD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538100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78CD6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w:t>
                  </w:r>
                </w:p>
              </w:tc>
              <w:tc>
                <w:tcPr>
                  <w:tcW w:w="1704" w:type="dxa"/>
                  <w:tcBorders>
                    <w:tl2br w:val="nil"/>
                    <w:tr2bl w:val="nil"/>
                  </w:tcBorders>
                  <w:shd w:val="clear" w:color="auto" w:fill="auto"/>
                  <w:vAlign w:val="center"/>
                </w:tcPr>
                <w:p w14:paraId="0ADB011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201D89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0C7EE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3mmPb铅板</w:t>
                  </w:r>
                </w:p>
              </w:tc>
              <w:tc>
                <w:tcPr>
                  <w:tcW w:w="971" w:type="dxa"/>
                  <w:tcBorders>
                    <w:tl2br w:val="nil"/>
                    <w:tr2bl w:val="nil"/>
                  </w:tcBorders>
                  <w:shd w:val="clear" w:color="auto" w:fill="auto"/>
                  <w:vAlign w:val="center"/>
                </w:tcPr>
                <w:p w14:paraId="0CDE8C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2.5</w:t>
                  </w:r>
                </w:p>
              </w:tc>
              <w:tc>
                <w:tcPr>
                  <w:tcW w:w="920" w:type="dxa"/>
                  <w:tcBorders>
                    <w:tl2br w:val="nil"/>
                    <w:tr2bl w:val="nil"/>
                  </w:tcBorders>
                  <w:shd w:val="clear" w:color="auto" w:fill="auto"/>
                  <w:vAlign w:val="center"/>
                </w:tcPr>
                <w:p w14:paraId="4E23FD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3.59E-03</w:t>
                  </w:r>
                </w:p>
              </w:tc>
              <w:tc>
                <w:tcPr>
                  <w:tcW w:w="963" w:type="dxa"/>
                  <w:tcBorders>
                    <w:tl2br w:val="nil"/>
                    <w:tr2bl w:val="nil"/>
                  </w:tcBorders>
                  <w:shd w:val="clear" w:color="auto" w:fill="auto"/>
                  <w:vAlign w:val="center"/>
                </w:tcPr>
                <w:p w14:paraId="0FC8013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9.40E-01</w:t>
                  </w:r>
                </w:p>
              </w:tc>
              <w:tc>
                <w:tcPr>
                  <w:tcW w:w="985" w:type="dxa"/>
                  <w:tcBorders>
                    <w:tl2br w:val="nil"/>
                    <w:tr2bl w:val="nil"/>
                  </w:tcBorders>
                  <w:shd w:val="clear" w:color="auto" w:fill="auto"/>
                  <w:vAlign w:val="center"/>
                </w:tcPr>
                <w:p w14:paraId="021D5E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3721BB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6BFEA2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w:t>
                  </w:r>
                </w:p>
              </w:tc>
              <w:tc>
                <w:tcPr>
                  <w:tcW w:w="1704" w:type="dxa"/>
                  <w:tcBorders>
                    <w:tl2br w:val="nil"/>
                    <w:tr2bl w:val="nil"/>
                  </w:tcBorders>
                  <w:shd w:val="clear" w:color="auto" w:fill="auto"/>
                  <w:vAlign w:val="center"/>
                </w:tcPr>
                <w:p w14:paraId="1F38B5C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北墙外30cm处</w:t>
                  </w:r>
                </w:p>
              </w:tc>
              <w:tc>
                <w:tcPr>
                  <w:tcW w:w="1259" w:type="dxa"/>
                  <w:vMerge w:val="restart"/>
                  <w:tcBorders>
                    <w:tl2br w:val="nil"/>
                    <w:tr2bl w:val="nil"/>
                  </w:tcBorders>
                  <w:shd w:val="clear" w:color="auto" w:fill="auto"/>
                  <w:vAlign w:val="center"/>
                </w:tcPr>
                <w:p w14:paraId="70CACB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p w14:paraId="19873B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p w14:paraId="699603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p w14:paraId="6329A5D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场所注射后休息室</w:t>
                  </w:r>
                </w:p>
                <w:p w14:paraId="3D68029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p w14:paraId="61DB0C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①</w:t>
                  </w:r>
                  <w: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t>99m</w:t>
                  </w:r>
                  <w:r>
                    <w:rPr>
                      <w:rFonts w:hint="default" w:ascii="Times New Roman" w:hAnsi="Times New Roman" w:eastAsia="宋体" w:cs="Times New Roman"/>
                      <w:i w:val="0"/>
                      <w:iCs w:val="0"/>
                      <w:color w:val="auto"/>
                      <w:kern w:val="0"/>
                      <w:sz w:val="16"/>
                      <w:szCs w:val="16"/>
                      <w:highlight w:val="none"/>
                      <w:u w:val="none"/>
                      <w:lang w:val="en-US" w:eastAsia="zh-CN" w:bidi="ar"/>
                    </w:rPr>
                    <w:t>Tc 1480MBq（40mCi）②</w:t>
                  </w: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185MBq （5mCi）</w:t>
                  </w:r>
                </w:p>
              </w:tc>
              <w:tc>
                <w:tcPr>
                  <w:tcW w:w="2232" w:type="dxa"/>
                  <w:tcBorders>
                    <w:tl2br w:val="nil"/>
                    <w:tr2bl w:val="nil"/>
                  </w:tcBorders>
                  <w:shd w:val="clear" w:color="auto" w:fill="auto"/>
                  <w:vAlign w:val="center"/>
                </w:tcPr>
                <w:p w14:paraId="68F576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150mm实心砖+140mm混凝土</w:t>
                  </w:r>
                </w:p>
              </w:tc>
              <w:tc>
                <w:tcPr>
                  <w:tcW w:w="971" w:type="dxa"/>
                  <w:tcBorders>
                    <w:tl2br w:val="nil"/>
                    <w:tr2bl w:val="nil"/>
                  </w:tcBorders>
                  <w:shd w:val="clear" w:color="auto" w:fill="auto"/>
                  <w:vAlign w:val="center"/>
                </w:tcPr>
                <w:p w14:paraId="5A5D24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2.5</w:t>
                  </w:r>
                </w:p>
              </w:tc>
              <w:tc>
                <w:tcPr>
                  <w:tcW w:w="920" w:type="dxa"/>
                  <w:tcBorders>
                    <w:tl2br w:val="nil"/>
                    <w:tr2bl w:val="nil"/>
                  </w:tcBorders>
                  <w:shd w:val="clear" w:color="auto" w:fill="auto"/>
                  <w:vAlign w:val="center"/>
                </w:tcPr>
                <w:p w14:paraId="617541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7.18E-02</w:t>
                  </w:r>
                </w:p>
              </w:tc>
              <w:tc>
                <w:tcPr>
                  <w:tcW w:w="963" w:type="dxa"/>
                  <w:tcBorders>
                    <w:tl2br w:val="nil"/>
                    <w:tr2bl w:val="nil"/>
                  </w:tcBorders>
                  <w:shd w:val="clear" w:color="auto" w:fill="auto"/>
                  <w:vAlign w:val="center"/>
                </w:tcPr>
                <w:p w14:paraId="56C34E7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8.17E-02</w:t>
                  </w:r>
                </w:p>
              </w:tc>
              <w:tc>
                <w:tcPr>
                  <w:tcW w:w="985" w:type="dxa"/>
                  <w:tcBorders>
                    <w:tl2br w:val="nil"/>
                    <w:tr2bl w:val="nil"/>
                  </w:tcBorders>
                  <w:shd w:val="clear" w:color="auto" w:fill="auto"/>
                  <w:vAlign w:val="center"/>
                </w:tcPr>
                <w:p w14:paraId="25C3D55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31B3A1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790BBD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w:t>
                  </w:r>
                </w:p>
              </w:tc>
              <w:tc>
                <w:tcPr>
                  <w:tcW w:w="1704" w:type="dxa"/>
                  <w:tcBorders>
                    <w:tl2br w:val="nil"/>
                    <w:tr2bl w:val="nil"/>
                  </w:tcBorders>
                  <w:shd w:val="clear" w:color="auto" w:fill="auto"/>
                  <w:vAlign w:val="center"/>
                </w:tcPr>
                <w:p w14:paraId="73BBF2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东墙外30cm处</w:t>
                  </w:r>
                </w:p>
              </w:tc>
              <w:tc>
                <w:tcPr>
                  <w:tcW w:w="1259" w:type="dxa"/>
                  <w:vMerge w:val="continue"/>
                  <w:tcBorders>
                    <w:tl2br w:val="nil"/>
                    <w:tr2bl w:val="nil"/>
                  </w:tcBorders>
                  <w:shd w:val="clear" w:color="auto" w:fill="auto"/>
                  <w:vAlign w:val="center"/>
                </w:tcPr>
                <w:p w14:paraId="0C7CE52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609788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00CE77E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5.3</w:t>
                  </w:r>
                </w:p>
              </w:tc>
              <w:tc>
                <w:tcPr>
                  <w:tcW w:w="920" w:type="dxa"/>
                  <w:tcBorders>
                    <w:tl2br w:val="nil"/>
                    <w:tr2bl w:val="nil"/>
                  </w:tcBorders>
                  <w:shd w:val="clear" w:color="auto" w:fill="auto"/>
                  <w:vAlign w:val="center"/>
                </w:tcPr>
                <w:p w14:paraId="333AF4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5.05E-02</w:t>
                  </w:r>
                </w:p>
              </w:tc>
              <w:tc>
                <w:tcPr>
                  <w:tcW w:w="963" w:type="dxa"/>
                  <w:tcBorders>
                    <w:tl2br w:val="nil"/>
                    <w:tr2bl w:val="nil"/>
                  </w:tcBorders>
                  <w:shd w:val="clear" w:color="auto" w:fill="auto"/>
                  <w:vAlign w:val="center"/>
                </w:tcPr>
                <w:p w14:paraId="1F7E4E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3.92E-02</w:t>
                  </w:r>
                </w:p>
              </w:tc>
              <w:tc>
                <w:tcPr>
                  <w:tcW w:w="985" w:type="dxa"/>
                  <w:tcBorders>
                    <w:tl2br w:val="nil"/>
                    <w:tr2bl w:val="nil"/>
                  </w:tcBorders>
                  <w:shd w:val="clear" w:color="auto" w:fill="auto"/>
                  <w:vAlign w:val="center"/>
                </w:tcPr>
                <w:p w14:paraId="715644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D73C1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625DAD8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w:t>
                  </w:r>
                </w:p>
              </w:tc>
              <w:tc>
                <w:tcPr>
                  <w:tcW w:w="1704" w:type="dxa"/>
                  <w:tcBorders>
                    <w:tl2br w:val="nil"/>
                    <w:tr2bl w:val="nil"/>
                  </w:tcBorders>
                  <w:shd w:val="clear" w:color="auto" w:fill="auto"/>
                  <w:vAlign w:val="center"/>
                </w:tcPr>
                <w:p w14:paraId="7FF660F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南墙外30cm处</w:t>
                  </w:r>
                </w:p>
              </w:tc>
              <w:tc>
                <w:tcPr>
                  <w:tcW w:w="1259" w:type="dxa"/>
                  <w:vMerge w:val="continue"/>
                  <w:tcBorders>
                    <w:tl2br w:val="nil"/>
                    <w:tr2bl w:val="nil"/>
                  </w:tcBorders>
                  <w:shd w:val="clear" w:color="auto" w:fill="auto"/>
                  <w:vAlign w:val="center"/>
                </w:tcPr>
                <w:p w14:paraId="04892E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FC2C3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631F2D7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2.5</w:t>
                  </w:r>
                </w:p>
              </w:tc>
              <w:tc>
                <w:tcPr>
                  <w:tcW w:w="920" w:type="dxa"/>
                  <w:tcBorders>
                    <w:tl2br w:val="nil"/>
                    <w:tr2bl w:val="nil"/>
                  </w:tcBorders>
                  <w:shd w:val="clear" w:color="auto" w:fill="auto"/>
                  <w:vAlign w:val="center"/>
                </w:tcPr>
                <w:p w14:paraId="24DA5C5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2.27E-01</w:t>
                  </w:r>
                </w:p>
              </w:tc>
              <w:tc>
                <w:tcPr>
                  <w:tcW w:w="963" w:type="dxa"/>
                  <w:tcBorders>
                    <w:tl2br w:val="nil"/>
                    <w:tr2bl w:val="nil"/>
                  </w:tcBorders>
                  <w:shd w:val="clear" w:color="auto" w:fill="auto"/>
                  <w:vAlign w:val="center"/>
                </w:tcPr>
                <w:p w14:paraId="3A67FB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1.76E-01</w:t>
                  </w:r>
                </w:p>
              </w:tc>
              <w:tc>
                <w:tcPr>
                  <w:tcW w:w="985" w:type="dxa"/>
                  <w:tcBorders>
                    <w:tl2br w:val="nil"/>
                    <w:tr2bl w:val="nil"/>
                  </w:tcBorders>
                  <w:shd w:val="clear" w:color="auto" w:fill="auto"/>
                  <w:vAlign w:val="center"/>
                </w:tcPr>
                <w:p w14:paraId="27A94B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4E8EF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5B2E3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11</w:t>
                  </w:r>
                </w:p>
              </w:tc>
              <w:tc>
                <w:tcPr>
                  <w:tcW w:w="1704" w:type="dxa"/>
                  <w:tcBorders>
                    <w:tl2br w:val="nil"/>
                    <w:tr2bl w:val="nil"/>
                  </w:tcBorders>
                  <w:shd w:val="clear" w:color="auto" w:fill="auto"/>
                  <w:vAlign w:val="center"/>
                </w:tcPr>
                <w:p w14:paraId="297C8F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西墙外30cm处</w:t>
                  </w:r>
                </w:p>
              </w:tc>
              <w:tc>
                <w:tcPr>
                  <w:tcW w:w="1259" w:type="dxa"/>
                  <w:vMerge w:val="continue"/>
                  <w:tcBorders>
                    <w:tl2br w:val="nil"/>
                    <w:tr2bl w:val="nil"/>
                  </w:tcBorders>
                  <w:shd w:val="clear" w:color="auto" w:fill="auto"/>
                  <w:vAlign w:val="center"/>
                </w:tcPr>
                <w:p w14:paraId="6C69554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9C0EE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19B64D1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5.3</w:t>
                  </w:r>
                </w:p>
              </w:tc>
              <w:tc>
                <w:tcPr>
                  <w:tcW w:w="920" w:type="dxa"/>
                  <w:tcBorders>
                    <w:tl2br w:val="nil"/>
                    <w:tr2bl w:val="nil"/>
                  </w:tcBorders>
                  <w:shd w:val="clear" w:color="auto" w:fill="auto"/>
                  <w:vAlign w:val="center"/>
                </w:tcPr>
                <w:p w14:paraId="104F8C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5.05E-02</w:t>
                  </w:r>
                </w:p>
              </w:tc>
              <w:tc>
                <w:tcPr>
                  <w:tcW w:w="963" w:type="dxa"/>
                  <w:tcBorders>
                    <w:tl2br w:val="nil"/>
                    <w:tr2bl w:val="nil"/>
                  </w:tcBorders>
                  <w:shd w:val="clear" w:color="auto" w:fill="auto"/>
                  <w:vAlign w:val="center"/>
                </w:tcPr>
                <w:p w14:paraId="217A6B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3.92E-02</w:t>
                  </w:r>
                </w:p>
              </w:tc>
              <w:tc>
                <w:tcPr>
                  <w:tcW w:w="985" w:type="dxa"/>
                  <w:tcBorders>
                    <w:tl2br w:val="nil"/>
                    <w:tr2bl w:val="nil"/>
                  </w:tcBorders>
                  <w:shd w:val="clear" w:color="auto" w:fill="auto"/>
                  <w:vAlign w:val="center"/>
                </w:tcPr>
                <w:p w14:paraId="214F40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3E0841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466C5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12</w:t>
                  </w:r>
                </w:p>
              </w:tc>
              <w:tc>
                <w:tcPr>
                  <w:tcW w:w="1704" w:type="dxa"/>
                  <w:tcBorders>
                    <w:tl2br w:val="nil"/>
                    <w:tr2bl w:val="nil"/>
                  </w:tcBorders>
                  <w:shd w:val="clear" w:color="auto" w:fill="auto"/>
                  <w:vAlign w:val="center"/>
                </w:tcPr>
                <w:p w14:paraId="001C24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27B960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C8F91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44F0CC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vAlign w:val="center"/>
                </w:tcPr>
                <w:p w14:paraId="22B926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3.36E-03</w:t>
                  </w:r>
                </w:p>
              </w:tc>
              <w:tc>
                <w:tcPr>
                  <w:tcW w:w="963" w:type="dxa"/>
                  <w:tcBorders>
                    <w:tl2br w:val="nil"/>
                    <w:tr2bl w:val="nil"/>
                  </w:tcBorders>
                  <w:shd w:val="clear" w:color="auto" w:fill="auto"/>
                  <w:vAlign w:val="center"/>
                </w:tcPr>
                <w:p w14:paraId="36C5762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7.57E-03</w:t>
                  </w:r>
                </w:p>
              </w:tc>
              <w:tc>
                <w:tcPr>
                  <w:tcW w:w="985" w:type="dxa"/>
                  <w:tcBorders>
                    <w:tl2br w:val="nil"/>
                    <w:tr2bl w:val="nil"/>
                  </w:tcBorders>
                  <w:shd w:val="clear" w:color="auto" w:fill="auto"/>
                  <w:vAlign w:val="center"/>
                </w:tcPr>
                <w:p w14:paraId="30C41D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51F85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77F12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13</w:t>
                  </w:r>
                </w:p>
              </w:tc>
              <w:tc>
                <w:tcPr>
                  <w:tcW w:w="1704" w:type="dxa"/>
                  <w:tcBorders>
                    <w:tl2br w:val="nil"/>
                    <w:tr2bl w:val="nil"/>
                  </w:tcBorders>
                  <w:shd w:val="clear" w:color="auto" w:fill="auto"/>
                  <w:vAlign w:val="center"/>
                </w:tcPr>
                <w:p w14:paraId="41A36C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61393F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6292DF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7AB19D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vAlign w:val="center"/>
                </w:tcPr>
                <w:p w14:paraId="509BE9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3.65E-03</w:t>
                  </w:r>
                </w:p>
              </w:tc>
              <w:tc>
                <w:tcPr>
                  <w:tcW w:w="963" w:type="dxa"/>
                  <w:tcBorders>
                    <w:tl2br w:val="nil"/>
                    <w:tr2bl w:val="nil"/>
                  </w:tcBorders>
                  <w:shd w:val="clear" w:color="auto" w:fill="auto"/>
                  <w:vAlign w:val="center"/>
                </w:tcPr>
                <w:p w14:paraId="2097A29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8.21E-03</w:t>
                  </w:r>
                </w:p>
              </w:tc>
              <w:tc>
                <w:tcPr>
                  <w:tcW w:w="985" w:type="dxa"/>
                  <w:tcBorders>
                    <w:tl2br w:val="nil"/>
                    <w:tr2bl w:val="nil"/>
                  </w:tcBorders>
                  <w:shd w:val="clear" w:color="auto" w:fill="auto"/>
                  <w:vAlign w:val="center"/>
                </w:tcPr>
                <w:p w14:paraId="6DC7960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9BF46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70" w:type="dxa"/>
                  <w:tcBorders>
                    <w:tl2br w:val="nil"/>
                    <w:tr2bl w:val="nil"/>
                  </w:tcBorders>
                  <w:shd w:val="clear" w:color="auto" w:fill="auto"/>
                  <w:vAlign w:val="center"/>
                </w:tcPr>
                <w:p w14:paraId="34370E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14</w:t>
                  </w:r>
                </w:p>
              </w:tc>
              <w:tc>
                <w:tcPr>
                  <w:tcW w:w="1704" w:type="dxa"/>
                  <w:tcBorders>
                    <w:tl2br w:val="nil"/>
                    <w:tr2bl w:val="nil"/>
                  </w:tcBorders>
                  <w:shd w:val="clear" w:color="auto" w:fill="auto"/>
                  <w:vAlign w:val="center"/>
                </w:tcPr>
                <w:p w14:paraId="1A3668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330105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0F72FA3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3mmPb铅板</w:t>
                  </w:r>
                </w:p>
              </w:tc>
              <w:tc>
                <w:tcPr>
                  <w:tcW w:w="971" w:type="dxa"/>
                  <w:tcBorders>
                    <w:tl2br w:val="nil"/>
                    <w:tr2bl w:val="nil"/>
                  </w:tcBorders>
                  <w:shd w:val="clear" w:color="auto" w:fill="auto"/>
                  <w:vAlign w:val="center"/>
                </w:tcPr>
                <w:p w14:paraId="5233F85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2.5</w:t>
                  </w:r>
                </w:p>
              </w:tc>
              <w:tc>
                <w:tcPr>
                  <w:tcW w:w="920" w:type="dxa"/>
                  <w:tcBorders>
                    <w:tl2br w:val="nil"/>
                    <w:tr2bl w:val="nil"/>
                  </w:tcBorders>
                  <w:shd w:val="clear" w:color="auto" w:fill="auto"/>
                  <w:vAlign w:val="center"/>
                </w:tcPr>
                <w:p w14:paraId="60F11A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7.18E-03</w:t>
                  </w:r>
                </w:p>
              </w:tc>
              <w:tc>
                <w:tcPr>
                  <w:tcW w:w="963" w:type="dxa"/>
                  <w:tcBorders>
                    <w:tl2br w:val="nil"/>
                    <w:tr2bl w:val="nil"/>
                  </w:tcBorders>
                  <w:shd w:val="clear" w:color="auto" w:fill="auto"/>
                  <w:vAlign w:val="center"/>
                </w:tcPr>
                <w:p w14:paraId="6F3899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9.40E-01</w:t>
                  </w:r>
                </w:p>
              </w:tc>
              <w:tc>
                <w:tcPr>
                  <w:tcW w:w="985" w:type="dxa"/>
                  <w:tcBorders>
                    <w:tl2br w:val="nil"/>
                    <w:tr2bl w:val="nil"/>
                  </w:tcBorders>
                  <w:shd w:val="clear" w:color="auto" w:fill="auto"/>
                  <w:vAlign w:val="center"/>
                </w:tcPr>
                <w:p w14:paraId="1BE907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E99BE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C04D2E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15</w:t>
                  </w:r>
                </w:p>
              </w:tc>
              <w:tc>
                <w:tcPr>
                  <w:tcW w:w="1704" w:type="dxa"/>
                  <w:tcBorders>
                    <w:tl2br w:val="nil"/>
                    <w:tr2bl w:val="nil"/>
                  </w:tcBorders>
                  <w:shd w:val="clear" w:color="auto" w:fill="auto"/>
                  <w:vAlign w:val="center"/>
                </w:tcPr>
                <w:p w14:paraId="5CD18B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北墙外30cm处</w:t>
                  </w:r>
                </w:p>
              </w:tc>
              <w:tc>
                <w:tcPr>
                  <w:tcW w:w="1259" w:type="dxa"/>
                  <w:vMerge w:val="restart"/>
                  <w:tcBorders>
                    <w:tl2br w:val="nil"/>
                    <w:tr2bl w:val="nil"/>
                  </w:tcBorders>
                  <w:shd w:val="clear" w:color="auto" w:fill="auto"/>
                  <w:vAlign w:val="center"/>
                </w:tcPr>
                <w:p w14:paraId="11B614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场所：留观室</w:t>
                  </w:r>
                </w:p>
                <w:p w14:paraId="2C634C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p w14:paraId="4C4B86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①</w:t>
                  </w:r>
                  <w: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t>99m</w:t>
                  </w:r>
                  <w:r>
                    <w:rPr>
                      <w:rFonts w:hint="default" w:ascii="Times New Roman" w:hAnsi="Times New Roman" w:eastAsia="宋体" w:cs="Times New Roman"/>
                      <w:i w:val="0"/>
                      <w:iCs w:val="0"/>
                      <w:color w:val="auto"/>
                      <w:kern w:val="0"/>
                      <w:sz w:val="16"/>
                      <w:szCs w:val="16"/>
                      <w:highlight w:val="none"/>
                      <w:u w:val="none"/>
                      <w:lang w:val="en-US" w:eastAsia="zh-CN" w:bidi="ar"/>
                    </w:rPr>
                    <w:t>Tc 1480MBq（40mCi）②</w:t>
                  </w: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185MBq （5mCi）</w:t>
                  </w:r>
                </w:p>
              </w:tc>
              <w:tc>
                <w:tcPr>
                  <w:tcW w:w="2232" w:type="dxa"/>
                  <w:tcBorders>
                    <w:tl2br w:val="nil"/>
                    <w:tr2bl w:val="nil"/>
                  </w:tcBorders>
                  <w:shd w:val="clear" w:color="auto" w:fill="auto"/>
                  <w:vAlign w:val="center"/>
                </w:tcPr>
                <w:p w14:paraId="4EB460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150mm实心砖+140mm混凝土</w:t>
                  </w:r>
                </w:p>
              </w:tc>
              <w:tc>
                <w:tcPr>
                  <w:tcW w:w="971" w:type="dxa"/>
                  <w:tcBorders>
                    <w:tl2br w:val="nil"/>
                    <w:tr2bl w:val="nil"/>
                  </w:tcBorders>
                  <w:shd w:val="clear" w:color="auto" w:fill="auto"/>
                  <w:vAlign w:val="center"/>
                </w:tcPr>
                <w:p w14:paraId="173B205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2.7</w:t>
                  </w:r>
                </w:p>
              </w:tc>
              <w:tc>
                <w:tcPr>
                  <w:tcW w:w="920" w:type="dxa"/>
                  <w:tcBorders>
                    <w:tl2br w:val="nil"/>
                    <w:tr2bl w:val="nil"/>
                  </w:tcBorders>
                  <w:shd w:val="clear" w:color="auto" w:fill="auto"/>
                  <w:vAlign w:val="center"/>
                </w:tcPr>
                <w:p w14:paraId="3B2E71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6.15E-02</w:t>
                  </w:r>
                </w:p>
              </w:tc>
              <w:tc>
                <w:tcPr>
                  <w:tcW w:w="963" w:type="dxa"/>
                  <w:tcBorders>
                    <w:tl2br w:val="nil"/>
                    <w:tr2bl w:val="nil"/>
                  </w:tcBorders>
                  <w:shd w:val="clear" w:color="auto" w:fill="auto"/>
                  <w:vAlign w:val="center"/>
                </w:tcPr>
                <w:p w14:paraId="1F533A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7.01E-02</w:t>
                  </w:r>
                </w:p>
              </w:tc>
              <w:tc>
                <w:tcPr>
                  <w:tcW w:w="985" w:type="dxa"/>
                  <w:tcBorders>
                    <w:tl2br w:val="nil"/>
                    <w:tr2bl w:val="nil"/>
                  </w:tcBorders>
                  <w:shd w:val="clear" w:color="auto" w:fill="auto"/>
                  <w:vAlign w:val="center"/>
                </w:tcPr>
                <w:p w14:paraId="167CB1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157540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BC4C01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1704" w:type="dxa"/>
                  <w:tcBorders>
                    <w:tl2br w:val="nil"/>
                    <w:tr2bl w:val="nil"/>
                  </w:tcBorders>
                  <w:shd w:val="clear" w:color="auto" w:fill="auto"/>
                  <w:vAlign w:val="center"/>
                </w:tcPr>
                <w:p w14:paraId="2BDC51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东墙外30cm处</w:t>
                  </w:r>
                </w:p>
              </w:tc>
              <w:tc>
                <w:tcPr>
                  <w:tcW w:w="1259" w:type="dxa"/>
                  <w:vMerge w:val="continue"/>
                  <w:tcBorders>
                    <w:tl2br w:val="nil"/>
                    <w:tr2bl w:val="nil"/>
                  </w:tcBorders>
                  <w:shd w:val="clear" w:color="auto" w:fill="auto"/>
                  <w:vAlign w:val="center"/>
                </w:tcPr>
                <w:p w14:paraId="498D58B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B0DB4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123938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2.3</w:t>
                  </w:r>
                </w:p>
              </w:tc>
              <w:tc>
                <w:tcPr>
                  <w:tcW w:w="920" w:type="dxa"/>
                  <w:tcBorders>
                    <w:tl2br w:val="nil"/>
                    <w:tr2bl w:val="nil"/>
                  </w:tcBorders>
                  <w:shd w:val="clear" w:color="auto" w:fill="auto"/>
                  <w:vAlign w:val="center"/>
                </w:tcPr>
                <w:p w14:paraId="2B27B7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2.68E-01</w:t>
                  </w:r>
                </w:p>
              </w:tc>
              <w:tc>
                <w:tcPr>
                  <w:tcW w:w="963" w:type="dxa"/>
                  <w:tcBorders>
                    <w:tl2br w:val="nil"/>
                    <w:tr2bl w:val="nil"/>
                  </w:tcBorders>
                  <w:shd w:val="clear" w:color="auto" w:fill="auto"/>
                  <w:vAlign w:val="center"/>
                </w:tcPr>
                <w:p w14:paraId="7742C5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2.08E-01</w:t>
                  </w:r>
                </w:p>
              </w:tc>
              <w:tc>
                <w:tcPr>
                  <w:tcW w:w="985" w:type="dxa"/>
                  <w:tcBorders>
                    <w:tl2br w:val="nil"/>
                    <w:tr2bl w:val="nil"/>
                  </w:tcBorders>
                  <w:shd w:val="clear" w:color="auto" w:fill="auto"/>
                  <w:vAlign w:val="center"/>
                </w:tcPr>
                <w:p w14:paraId="7EA8E8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3BC35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A68202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w:t>
                  </w:r>
                </w:p>
              </w:tc>
              <w:tc>
                <w:tcPr>
                  <w:tcW w:w="1704" w:type="dxa"/>
                  <w:tcBorders>
                    <w:tl2br w:val="nil"/>
                    <w:tr2bl w:val="nil"/>
                  </w:tcBorders>
                  <w:shd w:val="clear" w:color="auto" w:fill="auto"/>
                  <w:vAlign w:val="center"/>
                </w:tcPr>
                <w:p w14:paraId="4EDDF2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北墙外30cm处</w:t>
                  </w:r>
                </w:p>
              </w:tc>
              <w:tc>
                <w:tcPr>
                  <w:tcW w:w="1259" w:type="dxa"/>
                  <w:vMerge w:val="continue"/>
                  <w:tcBorders>
                    <w:tl2br w:val="nil"/>
                    <w:tr2bl w:val="nil"/>
                  </w:tcBorders>
                  <w:shd w:val="clear" w:color="auto" w:fill="auto"/>
                  <w:vAlign w:val="center"/>
                </w:tcPr>
                <w:p w14:paraId="64133D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41368BF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45F44B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2.7</w:t>
                  </w:r>
                </w:p>
              </w:tc>
              <w:tc>
                <w:tcPr>
                  <w:tcW w:w="920" w:type="dxa"/>
                  <w:tcBorders>
                    <w:tl2br w:val="nil"/>
                    <w:tr2bl w:val="nil"/>
                  </w:tcBorders>
                  <w:shd w:val="clear" w:color="auto" w:fill="auto"/>
                  <w:vAlign w:val="center"/>
                </w:tcPr>
                <w:p w14:paraId="0F36A5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1.95E-01</w:t>
                  </w:r>
                </w:p>
              </w:tc>
              <w:tc>
                <w:tcPr>
                  <w:tcW w:w="963" w:type="dxa"/>
                  <w:tcBorders>
                    <w:tl2br w:val="nil"/>
                    <w:tr2bl w:val="nil"/>
                  </w:tcBorders>
                  <w:shd w:val="clear" w:color="auto" w:fill="auto"/>
                  <w:vAlign w:val="center"/>
                </w:tcPr>
                <w:p w14:paraId="660F1E3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1.51E-01</w:t>
                  </w:r>
                </w:p>
              </w:tc>
              <w:tc>
                <w:tcPr>
                  <w:tcW w:w="985" w:type="dxa"/>
                  <w:tcBorders>
                    <w:tl2br w:val="nil"/>
                    <w:tr2bl w:val="nil"/>
                  </w:tcBorders>
                  <w:shd w:val="clear" w:color="auto" w:fill="auto"/>
                  <w:vAlign w:val="center"/>
                </w:tcPr>
                <w:p w14:paraId="422285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17855D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408D2F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1704" w:type="dxa"/>
                  <w:tcBorders>
                    <w:tl2br w:val="nil"/>
                    <w:tr2bl w:val="nil"/>
                  </w:tcBorders>
                  <w:shd w:val="clear" w:color="auto" w:fill="auto"/>
                  <w:vAlign w:val="center"/>
                </w:tcPr>
                <w:p w14:paraId="0485AC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西墙外30cm处</w:t>
                  </w:r>
                </w:p>
              </w:tc>
              <w:tc>
                <w:tcPr>
                  <w:tcW w:w="1259" w:type="dxa"/>
                  <w:vMerge w:val="continue"/>
                  <w:tcBorders>
                    <w:tl2br w:val="nil"/>
                    <w:tr2bl w:val="nil"/>
                  </w:tcBorders>
                  <w:shd w:val="clear" w:color="auto" w:fill="auto"/>
                  <w:vAlign w:val="center"/>
                </w:tcPr>
                <w:p w14:paraId="60D77F3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7009F2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662734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2.3</w:t>
                  </w:r>
                </w:p>
              </w:tc>
              <w:tc>
                <w:tcPr>
                  <w:tcW w:w="920" w:type="dxa"/>
                  <w:tcBorders>
                    <w:tl2br w:val="nil"/>
                    <w:tr2bl w:val="nil"/>
                  </w:tcBorders>
                  <w:shd w:val="clear" w:color="auto" w:fill="auto"/>
                  <w:vAlign w:val="center"/>
                </w:tcPr>
                <w:p w14:paraId="2A9952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2.68E-01</w:t>
                  </w:r>
                </w:p>
              </w:tc>
              <w:tc>
                <w:tcPr>
                  <w:tcW w:w="963" w:type="dxa"/>
                  <w:tcBorders>
                    <w:tl2br w:val="nil"/>
                    <w:tr2bl w:val="nil"/>
                  </w:tcBorders>
                  <w:shd w:val="clear" w:color="auto" w:fill="auto"/>
                  <w:vAlign w:val="center"/>
                </w:tcPr>
                <w:p w14:paraId="1A89F8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2.08E-01</w:t>
                  </w:r>
                </w:p>
              </w:tc>
              <w:tc>
                <w:tcPr>
                  <w:tcW w:w="985" w:type="dxa"/>
                  <w:tcBorders>
                    <w:tl2br w:val="nil"/>
                    <w:tr2bl w:val="nil"/>
                  </w:tcBorders>
                  <w:shd w:val="clear" w:color="auto" w:fill="auto"/>
                  <w:vAlign w:val="center"/>
                </w:tcPr>
                <w:p w14:paraId="659159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FDB57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0765F8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19</w:t>
                  </w:r>
                </w:p>
              </w:tc>
              <w:tc>
                <w:tcPr>
                  <w:tcW w:w="1704" w:type="dxa"/>
                  <w:tcBorders>
                    <w:tl2br w:val="nil"/>
                    <w:tr2bl w:val="nil"/>
                  </w:tcBorders>
                  <w:shd w:val="clear" w:color="auto" w:fill="auto"/>
                  <w:vAlign w:val="center"/>
                </w:tcPr>
                <w:p w14:paraId="6F3C37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2B6C78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5676BCC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3CE2AC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vAlign w:val="center"/>
                </w:tcPr>
                <w:p w14:paraId="5A810E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3.36E-03</w:t>
                  </w:r>
                </w:p>
              </w:tc>
              <w:tc>
                <w:tcPr>
                  <w:tcW w:w="963" w:type="dxa"/>
                  <w:tcBorders>
                    <w:tl2br w:val="nil"/>
                    <w:tr2bl w:val="nil"/>
                  </w:tcBorders>
                  <w:shd w:val="clear" w:color="auto" w:fill="auto"/>
                  <w:vAlign w:val="center"/>
                </w:tcPr>
                <w:p w14:paraId="428641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7.57E-03</w:t>
                  </w:r>
                </w:p>
              </w:tc>
              <w:tc>
                <w:tcPr>
                  <w:tcW w:w="985" w:type="dxa"/>
                  <w:tcBorders>
                    <w:tl2br w:val="nil"/>
                    <w:tr2bl w:val="nil"/>
                  </w:tcBorders>
                  <w:shd w:val="clear" w:color="auto" w:fill="auto"/>
                  <w:vAlign w:val="center"/>
                </w:tcPr>
                <w:p w14:paraId="05ED38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4FE1F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70" w:type="dxa"/>
                  <w:tcBorders>
                    <w:tl2br w:val="nil"/>
                    <w:tr2bl w:val="nil"/>
                  </w:tcBorders>
                  <w:shd w:val="clear" w:color="auto" w:fill="auto"/>
                  <w:vAlign w:val="center"/>
                </w:tcPr>
                <w:p w14:paraId="7F87578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20</w:t>
                  </w:r>
                </w:p>
              </w:tc>
              <w:tc>
                <w:tcPr>
                  <w:tcW w:w="1704" w:type="dxa"/>
                  <w:tcBorders>
                    <w:tl2br w:val="nil"/>
                    <w:tr2bl w:val="nil"/>
                  </w:tcBorders>
                  <w:shd w:val="clear" w:color="auto" w:fill="auto"/>
                  <w:vAlign w:val="center"/>
                </w:tcPr>
                <w:p w14:paraId="27CD90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55B4CB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ACDBDA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09616A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vAlign w:val="center"/>
                </w:tcPr>
                <w:p w14:paraId="6B5A0A4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3.65E-03</w:t>
                  </w:r>
                </w:p>
              </w:tc>
              <w:tc>
                <w:tcPr>
                  <w:tcW w:w="963" w:type="dxa"/>
                  <w:tcBorders>
                    <w:tl2br w:val="nil"/>
                    <w:tr2bl w:val="nil"/>
                  </w:tcBorders>
                  <w:shd w:val="clear" w:color="auto" w:fill="auto"/>
                  <w:vAlign w:val="center"/>
                </w:tcPr>
                <w:p w14:paraId="336AAD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8.21E-03</w:t>
                  </w:r>
                </w:p>
              </w:tc>
              <w:tc>
                <w:tcPr>
                  <w:tcW w:w="985" w:type="dxa"/>
                  <w:tcBorders>
                    <w:tl2br w:val="nil"/>
                    <w:tr2bl w:val="nil"/>
                  </w:tcBorders>
                  <w:shd w:val="clear" w:color="auto" w:fill="auto"/>
                  <w:vAlign w:val="center"/>
                </w:tcPr>
                <w:p w14:paraId="2E2820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4CF507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05ACB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w:t>
                  </w:r>
                </w:p>
              </w:tc>
              <w:tc>
                <w:tcPr>
                  <w:tcW w:w="1704" w:type="dxa"/>
                  <w:tcBorders>
                    <w:tl2br w:val="nil"/>
                    <w:tr2bl w:val="nil"/>
                  </w:tcBorders>
                  <w:shd w:val="clear" w:color="auto" w:fill="auto"/>
                  <w:vAlign w:val="center"/>
                </w:tcPr>
                <w:p w14:paraId="5C9487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75CE8DB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684D9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3mmPb铅板</w:t>
                  </w:r>
                </w:p>
              </w:tc>
              <w:tc>
                <w:tcPr>
                  <w:tcW w:w="971" w:type="dxa"/>
                  <w:tcBorders>
                    <w:tl2br w:val="nil"/>
                    <w:tr2bl w:val="nil"/>
                  </w:tcBorders>
                  <w:shd w:val="clear" w:color="auto" w:fill="auto"/>
                  <w:vAlign w:val="center"/>
                </w:tcPr>
                <w:p w14:paraId="769334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2.7</w:t>
                  </w:r>
                </w:p>
              </w:tc>
              <w:tc>
                <w:tcPr>
                  <w:tcW w:w="920" w:type="dxa"/>
                  <w:tcBorders>
                    <w:tl2br w:val="nil"/>
                    <w:tr2bl w:val="nil"/>
                  </w:tcBorders>
                  <w:shd w:val="clear" w:color="auto" w:fill="auto"/>
                  <w:vAlign w:val="center"/>
                </w:tcPr>
                <w:p w14:paraId="65358A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6.15E-03</w:t>
                  </w:r>
                </w:p>
              </w:tc>
              <w:tc>
                <w:tcPr>
                  <w:tcW w:w="963" w:type="dxa"/>
                  <w:tcBorders>
                    <w:tl2br w:val="nil"/>
                    <w:tr2bl w:val="nil"/>
                  </w:tcBorders>
                  <w:shd w:val="clear" w:color="auto" w:fill="auto"/>
                  <w:vAlign w:val="center"/>
                </w:tcPr>
                <w:p w14:paraId="21499E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8.06E-01</w:t>
                  </w:r>
                </w:p>
              </w:tc>
              <w:tc>
                <w:tcPr>
                  <w:tcW w:w="985" w:type="dxa"/>
                  <w:tcBorders>
                    <w:tl2br w:val="nil"/>
                    <w:tr2bl w:val="nil"/>
                  </w:tcBorders>
                  <w:shd w:val="clear" w:color="auto" w:fill="auto"/>
                  <w:vAlign w:val="center"/>
                </w:tcPr>
                <w:p w14:paraId="279C1C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EE8E1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0340B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w:t>
                  </w:r>
                </w:p>
              </w:tc>
              <w:tc>
                <w:tcPr>
                  <w:tcW w:w="1704" w:type="dxa"/>
                  <w:tcBorders>
                    <w:tl2br w:val="nil"/>
                    <w:tr2bl w:val="nil"/>
                  </w:tcBorders>
                  <w:shd w:val="clear" w:color="auto" w:fill="auto"/>
                  <w:vAlign w:val="center"/>
                </w:tcPr>
                <w:p w14:paraId="2183FF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西</w:t>
                  </w: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5E72FF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场所：储源室</w:t>
                  </w:r>
                </w:p>
                <w:p w14:paraId="66813C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p w14:paraId="38D60E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①</w:t>
                  </w:r>
                  <w: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t>99m</w:t>
                  </w:r>
                  <w:r>
                    <w:rPr>
                      <w:rFonts w:hint="default" w:ascii="Times New Roman" w:hAnsi="Times New Roman" w:eastAsia="宋体" w:cs="Times New Roman"/>
                      <w:i w:val="0"/>
                      <w:iCs w:val="0"/>
                      <w:color w:val="auto"/>
                      <w:kern w:val="0"/>
                      <w:sz w:val="16"/>
                      <w:szCs w:val="16"/>
                      <w:highlight w:val="none"/>
                      <w:u w:val="none"/>
                      <w:lang w:val="en-US" w:eastAsia="zh-CN" w:bidi="ar"/>
                    </w:rPr>
                    <w:t>Tc 740MBq（20mCi）②</w:t>
                  </w: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185MBq （5mCi）</w:t>
                  </w:r>
                </w:p>
              </w:tc>
              <w:tc>
                <w:tcPr>
                  <w:tcW w:w="2232" w:type="dxa"/>
                  <w:tcBorders>
                    <w:tl2br w:val="nil"/>
                    <w:tr2bl w:val="nil"/>
                  </w:tcBorders>
                  <w:shd w:val="clear" w:color="auto" w:fill="auto"/>
                  <w:vAlign w:val="center"/>
                </w:tcPr>
                <w:p w14:paraId="50E379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5692EF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1.1</w:t>
                  </w:r>
                </w:p>
              </w:tc>
              <w:tc>
                <w:tcPr>
                  <w:tcW w:w="920" w:type="dxa"/>
                  <w:tcBorders>
                    <w:tl2br w:val="nil"/>
                    <w:tr2bl w:val="nil"/>
                  </w:tcBorders>
                  <w:shd w:val="clear" w:color="auto" w:fill="auto"/>
                  <w:vAlign w:val="center"/>
                </w:tcPr>
                <w:p w14:paraId="522A0F1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b/>
                      <w:bCs/>
                      <w:i w:val="0"/>
                      <w:iCs w:val="0"/>
                      <w:color w:val="auto"/>
                      <w:kern w:val="0"/>
                      <w:sz w:val="16"/>
                      <w:szCs w:val="16"/>
                      <w:highlight w:val="none"/>
                      <w:u w:val="none"/>
                      <w:lang w:val="en-US" w:eastAsia="zh-CN" w:bidi="ar"/>
                    </w:rPr>
                    <w:t>5.86E-01</w:t>
                  </w:r>
                </w:p>
              </w:tc>
              <w:tc>
                <w:tcPr>
                  <w:tcW w:w="963" w:type="dxa"/>
                  <w:tcBorders>
                    <w:tl2br w:val="nil"/>
                    <w:tr2bl w:val="nil"/>
                  </w:tcBorders>
                  <w:shd w:val="clear" w:color="auto" w:fill="auto"/>
                  <w:vAlign w:val="center"/>
                </w:tcPr>
                <w:p w14:paraId="4AE0AD0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9.10E-01</w:t>
                  </w:r>
                </w:p>
              </w:tc>
              <w:tc>
                <w:tcPr>
                  <w:tcW w:w="985" w:type="dxa"/>
                  <w:tcBorders>
                    <w:tl2br w:val="nil"/>
                    <w:tr2bl w:val="nil"/>
                  </w:tcBorders>
                  <w:shd w:val="clear" w:color="auto" w:fill="auto"/>
                  <w:vAlign w:val="center"/>
                </w:tcPr>
                <w:p w14:paraId="70A24E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0A2B8A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18AC6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23</w:t>
                  </w:r>
                </w:p>
              </w:tc>
              <w:tc>
                <w:tcPr>
                  <w:tcW w:w="1704" w:type="dxa"/>
                  <w:tcBorders>
                    <w:tl2br w:val="nil"/>
                    <w:tr2bl w:val="nil"/>
                  </w:tcBorders>
                  <w:shd w:val="clear" w:color="auto" w:fill="auto"/>
                  <w:vAlign w:val="center"/>
                </w:tcPr>
                <w:p w14:paraId="69BBEA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539570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5207BD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7ECDBD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vAlign w:val="center"/>
                </w:tcPr>
                <w:p w14:paraId="675D38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63" w:type="dxa"/>
                  <w:tcBorders>
                    <w:tl2br w:val="nil"/>
                    <w:tr2bl w:val="nil"/>
                  </w:tcBorders>
                  <w:shd w:val="clear" w:color="auto" w:fill="auto"/>
                  <w:vAlign w:val="center"/>
                </w:tcPr>
                <w:p w14:paraId="4AA805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7.57E-03</w:t>
                  </w:r>
                </w:p>
              </w:tc>
              <w:tc>
                <w:tcPr>
                  <w:tcW w:w="985" w:type="dxa"/>
                  <w:tcBorders>
                    <w:tl2br w:val="nil"/>
                    <w:tr2bl w:val="nil"/>
                  </w:tcBorders>
                  <w:shd w:val="clear" w:color="auto" w:fill="auto"/>
                  <w:vAlign w:val="center"/>
                </w:tcPr>
                <w:p w14:paraId="7E224C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013AD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7B700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w:t>
                  </w:r>
                </w:p>
              </w:tc>
              <w:tc>
                <w:tcPr>
                  <w:tcW w:w="1704" w:type="dxa"/>
                  <w:tcBorders>
                    <w:tl2br w:val="nil"/>
                    <w:tr2bl w:val="nil"/>
                  </w:tcBorders>
                  <w:shd w:val="clear" w:color="auto" w:fill="auto"/>
                  <w:vAlign w:val="center"/>
                </w:tcPr>
                <w:p w14:paraId="3A081F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40AFF8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66EB9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796A73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vAlign w:val="center"/>
                </w:tcPr>
                <w:p w14:paraId="5692DD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63" w:type="dxa"/>
                  <w:tcBorders>
                    <w:tl2br w:val="nil"/>
                    <w:tr2bl w:val="nil"/>
                  </w:tcBorders>
                  <w:shd w:val="clear" w:color="auto" w:fill="auto"/>
                  <w:vAlign w:val="center"/>
                </w:tcPr>
                <w:p w14:paraId="2BAC1A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8.21E-03</w:t>
                  </w:r>
                </w:p>
              </w:tc>
              <w:tc>
                <w:tcPr>
                  <w:tcW w:w="985" w:type="dxa"/>
                  <w:tcBorders>
                    <w:tl2br w:val="nil"/>
                    <w:tr2bl w:val="nil"/>
                  </w:tcBorders>
                  <w:shd w:val="clear" w:color="auto" w:fill="auto"/>
                  <w:vAlign w:val="center"/>
                </w:tcPr>
                <w:p w14:paraId="78A857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18BA96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427AB45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25</w:t>
                  </w:r>
                </w:p>
              </w:tc>
              <w:tc>
                <w:tcPr>
                  <w:tcW w:w="1704" w:type="dxa"/>
                  <w:tcBorders>
                    <w:tl2br w:val="nil"/>
                    <w:tr2bl w:val="nil"/>
                  </w:tcBorders>
                  <w:shd w:val="clear" w:color="auto" w:fill="auto"/>
                  <w:vAlign w:val="center"/>
                </w:tcPr>
                <w:p w14:paraId="50E15B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032F001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34D25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3mmPb铅板</w:t>
                  </w:r>
                </w:p>
              </w:tc>
              <w:tc>
                <w:tcPr>
                  <w:tcW w:w="971" w:type="dxa"/>
                  <w:tcBorders>
                    <w:tl2br w:val="nil"/>
                    <w:tr2bl w:val="nil"/>
                  </w:tcBorders>
                  <w:shd w:val="clear" w:color="auto" w:fill="auto"/>
                  <w:vAlign w:val="center"/>
                </w:tcPr>
                <w:p w14:paraId="7F152BD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w:t>
                  </w:r>
                </w:p>
              </w:tc>
              <w:tc>
                <w:tcPr>
                  <w:tcW w:w="920" w:type="dxa"/>
                  <w:tcBorders>
                    <w:tl2br w:val="nil"/>
                    <w:tr2bl w:val="nil"/>
                  </w:tcBorders>
                  <w:shd w:val="clear" w:color="auto" w:fill="auto"/>
                  <w:vAlign w:val="center"/>
                </w:tcPr>
                <w:p w14:paraId="23F84F2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3.89E-03</w:t>
                  </w:r>
                </w:p>
              </w:tc>
              <w:tc>
                <w:tcPr>
                  <w:tcW w:w="963" w:type="dxa"/>
                  <w:tcBorders>
                    <w:tl2br w:val="nil"/>
                    <w:tr2bl w:val="nil"/>
                  </w:tcBorders>
                  <w:shd w:val="clear" w:color="auto" w:fill="auto"/>
                  <w:vAlign w:val="center"/>
                </w:tcPr>
                <w:p w14:paraId="131F93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1.02E+00</w:t>
                  </w:r>
                </w:p>
              </w:tc>
              <w:tc>
                <w:tcPr>
                  <w:tcW w:w="985" w:type="dxa"/>
                  <w:tcBorders>
                    <w:tl2br w:val="nil"/>
                    <w:tr2bl w:val="nil"/>
                  </w:tcBorders>
                  <w:shd w:val="clear" w:color="auto" w:fill="auto"/>
                  <w:vAlign w:val="center"/>
                </w:tcPr>
                <w:p w14:paraId="54BB637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30E64F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B91F7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26</w:t>
                  </w:r>
                </w:p>
              </w:tc>
              <w:tc>
                <w:tcPr>
                  <w:tcW w:w="1704" w:type="dxa"/>
                  <w:tcBorders>
                    <w:tl2br w:val="nil"/>
                    <w:tr2bl w:val="nil"/>
                  </w:tcBorders>
                  <w:shd w:val="clear" w:color="auto" w:fill="auto"/>
                  <w:vAlign w:val="center"/>
                </w:tcPr>
                <w:p w14:paraId="1BA19AC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708757C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场所：注射室</w:t>
                  </w:r>
                </w:p>
                <w:p w14:paraId="3B7C9B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p w14:paraId="757304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①</w:t>
                  </w:r>
                  <w: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t>99m</w:t>
                  </w:r>
                  <w:r>
                    <w:rPr>
                      <w:rFonts w:hint="default" w:ascii="Times New Roman" w:hAnsi="Times New Roman" w:eastAsia="宋体" w:cs="Times New Roman"/>
                      <w:i w:val="0"/>
                      <w:iCs w:val="0"/>
                      <w:color w:val="auto"/>
                      <w:kern w:val="0"/>
                      <w:sz w:val="16"/>
                      <w:szCs w:val="16"/>
                      <w:highlight w:val="none"/>
                      <w:u w:val="none"/>
                      <w:lang w:val="en-US" w:eastAsia="zh-CN" w:bidi="ar"/>
                    </w:rPr>
                    <w:t>Tc 740MBq（20mCi）②</w:t>
                  </w: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185MBq （5mCi）</w:t>
                  </w:r>
                </w:p>
              </w:tc>
              <w:tc>
                <w:tcPr>
                  <w:tcW w:w="2232" w:type="dxa"/>
                  <w:tcBorders>
                    <w:tl2br w:val="nil"/>
                    <w:tr2bl w:val="nil"/>
                  </w:tcBorders>
                  <w:shd w:val="clear" w:color="auto" w:fill="auto"/>
                  <w:vAlign w:val="center"/>
                </w:tcPr>
                <w:p w14:paraId="613798E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49BD461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1.5</w:t>
                  </w:r>
                </w:p>
              </w:tc>
              <w:tc>
                <w:tcPr>
                  <w:tcW w:w="920" w:type="dxa"/>
                  <w:tcBorders>
                    <w:tl2br w:val="nil"/>
                    <w:tr2bl w:val="nil"/>
                  </w:tcBorders>
                  <w:shd w:val="clear" w:color="auto" w:fill="auto"/>
                  <w:vAlign w:val="center"/>
                </w:tcPr>
                <w:p w14:paraId="60F1DEF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3.15E-01</w:t>
                  </w:r>
                </w:p>
              </w:tc>
              <w:tc>
                <w:tcPr>
                  <w:tcW w:w="963" w:type="dxa"/>
                  <w:tcBorders>
                    <w:tl2br w:val="nil"/>
                    <w:tr2bl w:val="nil"/>
                  </w:tcBorders>
                  <w:shd w:val="clear" w:color="auto" w:fill="auto"/>
                  <w:vAlign w:val="center"/>
                </w:tcPr>
                <w:p w14:paraId="402EF9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4.89E-01</w:t>
                  </w:r>
                </w:p>
              </w:tc>
              <w:tc>
                <w:tcPr>
                  <w:tcW w:w="985" w:type="dxa"/>
                  <w:tcBorders>
                    <w:tl2br w:val="nil"/>
                    <w:tr2bl w:val="nil"/>
                  </w:tcBorders>
                  <w:shd w:val="clear" w:color="auto" w:fill="auto"/>
                  <w:vAlign w:val="center"/>
                </w:tcPr>
                <w:p w14:paraId="0D4417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1225B1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6B4C662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27</w:t>
                  </w:r>
                </w:p>
              </w:tc>
              <w:tc>
                <w:tcPr>
                  <w:tcW w:w="1704" w:type="dxa"/>
                  <w:tcBorders>
                    <w:tl2br w:val="nil"/>
                    <w:tr2bl w:val="nil"/>
                  </w:tcBorders>
                  <w:shd w:val="clear" w:color="auto" w:fill="auto"/>
                  <w:vAlign w:val="center"/>
                </w:tcPr>
                <w:p w14:paraId="33733F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3A73E0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47B08C8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3mmPb铅板</w:t>
                  </w:r>
                </w:p>
              </w:tc>
              <w:tc>
                <w:tcPr>
                  <w:tcW w:w="971" w:type="dxa"/>
                  <w:tcBorders>
                    <w:tl2br w:val="nil"/>
                    <w:tr2bl w:val="nil"/>
                  </w:tcBorders>
                  <w:shd w:val="clear" w:color="auto" w:fill="auto"/>
                  <w:vAlign w:val="center"/>
                </w:tcPr>
                <w:p w14:paraId="597B79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w:t>
                  </w:r>
                </w:p>
              </w:tc>
              <w:tc>
                <w:tcPr>
                  <w:tcW w:w="920" w:type="dxa"/>
                  <w:tcBorders>
                    <w:tl2br w:val="nil"/>
                    <w:tr2bl w:val="nil"/>
                  </w:tcBorders>
                  <w:shd w:val="clear" w:color="auto" w:fill="auto"/>
                  <w:vAlign w:val="center"/>
                </w:tcPr>
                <w:p w14:paraId="3FF6C6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7.76E-03</w:t>
                  </w:r>
                </w:p>
              </w:tc>
              <w:tc>
                <w:tcPr>
                  <w:tcW w:w="963" w:type="dxa"/>
                  <w:tcBorders>
                    <w:tl2br w:val="nil"/>
                    <w:tr2bl w:val="nil"/>
                  </w:tcBorders>
                  <w:shd w:val="clear" w:color="auto" w:fill="auto"/>
                  <w:vAlign w:val="center"/>
                </w:tcPr>
                <w:p w14:paraId="46C164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2.03E+00</w:t>
                  </w:r>
                </w:p>
              </w:tc>
              <w:tc>
                <w:tcPr>
                  <w:tcW w:w="985" w:type="dxa"/>
                  <w:tcBorders>
                    <w:tl2br w:val="nil"/>
                    <w:tr2bl w:val="nil"/>
                  </w:tcBorders>
                  <w:shd w:val="clear" w:color="auto" w:fill="auto"/>
                  <w:vAlign w:val="center"/>
                </w:tcPr>
                <w:p w14:paraId="711516C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36B371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6E8DEBB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28</w:t>
                  </w:r>
                </w:p>
              </w:tc>
              <w:tc>
                <w:tcPr>
                  <w:tcW w:w="1704" w:type="dxa"/>
                  <w:tcBorders>
                    <w:tl2br w:val="nil"/>
                    <w:tr2bl w:val="nil"/>
                  </w:tcBorders>
                  <w:shd w:val="clear" w:color="auto" w:fill="auto"/>
                  <w:vAlign w:val="center"/>
                </w:tcPr>
                <w:p w14:paraId="17A41A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0CF6C25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114BA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45BE914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vAlign w:val="center"/>
                </w:tcPr>
                <w:p w14:paraId="1BB4DB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63" w:type="dxa"/>
                  <w:tcBorders>
                    <w:tl2br w:val="nil"/>
                    <w:tr2bl w:val="nil"/>
                  </w:tcBorders>
                  <w:shd w:val="clear" w:color="auto" w:fill="auto"/>
                  <w:vAlign w:val="center"/>
                </w:tcPr>
                <w:p w14:paraId="48C09F1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7.57E-03</w:t>
                  </w:r>
                </w:p>
              </w:tc>
              <w:tc>
                <w:tcPr>
                  <w:tcW w:w="985" w:type="dxa"/>
                  <w:tcBorders>
                    <w:tl2br w:val="nil"/>
                    <w:tr2bl w:val="nil"/>
                  </w:tcBorders>
                  <w:shd w:val="clear" w:color="auto" w:fill="auto"/>
                  <w:vAlign w:val="center"/>
                </w:tcPr>
                <w:p w14:paraId="503B472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56951D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088DEF2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29</w:t>
                  </w:r>
                </w:p>
              </w:tc>
              <w:tc>
                <w:tcPr>
                  <w:tcW w:w="1704" w:type="dxa"/>
                  <w:tcBorders>
                    <w:tl2br w:val="nil"/>
                    <w:tr2bl w:val="nil"/>
                  </w:tcBorders>
                  <w:shd w:val="clear" w:color="auto" w:fill="auto"/>
                  <w:vAlign w:val="center"/>
                </w:tcPr>
                <w:p w14:paraId="5B1B46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0A321D2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094CF7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7862994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vAlign w:val="center"/>
                </w:tcPr>
                <w:p w14:paraId="286AA7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63" w:type="dxa"/>
                  <w:tcBorders>
                    <w:tl2br w:val="nil"/>
                    <w:tr2bl w:val="nil"/>
                  </w:tcBorders>
                  <w:shd w:val="clear" w:color="auto" w:fill="auto"/>
                  <w:vAlign w:val="center"/>
                </w:tcPr>
                <w:p w14:paraId="1251F08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8.21E-03</w:t>
                  </w:r>
                </w:p>
              </w:tc>
              <w:tc>
                <w:tcPr>
                  <w:tcW w:w="985" w:type="dxa"/>
                  <w:tcBorders>
                    <w:tl2br w:val="nil"/>
                    <w:tr2bl w:val="nil"/>
                  </w:tcBorders>
                  <w:shd w:val="clear" w:color="auto" w:fill="auto"/>
                  <w:vAlign w:val="center"/>
                </w:tcPr>
                <w:p w14:paraId="3BBEE5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C4F94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F484B0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30</w:t>
                  </w:r>
                </w:p>
              </w:tc>
              <w:tc>
                <w:tcPr>
                  <w:tcW w:w="1704" w:type="dxa"/>
                  <w:tcBorders>
                    <w:tl2br w:val="nil"/>
                    <w:tr2bl w:val="nil"/>
                  </w:tcBorders>
                  <w:shd w:val="clear" w:color="auto" w:fill="auto"/>
                  <w:vAlign w:val="center"/>
                </w:tcPr>
                <w:p w14:paraId="0E4F43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注射窗</w:t>
                  </w:r>
                </w:p>
              </w:tc>
              <w:tc>
                <w:tcPr>
                  <w:tcW w:w="1259" w:type="dxa"/>
                  <w:vMerge w:val="continue"/>
                  <w:tcBorders>
                    <w:tl2br w:val="nil"/>
                    <w:tr2bl w:val="nil"/>
                  </w:tcBorders>
                  <w:shd w:val="clear" w:color="auto" w:fill="auto"/>
                  <w:vAlign w:val="center"/>
                </w:tcPr>
                <w:p w14:paraId="2C2FC2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4542DA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3mmPb铅玻璃</w:t>
                  </w:r>
                </w:p>
              </w:tc>
              <w:tc>
                <w:tcPr>
                  <w:tcW w:w="971" w:type="dxa"/>
                  <w:tcBorders>
                    <w:tl2br w:val="nil"/>
                    <w:tr2bl w:val="nil"/>
                  </w:tcBorders>
                  <w:shd w:val="clear" w:color="auto" w:fill="auto"/>
                  <w:vAlign w:val="center"/>
                </w:tcPr>
                <w:p w14:paraId="38DA57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w:t>
                  </w:r>
                </w:p>
              </w:tc>
              <w:tc>
                <w:tcPr>
                  <w:tcW w:w="920" w:type="dxa"/>
                  <w:tcBorders>
                    <w:tl2br w:val="nil"/>
                    <w:tr2bl w:val="nil"/>
                  </w:tcBorders>
                  <w:shd w:val="clear" w:color="auto" w:fill="auto"/>
                  <w:vAlign w:val="center"/>
                </w:tcPr>
                <w:p w14:paraId="3C2F92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7.76E-03</w:t>
                  </w:r>
                </w:p>
              </w:tc>
              <w:tc>
                <w:tcPr>
                  <w:tcW w:w="963" w:type="dxa"/>
                  <w:tcBorders>
                    <w:tl2br w:val="nil"/>
                    <w:tr2bl w:val="nil"/>
                  </w:tcBorders>
                  <w:shd w:val="clear" w:color="auto" w:fill="auto"/>
                  <w:vAlign w:val="center"/>
                </w:tcPr>
                <w:p w14:paraId="3769F99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2.03E+00</w:t>
                  </w:r>
                </w:p>
              </w:tc>
              <w:tc>
                <w:tcPr>
                  <w:tcW w:w="985" w:type="dxa"/>
                  <w:tcBorders>
                    <w:tl2br w:val="nil"/>
                    <w:tr2bl w:val="nil"/>
                  </w:tcBorders>
                  <w:shd w:val="clear" w:color="auto" w:fill="auto"/>
                  <w:vAlign w:val="center"/>
                </w:tcPr>
                <w:p w14:paraId="2094C9B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C8362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D21B9B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31</w:t>
                  </w:r>
                </w:p>
              </w:tc>
              <w:tc>
                <w:tcPr>
                  <w:tcW w:w="1704" w:type="dxa"/>
                  <w:tcBorders>
                    <w:tl2br w:val="nil"/>
                    <w:tr2bl w:val="nil"/>
                  </w:tcBorders>
                  <w:shd w:val="clear" w:color="auto" w:fill="auto"/>
                  <w:vAlign w:val="center"/>
                </w:tcPr>
                <w:p w14:paraId="5CD9EE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四周墙体</w:t>
                  </w:r>
                </w:p>
              </w:tc>
              <w:tc>
                <w:tcPr>
                  <w:tcW w:w="1259" w:type="dxa"/>
                  <w:vMerge w:val="restart"/>
                  <w:tcBorders>
                    <w:tl2br w:val="nil"/>
                    <w:tr2bl w:val="nil"/>
                  </w:tcBorders>
                  <w:shd w:val="clear" w:color="auto" w:fill="auto"/>
                  <w:vAlign w:val="center"/>
                </w:tcPr>
                <w:p w14:paraId="562401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场所：注射准备室</w:t>
                  </w:r>
                </w:p>
                <w:p w14:paraId="236AF1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p w14:paraId="1828DE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①</w:t>
                  </w:r>
                  <w: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t>99m</w:t>
                  </w:r>
                  <w:r>
                    <w:rPr>
                      <w:rFonts w:hint="default" w:ascii="Times New Roman" w:hAnsi="Times New Roman" w:eastAsia="宋体" w:cs="Times New Roman"/>
                      <w:i w:val="0"/>
                      <w:iCs w:val="0"/>
                      <w:color w:val="auto"/>
                      <w:kern w:val="0"/>
                      <w:sz w:val="16"/>
                      <w:szCs w:val="16"/>
                      <w:highlight w:val="none"/>
                      <w:u w:val="none"/>
                      <w:lang w:val="en-US" w:eastAsia="zh-CN" w:bidi="ar"/>
                    </w:rPr>
                    <w:t>Tc 740MBq（20mCi）②</w:t>
                  </w: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185MBq （5mCi）</w:t>
                  </w:r>
                </w:p>
              </w:tc>
              <w:tc>
                <w:tcPr>
                  <w:tcW w:w="2232" w:type="dxa"/>
                  <w:tcBorders>
                    <w:tl2br w:val="nil"/>
                    <w:tr2bl w:val="nil"/>
                  </w:tcBorders>
                  <w:shd w:val="clear" w:color="auto" w:fill="auto"/>
                  <w:vAlign w:val="center"/>
                </w:tcPr>
                <w:p w14:paraId="734C00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12A6A8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920" w:type="dxa"/>
                  <w:tcBorders>
                    <w:tl2br w:val="nil"/>
                    <w:tr2bl w:val="nil"/>
                  </w:tcBorders>
                  <w:shd w:val="clear" w:color="auto" w:fill="auto"/>
                  <w:vAlign w:val="center"/>
                </w:tcPr>
                <w:p w14:paraId="07F15F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2.19E-01</w:t>
                  </w:r>
                </w:p>
              </w:tc>
              <w:tc>
                <w:tcPr>
                  <w:tcW w:w="963" w:type="dxa"/>
                  <w:tcBorders>
                    <w:tl2br w:val="nil"/>
                    <w:tr2bl w:val="nil"/>
                  </w:tcBorders>
                  <w:shd w:val="clear" w:color="auto" w:fill="auto"/>
                  <w:vAlign w:val="center"/>
                </w:tcPr>
                <w:p w14:paraId="546914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3.40E-01</w:t>
                  </w:r>
                </w:p>
              </w:tc>
              <w:tc>
                <w:tcPr>
                  <w:tcW w:w="985" w:type="dxa"/>
                  <w:tcBorders>
                    <w:tl2br w:val="nil"/>
                    <w:tr2bl w:val="nil"/>
                  </w:tcBorders>
                  <w:shd w:val="clear" w:color="auto" w:fill="auto"/>
                  <w:vAlign w:val="center"/>
                </w:tcPr>
                <w:p w14:paraId="05A1F0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6392EB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6CBBF3C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1704" w:type="dxa"/>
                  <w:tcBorders>
                    <w:tl2br w:val="nil"/>
                    <w:tr2bl w:val="nil"/>
                  </w:tcBorders>
                  <w:shd w:val="clear" w:color="auto" w:fill="auto"/>
                  <w:vAlign w:val="center"/>
                </w:tcPr>
                <w:p w14:paraId="0E60408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7DC57A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46CF9E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6650E1C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vAlign w:val="center"/>
                </w:tcPr>
                <w:p w14:paraId="158EC8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63" w:type="dxa"/>
                  <w:tcBorders>
                    <w:tl2br w:val="nil"/>
                    <w:tr2bl w:val="nil"/>
                  </w:tcBorders>
                  <w:shd w:val="clear" w:color="auto" w:fill="auto"/>
                  <w:vAlign w:val="center"/>
                </w:tcPr>
                <w:p w14:paraId="58BB88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7.57E-03</w:t>
                  </w:r>
                </w:p>
              </w:tc>
              <w:tc>
                <w:tcPr>
                  <w:tcW w:w="985" w:type="dxa"/>
                  <w:tcBorders>
                    <w:tl2br w:val="nil"/>
                    <w:tr2bl w:val="nil"/>
                  </w:tcBorders>
                  <w:shd w:val="clear" w:color="auto" w:fill="auto"/>
                  <w:vAlign w:val="center"/>
                </w:tcPr>
                <w:p w14:paraId="62BC7D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597F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7B6AD8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w:t>
                  </w:r>
                </w:p>
              </w:tc>
              <w:tc>
                <w:tcPr>
                  <w:tcW w:w="1704" w:type="dxa"/>
                  <w:tcBorders>
                    <w:tl2br w:val="nil"/>
                    <w:tr2bl w:val="nil"/>
                  </w:tcBorders>
                  <w:shd w:val="clear" w:color="auto" w:fill="auto"/>
                  <w:vAlign w:val="center"/>
                </w:tcPr>
                <w:p w14:paraId="3AA54D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0AB990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53FDC3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508A2C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vAlign w:val="center"/>
                </w:tcPr>
                <w:p w14:paraId="08835A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63" w:type="dxa"/>
                  <w:tcBorders>
                    <w:tl2br w:val="nil"/>
                    <w:tr2bl w:val="nil"/>
                  </w:tcBorders>
                  <w:shd w:val="clear" w:color="auto" w:fill="auto"/>
                  <w:vAlign w:val="center"/>
                </w:tcPr>
                <w:p w14:paraId="66A51A2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8.21E-03</w:t>
                  </w:r>
                </w:p>
              </w:tc>
              <w:tc>
                <w:tcPr>
                  <w:tcW w:w="985" w:type="dxa"/>
                  <w:tcBorders>
                    <w:tl2br w:val="nil"/>
                    <w:tr2bl w:val="nil"/>
                  </w:tcBorders>
                  <w:shd w:val="clear" w:color="auto" w:fill="auto"/>
                  <w:vAlign w:val="center"/>
                </w:tcPr>
                <w:p w14:paraId="4DF4DD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7FDA7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4C1B9EA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34</w:t>
                  </w:r>
                </w:p>
              </w:tc>
              <w:tc>
                <w:tcPr>
                  <w:tcW w:w="1704" w:type="dxa"/>
                  <w:tcBorders>
                    <w:tl2br w:val="nil"/>
                    <w:tr2bl w:val="nil"/>
                  </w:tcBorders>
                  <w:shd w:val="clear" w:color="auto" w:fill="auto"/>
                  <w:vAlign w:val="center"/>
                </w:tcPr>
                <w:p w14:paraId="0DFA01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044BA9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4E17CD8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3mmPb铅板</w:t>
                  </w:r>
                </w:p>
              </w:tc>
              <w:tc>
                <w:tcPr>
                  <w:tcW w:w="971" w:type="dxa"/>
                  <w:tcBorders>
                    <w:tl2br w:val="nil"/>
                    <w:tr2bl w:val="nil"/>
                  </w:tcBorders>
                  <w:shd w:val="clear" w:color="auto" w:fill="auto"/>
                  <w:vAlign w:val="center"/>
                </w:tcPr>
                <w:p w14:paraId="2298FE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920" w:type="dxa"/>
                  <w:tcBorders>
                    <w:tl2br w:val="nil"/>
                    <w:tr2bl w:val="nil"/>
                  </w:tcBorders>
                  <w:shd w:val="clear" w:color="auto" w:fill="auto"/>
                  <w:vAlign w:val="center"/>
                </w:tcPr>
                <w:p w14:paraId="0DDB3C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6.92E-03</w:t>
                  </w:r>
                </w:p>
              </w:tc>
              <w:tc>
                <w:tcPr>
                  <w:tcW w:w="963" w:type="dxa"/>
                  <w:tcBorders>
                    <w:tl2br w:val="nil"/>
                    <w:tr2bl w:val="nil"/>
                  </w:tcBorders>
                  <w:shd w:val="clear" w:color="auto" w:fill="auto"/>
                  <w:vAlign w:val="center"/>
                </w:tcPr>
                <w:p w14:paraId="301DF3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1.81E+00</w:t>
                  </w:r>
                </w:p>
              </w:tc>
              <w:tc>
                <w:tcPr>
                  <w:tcW w:w="985" w:type="dxa"/>
                  <w:tcBorders>
                    <w:tl2br w:val="nil"/>
                    <w:tr2bl w:val="nil"/>
                  </w:tcBorders>
                  <w:shd w:val="clear" w:color="auto" w:fill="auto"/>
                  <w:vAlign w:val="center"/>
                </w:tcPr>
                <w:p w14:paraId="442F6D3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D7D2A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F3840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35</w:t>
                  </w:r>
                </w:p>
              </w:tc>
              <w:tc>
                <w:tcPr>
                  <w:tcW w:w="1704" w:type="dxa"/>
                  <w:tcBorders>
                    <w:tl2br w:val="nil"/>
                    <w:tr2bl w:val="nil"/>
                  </w:tcBorders>
                  <w:shd w:val="clear" w:color="auto" w:fill="auto"/>
                  <w:vAlign w:val="center"/>
                </w:tcPr>
                <w:p w14:paraId="2D5C8C2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四周墙体</w:t>
                  </w:r>
                </w:p>
              </w:tc>
              <w:tc>
                <w:tcPr>
                  <w:tcW w:w="1259" w:type="dxa"/>
                  <w:vMerge w:val="restart"/>
                  <w:tcBorders>
                    <w:tl2br w:val="nil"/>
                    <w:tr2bl w:val="nil"/>
                  </w:tcBorders>
                  <w:shd w:val="clear" w:color="auto" w:fill="auto"/>
                  <w:vAlign w:val="center"/>
                </w:tcPr>
                <w:p w14:paraId="06FAF5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场所：放废库</w:t>
                  </w:r>
                </w:p>
                <w:p w14:paraId="2514E0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p w14:paraId="57D295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①</w:t>
                  </w:r>
                  <w: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t>99m</w:t>
                  </w:r>
                  <w:r>
                    <w:rPr>
                      <w:rFonts w:hint="default" w:ascii="Times New Roman" w:hAnsi="Times New Roman" w:eastAsia="宋体" w:cs="Times New Roman"/>
                      <w:i w:val="0"/>
                      <w:iCs w:val="0"/>
                      <w:color w:val="auto"/>
                      <w:kern w:val="0"/>
                      <w:sz w:val="16"/>
                      <w:szCs w:val="16"/>
                      <w:highlight w:val="none"/>
                      <w:u w:val="none"/>
                      <w:lang w:val="en-US" w:eastAsia="zh-CN" w:bidi="ar"/>
                    </w:rPr>
                    <w:t>Tc 740MBq（20mCi）②</w:t>
                  </w: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185MBq （5mCi）</w:t>
                  </w:r>
                </w:p>
              </w:tc>
              <w:tc>
                <w:tcPr>
                  <w:tcW w:w="2232" w:type="dxa"/>
                  <w:tcBorders>
                    <w:tl2br w:val="nil"/>
                    <w:tr2bl w:val="nil"/>
                  </w:tcBorders>
                  <w:shd w:val="clear" w:color="auto" w:fill="auto"/>
                  <w:vAlign w:val="center"/>
                </w:tcPr>
                <w:p w14:paraId="7175D2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240mm实心砖</w:t>
                  </w:r>
                </w:p>
              </w:tc>
              <w:tc>
                <w:tcPr>
                  <w:tcW w:w="971" w:type="dxa"/>
                  <w:tcBorders>
                    <w:tl2br w:val="nil"/>
                    <w:tr2bl w:val="nil"/>
                  </w:tcBorders>
                  <w:shd w:val="clear" w:color="auto" w:fill="auto"/>
                  <w:vAlign w:val="center"/>
                </w:tcPr>
                <w:p w14:paraId="741B01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920" w:type="dxa"/>
                  <w:tcBorders>
                    <w:tl2br w:val="nil"/>
                    <w:tr2bl w:val="nil"/>
                  </w:tcBorders>
                  <w:shd w:val="clear" w:color="auto" w:fill="auto"/>
                  <w:vAlign w:val="center"/>
                </w:tcPr>
                <w:p w14:paraId="28E6A2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2.77E-01</w:t>
                  </w:r>
                </w:p>
              </w:tc>
              <w:tc>
                <w:tcPr>
                  <w:tcW w:w="963" w:type="dxa"/>
                  <w:tcBorders>
                    <w:tl2br w:val="nil"/>
                    <w:tr2bl w:val="nil"/>
                  </w:tcBorders>
                  <w:shd w:val="clear" w:color="auto" w:fill="auto"/>
                  <w:vAlign w:val="center"/>
                </w:tcPr>
                <w:p w14:paraId="0F8B257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4.30E-01</w:t>
                  </w:r>
                </w:p>
              </w:tc>
              <w:tc>
                <w:tcPr>
                  <w:tcW w:w="985" w:type="dxa"/>
                  <w:tcBorders>
                    <w:tl2br w:val="nil"/>
                    <w:tr2bl w:val="nil"/>
                  </w:tcBorders>
                  <w:shd w:val="clear" w:color="auto" w:fill="auto"/>
                  <w:vAlign w:val="center"/>
                </w:tcPr>
                <w:p w14:paraId="320AB0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5BA70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0860F6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36</w:t>
                  </w:r>
                </w:p>
              </w:tc>
              <w:tc>
                <w:tcPr>
                  <w:tcW w:w="1704" w:type="dxa"/>
                  <w:tcBorders>
                    <w:tl2br w:val="nil"/>
                    <w:tr2bl w:val="nil"/>
                  </w:tcBorders>
                  <w:shd w:val="clear" w:color="auto" w:fill="auto"/>
                  <w:vAlign w:val="center"/>
                </w:tcPr>
                <w:p w14:paraId="7A4EDD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742D45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65C0CC7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7DB5B3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vAlign w:val="center"/>
                </w:tcPr>
                <w:p w14:paraId="569BB0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63" w:type="dxa"/>
                  <w:tcBorders>
                    <w:tl2br w:val="nil"/>
                    <w:tr2bl w:val="nil"/>
                  </w:tcBorders>
                  <w:shd w:val="clear" w:color="auto" w:fill="auto"/>
                  <w:vAlign w:val="center"/>
                </w:tcPr>
                <w:p w14:paraId="03BC58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7.57E-03</w:t>
                  </w:r>
                </w:p>
              </w:tc>
              <w:tc>
                <w:tcPr>
                  <w:tcW w:w="985" w:type="dxa"/>
                  <w:tcBorders>
                    <w:tl2br w:val="nil"/>
                    <w:tr2bl w:val="nil"/>
                  </w:tcBorders>
                  <w:shd w:val="clear" w:color="auto" w:fill="auto"/>
                  <w:vAlign w:val="center"/>
                </w:tcPr>
                <w:p w14:paraId="3E00A19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0FAAC9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7F3B6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37</w:t>
                  </w:r>
                </w:p>
              </w:tc>
              <w:tc>
                <w:tcPr>
                  <w:tcW w:w="1704" w:type="dxa"/>
                  <w:tcBorders>
                    <w:tl2br w:val="nil"/>
                    <w:tr2bl w:val="nil"/>
                  </w:tcBorders>
                  <w:shd w:val="clear" w:color="auto" w:fill="auto"/>
                  <w:vAlign w:val="center"/>
                </w:tcPr>
                <w:p w14:paraId="0AF85B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0A834C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EC5EA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79D855F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vAlign w:val="center"/>
                </w:tcPr>
                <w:p w14:paraId="6248681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63" w:type="dxa"/>
                  <w:tcBorders>
                    <w:tl2br w:val="nil"/>
                    <w:tr2bl w:val="nil"/>
                  </w:tcBorders>
                  <w:shd w:val="clear" w:color="auto" w:fill="auto"/>
                  <w:vAlign w:val="center"/>
                </w:tcPr>
                <w:p w14:paraId="7C77197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8.21E-03</w:t>
                  </w:r>
                </w:p>
              </w:tc>
              <w:tc>
                <w:tcPr>
                  <w:tcW w:w="985" w:type="dxa"/>
                  <w:tcBorders>
                    <w:tl2br w:val="nil"/>
                    <w:tr2bl w:val="nil"/>
                  </w:tcBorders>
                  <w:shd w:val="clear" w:color="auto" w:fill="auto"/>
                  <w:vAlign w:val="center"/>
                </w:tcPr>
                <w:p w14:paraId="309778B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5E4866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8376A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38</w:t>
                  </w:r>
                </w:p>
              </w:tc>
              <w:tc>
                <w:tcPr>
                  <w:tcW w:w="1704" w:type="dxa"/>
                  <w:tcBorders>
                    <w:tl2br w:val="nil"/>
                    <w:tr2bl w:val="nil"/>
                  </w:tcBorders>
                  <w:shd w:val="clear" w:color="auto" w:fill="auto"/>
                  <w:vAlign w:val="center"/>
                </w:tcPr>
                <w:p w14:paraId="3F9A0C2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66CD548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01B6F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3mmPb铅板</w:t>
                  </w:r>
                </w:p>
              </w:tc>
              <w:tc>
                <w:tcPr>
                  <w:tcW w:w="971" w:type="dxa"/>
                  <w:tcBorders>
                    <w:tl2br w:val="nil"/>
                    <w:tr2bl w:val="nil"/>
                  </w:tcBorders>
                  <w:shd w:val="clear" w:color="auto" w:fill="auto"/>
                  <w:vAlign w:val="center"/>
                </w:tcPr>
                <w:p w14:paraId="3B32F1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920" w:type="dxa"/>
                  <w:tcBorders>
                    <w:tl2br w:val="nil"/>
                    <w:tr2bl w:val="nil"/>
                  </w:tcBorders>
                  <w:shd w:val="clear" w:color="auto" w:fill="auto"/>
                  <w:vAlign w:val="center"/>
                </w:tcPr>
                <w:p w14:paraId="613D73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8.76E-03</w:t>
                  </w:r>
                </w:p>
              </w:tc>
              <w:tc>
                <w:tcPr>
                  <w:tcW w:w="963" w:type="dxa"/>
                  <w:tcBorders>
                    <w:tl2br w:val="nil"/>
                    <w:tr2bl w:val="nil"/>
                  </w:tcBorders>
                  <w:shd w:val="clear" w:color="auto" w:fill="auto"/>
                  <w:vAlign w:val="center"/>
                </w:tcPr>
                <w:p w14:paraId="4E3F00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2.29E+00</w:t>
                  </w:r>
                </w:p>
              </w:tc>
              <w:tc>
                <w:tcPr>
                  <w:tcW w:w="985" w:type="dxa"/>
                  <w:tcBorders>
                    <w:tl2br w:val="nil"/>
                    <w:tr2bl w:val="nil"/>
                  </w:tcBorders>
                  <w:shd w:val="clear" w:color="auto" w:fill="auto"/>
                  <w:vAlign w:val="center"/>
                </w:tcPr>
                <w:p w14:paraId="7D78B18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3A7405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6E45A4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39</w:t>
                  </w:r>
                </w:p>
              </w:tc>
              <w:tc>
                <w:tcPr>
                  <w:tcW w:w="1704" w:type="dxa"/>
                  <w:tcBorders>
                    <w:tl2br w:val="nil"/>
                    <w:tr2bl w:val="nil"/>
                  </w:tcBorders>
                  <w:shd w:val="clear" w:color="auto" w:fill="auto"/>
                  <w:vAlign w:val="center"/>
                </w:tcPr>
                <w:p w14:paraId="7F7E24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四周墙体</w:t>
                  </w:r>
                </w:p>
              </w:tc>
              <w:tc>
                <w:tcPr>
                  <w:tcW w:w="1259" w:type="dxa"/>
                  <w:vMerge w:val="restart"/>
                  <w:tcBorders>
                    <w:tl2br w:val="nil"/>
                    <w:tr2bl w:val="nil"/>
                  </w:tcBorders>
                  <w:shd w:val="clear" w:color="auto" w:fill="auto"/>
                  <w:vAlign w:val="center"/>
                </w:tcPr>
                <w:p w14:paraId="56ED8BB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场所：SPECT-CT机房</w:t>
                  </w:r>
                </w:p>
                <w:p w14:paraId="1A421A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①</w:t>
                  </w:r>
                  <w: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t>99m</w:t>
                  </w:r>
                  <w:r>
                    <w:rPr>
                      <w:rFonts w:hint="default" w:ascii="Times New Roman" w:hAnsi="Times New Roman" w:eastAsia="宋体" w:cs="Times New Roman"/>
                      <w:i w:val="0"/>
                      <w:iCs w:val="0"/>
                      <w:color w:val="auto"/>
                      <w:kern w:val="0"/>
                      <w:sz w:val="16"/>
                      <w:szCs w:val="16"/>
                      <w:highlight w:val="none"/>
                      <w:u w:val="none"/>
                      <w:lang w:val="en-US" w:eastAsia="zh-CN" w:bidi="ar"/>
                    </w:rPr>
                    <w:t>Tc 740MBq（20mCi）②</w:t>
                  </w: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185MBq （5mCi）</w:t>
                  </w:r>
                </w:p>
              </w:tc>
              <w:tc>
                <w:tcPr>
                  <w:tcW w:w="2232" w:type="dxa"/>
                  <w:tcBorders>
                    <w:tl2br w:val="nil"/>
                    <w:tr2bl w:val="nil"/>
                  </w:tcBorders>
                  <w:shd w:val="clear" w:color="auto" w:fill="auto"/>
                  <w:vAlign w:val="center"/>
                </w:tcPr>
                <w:p w14:paraId="3D29DC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w:t>
                  </w:r>
                </w:p>
              </w:tc>
              <w:tc>
                <w:tcPr>
                  <w:tcW w:w="971" w:type="dxa"/>
                  <w:tcBorders>
                    <w:tl2br w:val="nil"/>
                    <w:tr2bl w:val="nil"/>
                  </w:tcBorders>
                  <w:shd w:val="clear" w:color="auto" w:fill="auto"/>
                  <w:vAlign w:val="center"/>
                </w:tcPr>
                <w:p w14:paraId="710011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920" w:type="dxa"/>
                  <w:tcBorders>
                    <w:tl2br w:val="nil"/>
                    <w:tr2bl w:val="nil"/>
                  </w:tcBorders>
                  <w:shd w:val="clear" w:color="auto" w:fill="auto"/>
                  <w:vAlign w:val="center"/>
                </w:tcPr>
                <w:p w14:paraId="390217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1.07E-02</w:t>
                  </w:r>
                </w:p>
              </w:tc>
              <w:tc>
                <w:tcPr>
                  <w:tcW w:w="963" w:type="dxa"/>
                  <w:tcBorders>
                    <w:tl2br w:val="nil"/>
                    <w:tr2bl w:val="nil"/>
                  </w:tcBorders>
                  <w:shd w:val="clear" w:color="auto" w:fill="auto"/>
                  <w:vAlign w:val="center"/>
                </w:tcPr>
                <w:p w14:paraId="1C0A9A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3.09E-02</w:t>
                  </w:r>
                </w:p>
              </w:tc>
              <w:tc>
                <w:tcPr>
                  <w:tcW w:w="985" w:type="dxa"/>
                  <w:tcBorders>
                    <w:tl2br w:val="nil"/>
                    <w:tr2bl w:val="nil"/>
                  </w:tcBorders>
                  <w:shd w:val="clear" w:color="auto" w:fill="auto"/>
                  <w:vAlign w:val="center"/>
                </w:tcPr>
                <w:p w14:paraId="30E0AE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76B12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AC8F4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40</w:t>
                  </w:r>
                </w:p>
              </w:tc>
              <w:tc>
                <w:tcPr>
                  <w:tcW w:w="1704" w:type="dxa"/>
                  <w:tcBorders>
                    <w:tl2br w:val="nil"/>
                    <w:tr2bl w:val="nil"/>
                  </w:tcBorders>
                  <w:shd w:val="clear" w:color="auto" w:fill="auto"/>
                  <w:vAlign w:val="center"/>
                </w:tcPr>
                <w:p w14:paraId="7C699C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6AF55A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7A4B14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6B8149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vAlign w:val="center"/>
                </w:tcPr>
                <w:p w14:paraId="3C3CECF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63" w:type="dxa"/>
                  <w:tcBorders>
                    <w:tl2br w:val="nil"/>
                    <w:tr2bl w:val="nil"/>
                  </w:tcBorders>
                  <w:shd w:val="clear" w:color="auto" w:fill="auto"/>
                  <w:vAlign w:val="center"/>
                </w:tcPr>
                <w:p w14:paraId="3C4C24F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7.57E-03</w:t>
                  </w:r>
                </w:p>
              </w:tc>
              <w:tc>
                <w:tcPr>
                  <w:tcW w:w="985" w:type="dxa"/>
                  <w:tcBorders>
                    <w:tl2br w:val="nil"/>
                    <w:tr2bl w:val="nil"/>
                  </w:tcBorders>
                  <w:shd w:val="clear" w:color="auto" w:fill="auto"/>
                  <w:vAlign w:val="center"/>
                </w:tcPr>
                <w:p w14:paraId="2BE6DFB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7BFA1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BA3E84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41</w:t>
                  </w:r>
                </w:p>
              </w:tc>
              <w:tc>
                <w:tcPr>
                  <w:tcW w:w="1704" w:type="dxa"/>
                  <w:tcBorders>
                    <w:tl2br w:val="nil"/>
                    <w:tr2bl w:val="nil"/>
                  </w:tcBorders>
                  <w:shd w:val="clear" w:color="auto" w:fill="auto"/>
                  <w:vAlign w:val="center"/>
                </w:tcPr>
                <w:p w14:paraId="13CFF4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100B41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478E2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0D82DF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vAlign w:val="center"/>
                </w:tcPr>
                <w:p w14:paraId="187E33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63" w:type="dxa"/>
                  <w:tcBorders>
                    <w:tl2br w:val="nil"/>
                    <w:tr2bl w:val="nil"/>
                  </w:tcBorders>
                  <w:shd w:val="clear" w:color="auto" w:fill="auto"/>
                  <w:vAlign w:val="center"/>
                </w:tcPr>
                <w:p w14:paraId="3B224F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8.21E-03</w:t>
                  </w:r>
                </w:p>
              </w:tc>
              <w:tc>
                <w:tcPr>
                  <w:tcW w:w="985" w:type="dxa"/>
                  <w:tcBorders>
                    <w:tl2br w:val="nil"/>
                    <w:tr2bl w:val="nil"/>
                  </w:tcBorders>
                  <w:shd w:val="clear" w:color="auto" w:fill="auto"/>
                  <w:vAlign w:val="center"/>
                </w:tcPr>
                <w:p w14:paraId="2E4055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04A735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9B146D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42</w:t>
                  </w:r>
                </w:p>
              </w:tc>
              <w:tc>
                <w:tcPr>
                  <w:tcW w:w="1704" w:type="dxa"/>
                  <w:tcBorders>
                    <w:tl2br w:val="nil"/>
                    <w:tr2bl w:val="nil"/>
                  </w:tcBorders>
                  <w:shd w:val="clear" w:color="auto" w:fill="auto"/>
                  <w:vAlign w:val="center"/>
                </w:tcPr>
                <w:p w14:paraId="546D2B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7ACE56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95D98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3mmPb铅板</w:t>
                  </w:r>
                </w:p>
              </w:tc>
              <w:tc>
                <w:tcPr>
                  <w:tcW w:w="971" w:type="dxa"/>
                  <w:tcBorders>
                    <w:tl2br w:val="nil"/>
                    <w:tr2bl w:val="nil"/>
                  </w:tcBorders>
                  <w:shd w:val="clear" w:color="auto" w:fill="auto"/>
                  <w:vAlign w:val="center"/>
                </w:tcPr>
                <w:p w14:paraId="7DE06CF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920" w:type="dxa"/>
                  <w:tcBorders>
                    <w:tl2br w:val="nil"/>
                    <w:tr2bl w:val="nil"/>
                  </w:tcBorders>
                  <w:shd w:val="clear" w:color="auto" w:fill="auto"/>
                  <w:vAlign w:val="center"/>
                </w:tcPr>
                <w:p w14:paraId="1412E1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1.40E-03</w:t>
                  </w:r>
                </w:p>
              </w:tc>
              <w:tc>
                <w:tcPr>
                  <w:tcW w:w="963" w:type="dxa"/>
                  <w:tcBorders>
                    <w:tl2br w:val="nil"/>
                    <w:tr2bl w:val="nil"/>
                  </w:tcBorders>
                  <w:shd w:val="clear" w:color="auto" w:fill="auto"/>
                  <w:vAlign w:val="center"/>
                </w:tcPr>
                <w:p w14:paraId="5EB50D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3.67E-01</w:t>
                  </w:r>
                </w:p>
              </w:tc>
              <w:tc>
                <w:tcPr>
                  <w:tcW w:w="985" w:type="dxa"/>
                  <w:tcBorders>
                    <w:tl2br w:val="nil"/>
                    <w:tr2bl w:val="nil"/>
                  </w:tcBorders>
                  <w:shd w:val="clear" w:color="auto" w:fill="auto"/>
                  <w:vAlign w:val="center"/>
                </w:tcPr>
                <w:p w14:paraId="44677A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70498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2" w:hRule="atLeast"/>
                <w:jc w:val="center"/>
              </w:trPr>
              <w:tc>
                <w:tcPr>
                  <w:tcW w:w="570" w:type="dxa"/>
                  <w:tcBorders>
                    <w:tl2br w:val="nil"/>
                    <w:tr2bl w:val="nil"/>
                  </w:tcBorders>
                  <w:shd w:val="clear" w:color="auto" w:fill="auto"/>
                  <w:vAlign w:val="center"/>
                </w:tcPr>
                <w:p w14:paraId="2D0D215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43</w:t>
                  </w:r>
                </w:p>
              </w:tc>
              <w:tc>
                <w:tcPr>
                  <w:tcW w:w="1704" w:type="dxa"/>
                  <w:tcBorders>
                    <w:tl2br w:val="nil"/>
                    <w:tr2bl w:val="nil"/>
                  </w:tcBorders>
                  <w:shd w:val="clear" w:color="auto" w:fill="auto"/>
                  <w:vAlign w:val="center"/>
                </w:tcPr>
                <w:p w14:paraId="2DC7EE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观察窗</w:t>
                  </w:r>
                </w:p>
              </w:tc>
              <w:tc>
                <w:tcPr>
                  <w:tcW w:w="1259" w:type="dxa"/>
                  <w:vMerge w:val="continue"/>
                  <w:tcBorders>
                    <w:tl2br w:val="nil"/>
                    <w:tr2bl w:val="nil"/>
                  </w:tcBorders>
                  <w:shd w:val="clear" w:color="auto" w:fill="auto"/>
                  <w:vAlign w:val="center"/>
                </w:tcPr>
                <w:p w14:paraId="3D69A0A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7C63D3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3mmPb铅玻璃</w:t>
                  </w:r>
                </w:p>
              </w:tc>
              <w:tc>
                <w:tcPr>
                  <w:tcW w:w="971" w:type="dxa"/>
                  <w:tcBorders>
                    <w:tl2br w:val="nil"/>
                    <w:tr2bl w:val="nil"/>
                  </w:tcBorders>
                  <w:shd w:val="clear" w:color="auto" w:fill="auto"/>
                  <w:vAlign w:val="center"/>
                </w:tcPr>
                <w:p w14:paraId="5788BA2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920" w:type="dxa"/>
                  <w:tcBorders>
                    <w:tl2br w:val="nil"/>
                    <w:tr2bl w:val="nil"/>
                  </w:tcBorders>
                  <w:shd w:val="clear" w:color="auto" w:fill="auto"/>
                  <w:vAlign w:val="center"/>
                </w:tcPr>
                <w:p w14:paraId="15A29F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2.19E-03</w:t>
                  </w:r>
                </w:p>
              </w:tc>
              <w:tc>
                <w:tcPr>
                  <w:tcW w:w="963" w:type="dxa"/>
                  <w:tcBorders>
                    <w:tl2br w:val="nil"/>
                    <w:tr2bl w:val="nil"/>
                  </w:tcBorders>
                  <w:shd w:val="clear" w:color="auto" w:fill="auto"/>
                  <w:vAlign w:val="center"/>
                </w:tcPr>
                <w:p w14:paraId="4D54603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5.74E-01</w:t>
                  </w:r>
                </w:p>
              </w:tc>
              <w:tc>
                <w:tcPr>
                  <w:tcW w:w="985" w:type="dxa"/>
                  <w:tcBorders>
                    <w:tl2br w:val="nil"/>
                    <w:tr2bl w:val="nil"/>
                  </w:tcBorders>
                  <w:shd w:val="clear" w:color="auto" w:fill="auto"/>
                  <w:vAlign w:val="center"/>
                </w:tcPr>
                <w:p w14:paraId="577E0D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DE2CD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604" w:type="dxa"/>
                  <w:gridSpan w:val="8"/>
                  <w:tcBorders>
                    <w:tl2br w:val="nil"/>
                    <w:tr2bl w:val="nil"/>
                  </w:tcBorders>
                  <w:shd w:val="clear" w:color="auto" w:fill="auto"/>
                  <w:vAlign w:val="center"/>
                </w:tcPr>
                <w:p w14:paraId="441E86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16"/>
                      <w:szCs w:val="16"/>
                      <w:highlight w:val="none"/>
                      <w:u w:val="none"/>
                      <w:lang w:val="en-US" w:eastAsia="zh-CN" w:bidi="ar"/>
                    </w:rPr>
                  </w:pPr>
                  <w:r>
                    <w:rPr>
                      <w:rFonts w:hint="default" w:ascii="Times New Roman" w:hAnsi="Times New Roman" w:eastAsia="宋体" w:cs="Times New Roman"/>
                      <w:b/>
                      <w:bCs/>
                      <w:i w:val="0"/>
                      <w:iCs w:val="0"/>
                      <w:color w:val="auto"/>
                      <w:kern w:val="0"/>
                      <w:sz w:val="16"/>
                      <w:szCs w:val="16"/>
                      <w:highlight w:val="none"/>
                      <w:u w:val="none"/>
                      <w:lang w:val="en-US" w:eastAsia="zh-CN" w:bidi="ar"/>
                    </w:rPr>
                    <w:t>PET诊断区</w:t>
                  </w:r>
                </w:p>
              </w:tc>
            </w:tr>
            <w:tr w14:paraId="1E5F66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9E1075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44</w:t>
                  </w:r>
                </w:p>
              </w:tc>
              <w:tc>
                <w:tcPr>
                  <w:tcW w:w="1704" w:type="dxa"/>
                  <w:tcBorders>
                    <w:tl2br w:val="nil"/>
                    <w:tr2bl w:val="nil"/>
                  </w:tcBorders>
                  <w:shd w:val="clear" w:color="auto" w:fill="auto"/>
                  <w:vAlign w:val="center"/>
                </w:tcPr>
                <w:p w14:paraId="6405BE4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4F10304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场所：抢救室</w:t>
                  </w:r>
                </w:p>
                <w:p w14:paraId="3819D97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pPr>
                </w:p>
                <w:p w14:paraId="7CCF44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F-18</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740MBq（20mCi）</w:t>
                  </w:r>
                </w:p>
              </w:tc>
              <w:tc>
                <w:tcPr>
                  <w:tcW w:w="2232" w:type="dxa"/>
                  <w:tcBorders>
                    <w:tl2br w:val="nil"/>
                    <w:tr2bl w:val="nil"/>
                  </w:tcBorders>
                  <w:shd w:val="clear" w:color="auto" w:fill="auto"/>
                  <w:vAlign w:val="center"/>
                </w:tcPr>
                <w:p w14:paraId="3F85789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w:t>
                  </w:r>
                </w:p>
              </w:tc>
              <w:tc>
                <w:tcPr>
                  <w:tcW w:w="971" w:type="dxa"/>
                  <w:tcBorders>
                    <w:tl2br w:val="nil"/>
                    <w:tr2bl w:val="nil"/>
                  </w:tcBorders>
                  <w:shd w:val="clear" w:color="auto" w:fill="auto"/>
                  <w:vAlign w:val="center"/>
                </w:tcPr>
                <w:p w14:paraId="00554B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1.3</w:t>
                  </w:r>
                </w:p>
              </w:tc>
              <w:tc>
                <w:tcPr>
                  <w:tcW w:w="920" w:type="dxa"/>
                  <w:tcBorders>
                    <w:tl2br w:val="nil"/>
                    <w:tr2bl w:val="nil"/>
                  </w:tcBorders>
                  <w:shd w:val="clear" w:color="auto" w:fill="auto"/>
                  <w:noWrap/>
                  <w:vAlign w:val="center"/>
                </w:tcPr>
                <w:p w14:paraId="4AF54D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5D7DE8E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1BF9743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b/>
                      <w:bCs/>
                      <w:i w:val="0"/>
                      <w:iCs w:val="0"/>
                      <w:color w:val="auto"/>
                      <w:kern w:val="0"/>
                      <w:sz w:val="16"/>
                      <w:szCs w:val="16"/>
                      <w:highlight w:val="none"/>
                      <w:u w:val="none"/>
                      <w:lang w:val="en-US" w:eastAsia="zh-CN" w:bidi="ar"/>
                    </w:rPr>
                    <w:t>2.45E+00</w:t>
                  </w:r>
                </w:p>
              </w:tc>
            </w:tr>
            <w:tr w14:paraId="759126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C82780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45</w:t>
                  </w:r>
                </w:p>
              </w:tc>
              <w:tc>
                <w:tcPr>
                  <w:tcW w:w="1704" w:type="dxa"/>
                  <w:tcBorders>
                    <w:tl2br w:val="nil"/>
                    <w:tr2bl w:val="nil"/>
                  </w:tcBorders>
                  <w:shd w:val="clear" w:color="auto" w:fill="auto"/>
                  <w:vAlign w:val="center"/>
                </w:tcPr>
                <w:p w14:paraId="011A09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170540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C7C19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08C707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18C9509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138E1AE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3B8FD3A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r>
            <w:tr w14:paraId="5C7B8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F58EA3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46</w:t>
                  </w:r>
                </w:p>
              </w:tc>
              <w:tc>
                <w:tcPr>
                  <w:tcW w:w="1704" w:type="dxa"/>
                  <w:tcBorders>
                    <w:tl2br w:val="nil"/>
                    <w:tr2bl w:val="nil"/>
                  </w:tcBorders>
                  <w:shd w:val="clear" w:color="auto" w:fill="auto"/>
                  <w:vAlign w:val="center"/>
                </w:tcPr>
                <w:p w14:paraId="657E3D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4B974C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61C9586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455177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4006EC5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37ACCC7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2AF261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r>
            <w:tr w14:paraId="2723CE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7AA863F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47</w:t>
                  </w:r>
                </w:p>
              </w:tc>
              <w:tc>
                <w:tcPr>
                  <w:tcW w:w="1704" w:type="dxa"/>
                  <w:tcBorders>
                    <w:tl2br w:val="nil"/>
                    <w:tr2bl w:val="nil"/>
                  </w:tcBorders>
                  <w:shd w:val="clear" w:color="auto" w:fill="auto"/>
                  <w:vAlign w:val="center"/>
                </w:tcPr>
                <w:p w14:paraId="6D0C3C1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022F6B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E61EC5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10mmPb铅板</w:t>
                  </w:r>
                </w:p>
              </w:tc>
              <w:tc>
                <w:tcPr>
                  <w:tcW w:w="971" w:type="dxa"/>
                  <w:tcBorders>
                    <w:tl2br w:val="nil"/>
                    <w:tr2bl w:val="nil"/>
                  </w:tcBorders>
                  <w:shd w:val="clear" w:color="auto" w:fill="auto"/>
                  <w:vAlign w:val="center"/>
                </w:tcPr>
                <w:p w14:paraId="575C13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3.5</w:t>
                  </w:r>
                </w:p>
              </w:tc>
              <w:tc>
                <w:tcPr>
                  <w:tcW w:w="920" w:type="dxa"/>
                  <w:tcBorders>
                    <w:tl2br w:val="nil"/>
                    <w:tr2bl w:val="nil"/>
                  </w:tcBorders>
                  <w:shd w:val="clear" w:color="auto" w:fill="auto"/>
                  <w:noWrap/>
                  <w:vAlign w:val="center"/>
                </w:tcPr>
                <w:p w14:paraId="5F631F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324D7A4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22C4EF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2.16E+00</w:t>
                  </w:r>
                </w:p>
              </w:tc>
            </w:tr>
            <w:tr w14:paraId="04A3D5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90432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1704" w:type="dxa"/>
                  <w:tcBorders>
                    <w:tl2br w:val="nil"/>
                    <w:tr2bl w:val="nil"/>
                  </w:tcBorders>
                  <w:shd w:val="clear" w:color="auto" w:fill="auto"/>
                  <w:vAlign w:val="center"/>
                </w:tcPr>
                <w:p w14:paraId="51190F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37E6C71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场所：注射后休息室</w:t>
                  </w:r>
                </w:p>
                <w:p w14:paraId="568F57A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pPr>
                </w:p>
                <w:p w14:paraId="70B86C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F-18</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740MBq（20mCi）</w:t>
                  </w:r>
                </w:p>
              </w:tc>
              <w:tc>
                <w:tcPr>
                  <w:tcW w:w="2232" w:type="dxa"/>
                  <w:tcBorders>
                    <w:tl2br w:val="nil"/>
                    <w:tr2bl w:val="nil"/>
                  </w:tcBorders>
                  <w:shd w:val="clear" w:color="auto" w:fill="auto"/>
                  <w:vAlign w:val="center"/>
                </w:tcPr>
                <w:p w14:paraId="676C07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w:t>
                  </w:r>
                </w:p>
              </w:tc>
              <w:tc>
                <w:tcPr>
                  <w:tcW w:w="971" w:type="dxa"/>
                  <w:tcBorders>
                    <w:tl2br w:val="nil"/>
                    <w:tr2bl w:val="nil"/>
                  </w:tcBorders>
                  <w:shd w:val="clear" w:color="auto" w:fill="auto"/>
                  <w:vAlign w:val="center"/>
                </w:tcPr>
                <w:p w14:paraId="731680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2.3</w:t>
                  </w:r>
                </w:p>
              </w:tc>
              <w:tc>
                <w:tcPr>
                  <w:tcW w:w="920" w:type="dxa"/>
                  <w:tcBorders>
                    <w:tl2br w:val="nil"/>
                    <w:tr2bl w:val="nil"/>
                  </w:tcBorders>
                  <w:shd w:val="clear" w:color="auto" w:fill="auto"/>
                  <w:noWrap/>
                  <w:vAlign w:val="center"/>
                </w:tcPr>
                <w:p w14:paraId="045CB0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697381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4AE745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7.84E-01</w:t>
                  </w:r>
                </w:p>
              </w:tc>
            </w:tr>
            <w:tr w14:paraId="03E138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AEBD8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49</w:t>
                  </w:r>
                </w:p>
              </w:tc>
              <w:tc>
                <w:tcPr>
                  <w:tcW w:w="1704" w:type="dxa"/>
                  <w:tcBorders>
                    <w:tl2br w:val="nil"/>
                    <w:tr2bl w:val="nil"/>
                  </w:tcBorders>
                  <w:shd w:val="clear" w:color="auto" w:fill="auto"/>
                  <w:vAlign w:val="center"/>
                </w:tcPr>
                <w:p w14:paraId="254BB8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40B146D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300A1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530EE4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36A6F3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2EF416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62C64D0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r>
            <w:tr w14:paraId="26697F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FF4400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50</w:t>
                  </w:r>
                </w:p>
              </w:tc>
              <w:tc>
                <w:tcPr>
                  <w:tcW w:w="1704" w:type="dxa"/>
                  <w:tcBorders>
                    <w:tl2br w:val="nil"/>
                    <w:tr2bl w:val="nil"/>
                  </w:tcBorders>
                  <w:shd w:val="clear" w:color="auto" w:fill="auto"/>
                  <w:vAlign w:val="center"/>
                </w:tcPr>
                <w:p w14:paraId="69A246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3D4EEC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0BDC4D1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6C83A2B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16D18E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6BC5D6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684EB38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r>
            <w:tr w14:paraId="69814F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59035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51</w:t>
                  </w:r>
                </w:p>
              </w:tc>
              <w:tc>
                <w:tcPr>
                  <w:tcW w:w="1704" w:type="dxa"/>
                  <w:tcBorders>
                    <w:tl2br w:val="nil"/>
                    <w:tr2bl w:val="nil"/>
                  </w:tcBorders>
                  <w:shd w:val="clear" w:color="auto" w:fill="auto"/>
                  <w:vAlign w:val="center"/>
                </w:tcPr>
                <w:p w14:paraId="56BC2AE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147B624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093A17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10mmPb铅板</w:t>
                  </w:r>
                </w:p>
              </w:tc>
              <w:tc>
                <w:tcPr>
                  <w:tcW w:w="971" w:type="dxa"/>
                  <w:tcBorders>
                    <w:tl2br w:val="nil"/>
                    <w:tr2bl w:val="nil"/>
                  </w:tcBorders>
                  <w:shd w:val="clear" w:color="auto" w:fill="auto"/>
                  <w:vAlign w:val="center"/>
                </w:tcPr>
                <w:p w14:paraId="359A14B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4.2</w:t>
                  </w:r>
                </w:p>
              </w:tc>
              <w:tc>
                <w:tcPr>
                  <w:tcW w:w="920" w:type="dxa"/>
                  <w:tcBorders>
                    <w:tl2br w:val="nil"/>
                    <w:tr2bl w:val="nil"/>
                  </w:tcBorders>
                  <w:shd w:val="clear" w:color="auto" w:fill="auto"/>
                  <w:noWrap/>
                  <w:vAlign w:val="center"/>
                </w:tcPr>
                <w:p w14:paraId="15B56A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08FCF6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487457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1.50E+00</w:t>
                  </w:r>
                </w:p>
              </w:tc>
            </w:tr>
            <w:tr w14:paraId="2069D0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4757A9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52</w:t>
                  </w:r>
                </w:p>
              </w:tc>
              <w:tc>
                <w:tcPr>
                  <w:tcW w:w="1704" w:type="dxa"/>
                  <w:tcBorders>
                    <w:tl2br w:val="nil"/>
                    <w:tr2bl w:val="nil"/>
                  </w:tcBorders>
                  <w:shd w:val="clear" w:color="auto" w:fill="auto"/>
                  <w:vAlign w:val="center"/>
                </w:tcPr>
                <w:p w14:paraId="3AD0495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17DA08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场所：储源室</w:t>
                  </w:r>
                </w:p>
                <w:p w14:paraId="5A4050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pPr>
                </w:p>
                <w:p w14:paraId="475993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F-18</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740MBq（20mCi）、</w:t>
                  </w:r>
                </w:p>
              </w:tc>
              <w:tc>
                <w:tcPr>
                  <w:tcW w:w="2232" w:type="dxa"/>
                  <w:tcBorders>
                    <w:tl2br w:val="nil"/>
                    <w:tr2bl w:val="nil"/>
                  </w:tcBorders>
                  <w:shd w:val="clear" w:color="auto" w:fill="auto"/>
                  <w:vAlign w:val="center"/>
                </w:tcPr>
                <w:p w14:paraId="55BF4C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w:t>
                  </w:r>
                </w:p>
              </w:tc>
              <w:tc>
                <w:tcPr>
                  <w:tcW w:w="971" w:type="dxa"/>
                  <w:tcBorders>
                    <w:tl2br w:val="nil"/>
                    <w:tr2bl w:val="nil"/>
                  </w:tcBorders>
                  <w:shd w:val="clear" w:color="auto" w:fill="auto"/>
                  <w:vAlign w:val="center"/>
                </w:tcPr>
                <w:p w14:paraId="1945B2D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2.3</w:t>
                  </w:r>
                </w:p>
              </w:tc>
              <w:tc>
                <w:tcPr>
                  <w:tcW w:w="920" w:type="dxa"/>
                  <w:tcBorders>
                    <w:tl2br w:val="nil"/>
                    <w:tr2bl w:val="nil"/>
                  </w:tcBorders>
                  <w:shd w:val="clear" w:color="auto" w:fill="auto"/>
                  <w:noWrap/>
                  <w:vAlign w:val="center"/>
                </w:tcPr>
                <w:p w14:paraId="0ED6CDA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3EEA6CE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425858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7.84E-01</w:t>
                  </w:r>
                </w:p>
              </w:tc>
            </w:tr>
            <w:tr w14:paraId="5AD022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7EA3C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53</w:t>
                  </w:r>
                </w:p>
              </w:tc>
              <w:tc>
                <w:tcPr>
                  <w:tcW w:w="1704" w:type="dxa"/>
                  <w:tcBorders>
                    <w:tl2br w:val="nil"/>
                    <w:tr2bl w:val="nil"/>
                  </w:tcBorders>
                  <w:shd w:val="clear" w:color="auto" w:fill="auto"/>
                  <w:vAlign w:val="center"/>
                </w:tcPr>
                <w:p w14:paraId="27F26E8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169C94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50D5E1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10B4166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7EAF56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68151FB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72165B7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r>
            <w:tr w14:paraId="76479C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61D35F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54</w:t>
                  </w:r>
                </w:p>
              </w:tc>
              <w:tc>
                <w:tcPr>
                  <w:tcW w:w="1704" w:type="dxa"/>
                  <w:tcBorders>
                    <w:tl2br w:val="nil"/>
                    <w:tr2bl w:val="nil"/>
                  </w:tcBorders>
                  <w:shd w:val="clear" w:color="auto" w:fill="auto"/>
                  <w:vAlign w:val="center"/>
                </w:tcPr>
                <w:p w14:paraId="66A4C42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632909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4280E3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5947B5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7FCCCDA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44E201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79DF9F8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r>
            <w:tr w14:paraId="1BC7F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1D5CD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55</w:t>
                  </w:r>
                </w:p>
              </w:tc>
              <w:tc>
                <w:tcPr>
                  <w:tcW w:w="1704" w:type="dxa"/>
                  <w:tcBorders>
                    <w:tl2br w:val="nil"/>
                    <w:tr2bl w:val="nil"/>
                  </w:tcBorders>
                  <w:shd w:val="clear" w:color="auto" w:fill="auto"/>
                  <w:vAlign w:val="center"/>
                </w:tcPr>
                <w:p w14:paraId="0D7581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5CB5924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07E4A6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10mmPb铅</w:t>
                  </w:r>
                </w:p>
              </w:tc>
              <w:tc>
                <w:tcPr>
                  <w:tcW w:w="971" w:type="dxa"/>
                  <w:tcBorders>
                    <w:tl2br w:val="nil"/>
                    <w:tr2bl w:val="nil"/>
                  </w:tcBorders>
                  <w:shd w:val="clear" w:color="auto" w:fill="auto"/>
                  <w:vAlign w:val="center"/>
                </w:tcPr>
                <w:p w14:paraId="71B6F4B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w:t>
                  </w:r>
                </w:p>
              </w:tc>
              <w:tc>
                <w:tcPr>
                  <w:tcW w:w="920" w:type="dxa"/>
                  <w:tcBorders>
                    <w:tl2br w:val="nil"/>
                    <w:tr2bl w:val="nil"/>
                  </w:tcBorders>
                  <w:shd w:val="clear" w:color="auto" w:fill="auto"/>
                  <w:noWrap/>
                  <w:vAlign w:val="center"/>
                </w:tcPr>
                <w:p w14:paraId="1387DB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23CF13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1BDFA1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2.43E+00</w:t>
                  </w:r>
                </w:p>
              </w:tc>
            </w:tr>
            <w:tr w14:paraId="5B93D1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28743B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56</w:t>
                  </w:r>
                </w:p>
              </w:tc>
              <w:tc>
                <w:tcPr>
                  <w:tcW w:w="1704" w:type="dxa"/>
                  <w:tcBorders>
                    <w:tl2br w:val="nil"/>
                    <w:tr2bl w:val="nil"/>
                  </w:tcBorders>
                  <w:shd w:val="clear" w:color="auto" w:fill="auto"/>
                  <w:vAlign w:val="center"/>
                </w:tcPr>
                <w:p w14:paraId="69C688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3407FD4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场所：注射准备室</w:t>
                  </w:r>
                </w:p>
                <w:p w14:paraId="5399D22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F-18</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740MBq（20mCi）</w:t>
                  </w:r>
                </w:p>
              </w:tc>
              <w:tc>
                <w:tcPr>
                  <w:tcW w:w="2232" w:type="dxa"/>
                  <w:tcBorders>
                    <w:tl2br w:val="nil"/>
                    <w:tr2bl w:val="nil"/>
                  </w:tcBorders>
                  <w:shd w:val="clear" w:color="auto" w:fill="auto"/>
                  <w:vAlign w:val="center"/>
                </w:tcPr>
                <w:p w14:paraId="5F73FFF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w:t>
                  </w:r>
                </w:p>
              </w:tc>
              <w:tc>
                <w:tcPr>
                  <w:tcW w:w="971" w:type="dxa"/>
                  <w:tcBorders>
                    <w:tl2br w:val="nil"/>
                    <w:tr2bl w:val="nil"/>
                  </w:tcBorders>
                  <w:shd w:val="clear" w:color="auto" w:fill="auto"/>
                  <w:vAlign w:val="center"/>
                </w:tcPr>
                <w:p w14:paraId="50F623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920" w:type="dxa"/>
                  <w:tcBorders>
                    <w:tl2br w:val="nil"/>
                    <w:tr2bl w:val="nil"/>
                  </w:tcBorders>
                  <w:shd w:val="clear" w:color="auto" w:fill="auto"/>
                  <w:noWrap/>
                  <w:vAlign w:val="center"/>
                </w:tcPr>
                <w:p w14:paraId="518B0F4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3FC3A8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1F0952C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1.62E+00</w:t>
                  </w:r>
                </w:p>
              </w:tc>
            </w:tr>
            <w:tr w14:paraId="69C323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A2C41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57</w:t>
                  </w:r>
                </w:p>
              </w:tc>
              <w:tc>
                <w:tcPr>
                  <w:tcW w:w="1704" w:type="dxa"/>
                  <w:tcBorders>
                    <w:tl2br w:val="nil"/>
                    <w:tr2bl w:val="nil"/>
                  </w:tcBorders>
                  <w:shd w:val="clear" w:color="auto" w:fill="auto"/>
                  <w:vAlign w:val="center"/>
                </w:tcPr>
                <w:p w14:paraId="3BE4258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67C6EA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D02EC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2EBDC5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4F0AD0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4E764E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38AC45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r>
            <w:tr w14:paraId="6738D8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70D850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58</w:t>
                  </w:r>
                </w:p>
              </w:tc>
              <w:tc>
                <w:tcPr>
                  <w:tcW w:w="1704" w:type="dxa"/>
                  <w:tcBorders>
                    <w:tl2br w:val="nil"/>
                    <w:tr2bl w:val="nil"/>
                  </w:tcBorders>
                  <w:shd w:val="clear" w:color="auto" w:fill="auto"/>
                  <w:vAlign w:val="center"/>
                </w:tcPr>
                <w:p w14:paraId="117644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4D0512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607BECB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350B7B7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286215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5DC39E7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3E8B453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r>
            <w:tr w14:paraId="20D526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71366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59</w:t>
                  </w:r>
                </w:p>
              </w:tc>
              <w:tc>
                <w:tcPr>
                  <w:tcW w:w="1704" w:type="dxa"/>
                  <w:tcBorders>
                    <w:tl2br w:val="nil"/>
                    <w:tr2bl w:val="nil"/>
                  </w:tcBorders>
                  <w:shd w:val="clear" w:color="auto" w:fill="auto"/>
                  <w:vAlign w:val="center"/>
                </w:tcPr>
                <w:p w14:paraId="260105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5629C2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05D51B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10mmPb铅板</w:t>
                  </w:r>
                </w:p>
              </w:tc>
              <w:tc>
                <w:tcPr>
                  <w:tcW w:w="971" w:type="dxa"/>
                  <w:tcBorders>
                    <w:tl2br w:val="nil"/>
                    <w:tr2bl w:val="nil"/>
                  </w:tcBorders>
                  <w:shd w:val="clear" w:color="auto" w:fill="auto"/>
                  <w:vAlign w:val="center"/>
                </w:tcPr>
                <w:p w14:paraId="5F38CD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w:t>
                  </w:r>
                </w:p>
              </w:tc>
              <w:tc>
                <w:tcPr>
                  <w:tcW w:w="920" w:type="dxa"/>
                  <w:tcBorders>
                    <w:tl2br w:val="nil"/>
                    <w:tr2bl w:val="nil"/>
                  </w:tcBorders>
                  <w:shd w:val="clear" w:color="auto" w:fill="auto"/>
                  <w:noWrap/>
                  <w:vAlign w:val="center"/>
                </w:tcPr>
                <w:p w14:paraId="69D3B83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3BE9E1E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00F646A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2.43E+00</w:t>
                  </w:r>
                </w:p>
              </w:tc>
            </w:tr>
            <w:tr w14:paraId="11AAAB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05BC35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60</w:t>
                  </w:r>
                </w:p>
              </w:tc>
              <w:tc>
                <w:tcPr>
                  <w:tcW w:w="1704" w:type="dxa"/>
                  <w:tcBorders>
                    <w:tl2br w:val="nil"/>
                    <w:tr2bl w:val="nil"/>
                  </w:tcBorders>
                  <w:shd w:val="clear" w:color="auto" w:fill="auto"/>
                  <w:vAlign w:val="center"/>
                </w:tcPr>
                <w:p w14:paraId="5CEF12B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59CC97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场所：注射室</w:t>
                  </w:r>
                </w:p>
                <w:p w14:paraId="1310DE4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pPr>
                </w:p>
                <w:p w14:paraId="16E344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F-18</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740MBq（20mCi）</w:t>
                  </w:r>
                </w:p>
              </w:tc>
              <w:tc>
                <w:tcPr>
                  <w:tcW w:w="2232" w:type="dxa"/>
                  <w:tcBorders>
                    <w:tl2br w:val="nil"/>
                    <w:tr2bl w:val="nil"/>
                  </w:tcBorders>
                  <w:shd w:val="clear" w:color="auto" w:fill="auto"/>
                  <w:vAlign w:val="center"/>
                </w:tcPr>
                <w:p w14:paraId="0D4B39F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w:t>
                  </w:r>
                </w:p>
              </w:tc>
              <w:tc>
                <w:tcPr>
                  <w:tcW w:w="971" w:type="dxa"/>
                  <w:tcBorders>
                    <w:tl2br w:val="nil"/>
                    <w:tr2bl w:val="nil"/>
                  </w:tcBorders>
                  <w:shd w:val="clear" w:color="auto" w:fill="auto"/>
                  <w:vAlign w:val="center"/>
                </w:tcPr>
                <w:p w14:paraId="4E7376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1.5</w:t>
                  </w:r>
                </w:p>
              </w:tc>
              <w:tc>
                <w:tcPr>
                  <w:tcW w:w="920" w:type="dxa"/>
                  <w:tcBorders>
                    <w:tl2br w:val="nil"/>
                    <w:tr2bl w:val="nil"/>
                  </w:tcBorders>
                  <w:shd w:val="clear" w:color="auto" w:fill="auto"/>
                  <w:noWrap/>
                  <w:vAlign w:val="center"/>
                </w:tcPr>
                <w:p w14:paraId="00C099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057D3E2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27D7929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1.84E+00</w:t>
                  </w:r>
                </w:p>
              </w:tc>
            </w:tr>
            <w:tr w14:paraId="12005E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72BAEE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61</w:t>
                  </w:r>
                </w:p>
              </w:tc>
              <w:tc>
                <w:tcPr>
                  <w:tcW w:w="1704" w:type="dxa"/>
                  <w:tcBorders>
                    <w:tl2br w:val="nil"/>
                    <w:tr2bl w:val="nil"/>
                  </w:tcBorders>
                  <w:shd w:val="clear" w:color="auto" w:fill="auto"/>
                  <w:vAlign w:val="center"/>
                </w:tcPr>
                <w:p w14:paraId="5171E4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18BC5FA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54BFC00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02E8384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665B1A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5C76009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175274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r>
            <w:tr w14:paraId="35E1DC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70" w:type="dxa"/>
                  <w:tcBorders>
                    <w:tl2br w:val="nil"/>
                    <w:tr2bl w:val="nil"/>
                  </w:tcBorders>
                  <w:shd w:val="clear" w:color="auto" w:fill="auto"/>
                  <w:vAlign w:val="center"/>
                </w:tcPr>
                <w:p w14:paraId="3FC2BF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62</w:t>
                  </w:r>
                </w:p>
              </w:tc>
              <w:tc>
                <w:tcPr>
                  <w:tcW w:w="1704" w:type="dxa"/>
                  <w:tcBorders>
                    <w:tl2br w:val="nil"/>
                    <w:tr2bl w:val="nil"/>
                  </w:tcBorders>
                  <w:shd w:val="clear" w:color="auto" w:fill="auto"/>
                  <w:vAlign w:val="center"/>
                </w:tcPr>
                <w:p w14:paraId="5ECC41B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79F17E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4914DFA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0F2F9EF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2D792D5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471082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5C7B65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r>
            <w:tr w14:paraId="3D06CF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37925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63</w:t>
                  </w:r>
                </w:p>
              </w:tc>
              <w:tc>
                <w:tcPr>
                  <w:tcW w:w="1704" w:type="dxa"/>
                  <w:tcBorders>
                    <w:tl2br w:val="nil"/>
                    <w:tr2bl w:val="nil"/>
                  </w:tcBorders>
                  <w:shd w:val="clear" w:color="auto" w:fill="auto"/>
                  <w:vAlign w:val="center"/>
                </w:tcPr>
                <w:p w14:paraId="7316790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4395EE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7656730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10mmPb铅板</w:t>
                  </w:r>
                </w:p>
              </w:tc>
              <w:tc>
                <w:tcPr>
                  <w:tcW w:w="971" w:type="dxa"/>
                  <w:tcBorders>
                    <w:tl2br w:val="nil"/>
                    <w:tr2bl w:val="nil"/>
                  </w:tcBorders>
                  <w:shd w:val="clear" w:color="auto" w:fill="auto"/>
                  <w:vAlign w:val="center"/>
                </w:tcPr>
                <w:p w14:paraId="7342F89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3.5</w:t>
                  </w:r>
                </w:p>
              </w:tc>
              <w:tc>
                <w:tcPr>
                  <w:tcW w:w="920" w:type="dxa"/>
                  <w:tcBorders>
                    <w:tl2br w:val="nil"/>
                    <w:tr2bl w:val="nil"/>
                  </w:tcBorders>
                  <w:shd w:val="clear" w:color="auto" w:fill="auto"/>
                  <w:noWrap/>
                  <w:vAlign w:val="center"/>
                </w:tcPr>
                <w:p w14:paraId="3B73DF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7D144C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7EB7532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2.16E+00</w:t>
                  </w:r>
                </w:p>
              </w:tc>
            </w:tr>
            <w:tr w14:paraId="43717C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402EF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64</w:t>
                  </w:r>
                </w:p>
              </w:tc>
              <w:tc>
                <w:tcPr>
                  <w:tcW w:w="1704" w:type="dxa"/>
                  <w:tcBorders>
                    <w:tl2br w:val="nil"/>
                    <w:tr2bl w:val="nil"/>
                  </w:tcBorders>
                  <w:shd w:val="clear" w:color="auto" w:fill="auto"/>
                  <w:vAlign w:val="center"/>
                </w:tcPr>
                <w:p w14:paraId="47D323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注射窗</w:t>
                  </w:r>
                </w:p>
              </w:tc>
              <w:tc>
                <w:tcPr>
                  <w:tcW w:w="1259" w:type="dxa"/>
                  <w:vMerge w:val="continue"/>
                  <w:tcBorders>
                    <w:tl2br w:val="nil"/>
                    <w:tr2bl w:val="nil"/>
                  </w:tcBorders>
                  <w:shd w:val="clear" w:color="auto" w:fill="auto"/>
                  <w:vAlign w:val="center"/>
                </w:tcPr>
                <w:p w14:paraId="79372C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6B600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40mmPb铅玻璃</w:t>
                  </w:r>
                </w:p>
              </w:tc>
              <w:tc>
                <w:tcPr>
                  <w:tcW w:w="971" w:type="dxa"/>
                  <w:tcBorders>
                    <w:tl2br w:val="nil"/>
                    <w:tr2bl w:val="nil"/>
                  </w:tcBorders>
                  <w:shd w:val="clear" w:color="auto" w:fill="auto"/>
                  <w:vAlign w:val="center"/>
                </w:tcPr>
                <w:p w14:paraId="36A6F8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0.5</w:t>
                  </w:r>
                </w:p>
              </w:tc>
              <w:tc>
                <w:tcPr>
                  <w:tcW w:w="920" w:type="dxa"/>
                  <w:tcBorders>
                    <w:tl2br w:val="nil"/>
                    <w:tr2bl w:val="nil"/>
                  </w:tcBorders>
                  <w:shd w:val="clear" w:color="auto" w:fill="auto"/>
                  <w:noWrap/>
                  <w:vAlign w:val="center"/>
                </w:tcPr>
                <w:p w14:paraId="13AEFB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4EDF13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64FFD96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1.65E+00</w:t>
                  </w:r>
                </w:p>
              </w:tc>
            </w:tr>
            <w:tr w14:paraId="20FE36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4BD40E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65</w:t>
                  </w:r>
                </w:p>
              </w:tc>
              <w:tc>
                <w:tcPr>
                  <w:tcW w:w="1704" w:type="dxa"/>
                  <w:tcBorders>
                    <w:tl2br w:val="nil"/>
                    <w:tr2bl w:val="nil"/>
                  </w:tcBorders>
                  <w:shd w:val="clear" w:color="auto" w:fill="auto"/>
                  <w:vAlign w:val="center"/>
                </w:tcPr>
                <w:p w14:paraId="3879181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58AC92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场所：放废库</w:t>
                  </w:r>
                </w:p>
                <w:p w14:paraId="0679150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pPr>
                </w:p>
                <w:p w14:paraId="48CF38D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F-18</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740MBq（20mCi）</w:t>
                  </w:r>
                </w:p>
              </w:tc>
              <w:tc>
                <w:tcPr>
                  <w:tcW w:w="2232" w:type="dxa"/>
                  <w:tcBorders>
                    <w:tl2br w:val="nil"/>
                    <w:tr2bl w:val="nil"/>
                  </w:tcBorders>
                  <w:shd w:val="clear" w:color="auto" w:fill="auto"/>
                  <w:vAlign w:val="center"/>
                </w:tcPr>
                <w:p w14:paraId="0F7A6A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w:t>
                  </w:r>
                </w:p>
              </w:tc>
              <w:tc>
                <w:tcPr>
                  <w:tcW w:w="971" w:type="dxa"/>
                  <w:tcBorders>
                    <w:tl2br w:val="nil"/>
                    <w:tr2bl w:val="nil"/>
                  </w:tcBorders>
                  <w:shd w:val="clear" w:color="auto" w:fill="auto"/>
                  <w:vAlign w:val="center"/>
                </w:tcPr>
                <w:p w14:paraId="3939D8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920" w:type="dxa"/>
                  <w:tcBorders>
                    <w:tl2br w:val="nil"/>
                    <w:tr2bl w:val="nil"/>
                  </w:tcBorders>
                  <w:shd w:val="clear" w:color="auto" w:fill="auto"/>
                  <w:noWrap/>
                  <w:vAlign w:val="center"/>
                </w:tcPr>
                <w:p w14:paraId="7A7746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4AD892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4EF304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1.62E+00</w:t>
                  </w:r>
                </w:p>
              </w:tc>
            </w:tr>
            <w:tr w14:paraId="1AB649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408888E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66</w:t>
                  </w:r>
                </w:p>
              </w:tc>
              <w:tc>
                <w:tcPr>
                  <w:tcW w:w="1704" w:type="dxa"/>
                  <w:tcBorders>
                    <w:tl2br w:val="nil"/>
                    <w:tr2bl w:val="nil"/>
                  </w:tcBorders>
                  <w:shd w:val="clear" w:color="auto" w:fill="auto"/>
                  <w:vAlign w:val="center"/>
                </w:tcPr>
                <w:p w14:paraId="17EDFD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5648D2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54A175F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742251F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6509D1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07F95DB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3C38DE5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r>
            <w:tr w14:paraId="2B5299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084DAD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67</w:t>
                  </w:r>
                </w:p>
              </w:tc>
              <w:tc>
                <w:tcPr>
                  <w:tcW w:w="1704" w:type="dxa"/>
                  <w:tcBorders>
                    <w:tl2br w:val="nil"/>
                    <w:tr2bl w:val="nil"/>
                  </w:tcBorders>
                  <w:shd w:val="clear" w:color="auto" w:fill="auto"/>
                  <w:vAlign w:val="center"/>
                </w:tcPr>
                <w:p w14:paraId="76AD2AE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4A7C48D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5E6736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4C3B4E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420153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40F392B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7068A2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r>
            <w:tr w14:paraId="3F21B2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6ABF7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68</w:t>
                  </w:r>
                </w:p>
              </w:tc>
              <w:tc>
                <w:tcPr>
                  <w:tcW w:w="1704" w:type="dxa"/>
                  <w:tcBorders>
                    <w:tl2br w:val="nil"/>
                    <w:tr2bl w:val="nil"/>
                  </w:tcBorders>
                  <w:shd w:val="clear" w:color="auto" w:fill="auto"/>
                  <w:vAlign w:val="center"/>
                </w:tcPr>
                <w:p w14:paraId="4709AE7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3050588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015B2A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10mmPb铅板</w:t>
                  </w:r>
                </w:p>
              </w:tc>
              <w:tc>
                <w:tcPr>
                  <w:tcW w:w="971" w:type="dxa"/>
                  <w:tcBorders>
                    <w:tl2br w:val="nil"/>
                    <w:tr2bl w:val="nil"/>
                  </w:tcBorders>
                  <w:shd w:val="clear" w:color="auto" w:fill="auto"/>
                  <w:vAlign w:val="center"/>
                </w:tcPr>
                <w:p w14:paraId="3A79622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w:t>
                  </w:r>
                </w:p>
              </w:tc>
              <w:tc>
                <w:tcPr>
                  <w:tcW w:w="920" w:type="dxa"/>
                  <w:tcBorders>
                    <w:tl2br w:val="nil"/>
                    <w:tr2bl w:val="nil"/>
                  </w:tcBorders>
                  <w:shd w:val="clear" w:color="auto" w:fill="auto"/>
                  <w:noWrap/>
                  <w:vAlign w:val="center"/>
                </w:tcPr>
                <w:p w14:paraId="6AA4219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6EF6868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5F17D36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2.43E+00</w:t>
                  </w:r>
                </w:p>
              </w:tc>
            </w:tr>
            <w:tr w14:paraId="313BEA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66411E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69</w:t>
                  </w:r>
                </w:p>
              </w:tc>
              <w:tc>
                <w:tcPr>
                  <w:tcW w:w="1704" w:type="dxa"/>
                  <w:tcBorders>
                    <w:tl2br w:val="nil"/>
                    <w:tr2bl w:val="nil"/>
                  </w:tcBorders>
                  <w:shd w:val="clear" w:color="auto" w:fill="auto"/>
                  <w:vAlign w:val="center"/>
                </w:tcPr>
                <w:p w14:paraId="732541B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099C4B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场所：PET-CT机房</w:t>
                  </w:r>
                </w:p>
                <w:p w14:paraId="09A31F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pPr>
                </w:p>
                <w:p w14:paraId="3E5BA4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F-18</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740MBq（20mCi）</w:t>
                  </w:r>
                </w:p>
              </w:tc>
              <w:tc>
                <w:tcPr>
                  <w:tcW w:w="2232" w:type="dxa"/>
                  <w:tcBorders>
                    <w:tl2br w:val="nil"/>
                    <w:tr2bl w:val="nil"/>
                  </w:tcBorders>
                  <w:shd w:val="clear" w:color="auto" w:fill="auto"/>
                  <w:vAlign w:val="center"/>
                </w:tcPr>
                <w:p w14:paraId="2C6C7BD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w:t>
                  </w:r>
                </w:p>
              </w:tc>
              <w:tc>
                <w:tcPr>
                  <w:tcW w:w="971" w:type="dxa"/>
                  <w:tcBorders>
                    <w:tl2br w:val="nil"/>
                    <w:tr2bl w:val="nil"/>
                  </w:tcBorders>
                  <w:shd w:val="clear" w:color="auto" w:fill="auto"/>
                  <w:vAlign w:val="center"/>
                </w:tcPr>
                <w:p w14:paraId="2115951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920" w:type="dxa"/>
                  <w:tcBorders>
                    <w:tl2br w:val="nil"/>
                    <w:tr2bl w:val="nil"/>
                  </w:tcBorders>
                  <w:shd w:val="clear" w:color="auto" w:fill="auto"/>
                  <w:noWrap/>
                  <w:vAlign w:val="center"/>
                </w:tcPr>
                <w:p w14:paraId="62185BF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674354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7E03398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4.05E-01</w:t>
                  </w:r>
                </w:p>
              </w:tc>
            </w:tr>
            <w:tr w14:paraId="566184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DB7E4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70</w:t>
                  </w:r>
                </w:p>
              </w:tc>
              <w:tc>
                <w:tcPr>
                  <w:tcW w:w="1704" w:type="dxa"/>
                  <w:tcBorders>
                    <w:tl2br w:val="nil"/>
                    <w:tr2bl w:val="nil"/>
                  </w:tcBorders>
                  <w:shd w:val="clear" w:color="auto" w:fill="auto"/>
                  <w:vAlign w:val="center"/>
                </w:tcPr>
                <w:p w14:paraId="6518D0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23B1625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46A423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42FA06F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3D6F64A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2483C35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061234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r>
            <w:tr w14:paraId="104302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61EC8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71</w:t>
                  </w:r>
                </w:p>
              </w:tc>
              <w:tc>
                <w:tcPr>
                  <w:tcW w:w="1704" w:type="dxa"/>
                  <w:tcBorders>
                    <w:tl2br w:val="nil"/>
                    <w:tr2bl w:val="nil"/>
                  </w:tcBorders>
                  <w:shd w:val="clear" w:color="auto" w:fill="auto"/>
                  <w:vAlign w:val="center"/>
                </w:tcPr>
                <w:p w14:paraId="54C6FEA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4B233AA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3772C1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75A499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468D9B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6EAEED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22E6DD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r>
            <w:tr w14:paraId="212424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2" w:hRule="atLeast"/>
                <w:jc w:val="center"/>
              </w:trPr>
              <w:tc>
                <w:tcPr>
                  <w:tcW w:w="570" w:type="dxa"/>
                  <w:tcBorders>
                    <w:tl2br w:val="nil"/>
                    <w:tr2bl w:val="nil"/>
                  </w:tcBorders>
                  <w:shd w:val="clear" w:color="auto" w:fill="auto"/>
                  <w:vAlign w:val="center"/>
                </w:tcPr>
                <w:p w14:paraId="7CA764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72</w:t>
                  </w:r>
                </w:p>
              </w:tc>
              <w:tc>
                <w:tcPr>
                  <w:tcW w:w="1704" w:type="dxa"/>
                  <w:tcBorders>
                    <w:tl2br w:val="nil"/>
                    <w:tr2bl w:val="nil"/>
                  </w:tcBorders>
                  <w:shd w:val="clear" w:color="auto" w:fill="auto"/>
                  <w:vAlign w:val="center"/>
                </w:tcPr>
                <w:p w14:paraId="1B1F170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5A5117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7DF3F6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10mmPb铅板</w:t>
                  </w:r>
                </w:p>
              </w:tc>
              <w:tc>
                <w:tcPr>
                  <w:tcW w:w="971" w:type="dxa"/>
                  <w:tcBorders>
                    <w:tl2br w:val="nil"/>
                    <w:tr2bl w:val="nil"/>
                  </w:tcBorders>
                  <w:shd w:val="clear" w:color="auto" w:fill="auto"/>
                  <w:vAlign w:val="center"/>
                </w:tcPr>
                <w:p w14:paraId="2D6BA8E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3.6</w:t>
                  </w:r>
                </w:p>
              </w:tc>
              <w:tc>
                <w:tcPr>
                  <w:tcW w:w="920" w:type="dxa"/>
                  <w:tcBorders>
                    <w:tl2br w:val="nil"/>
                    <w:tr2bl w:val="nil"/>
                  </w:tcBorders>
                  <w:shd w:val="clear" w:color="auto" w:fill="auto"/>
                  <w:noWrap/>
                  <w:vAlign w:val="center"/>
                </w:tcPr>
                <w:p w14:paraId="046D4F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25F756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7961CC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2.04E+00</w:t>
                  </w:r>
                </w:p>
              </w:tc>
            </w:tr>
            <w:tr w14:paraId="44AC0A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A1695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73</w:t>
                  </w:r>
                </w:p>
              </w:tc>
              <w:tc>
                <w:tcPr>
                  <w:tcW w:w="1704" w:type="dxa"/>
                  <w:tcBorders>
                    <w:tl2br w:val="nil"/>
                    <w:tr2bl w:val="nil"/>
                  </w:tcBorders>
                  <w:shd w:val="clear" w:color="auto" w:fill="auto"/>
                  <w:vAlign w:val="center"/>
                </w:tcPr>
                <w:p w14:paraId="1B6BA9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观察窗</w:t>
                  </w:r>
                </w:p>
              </w:tc>
              <w:tc>
                <w:tcPr>
                  <w:tcW w:w="1259" w:type="dxa"/>
                  <w:vMerge w:val="continue"/>
                  <w:tcBorders>
                    <w:tl2br w:val="nil"/>
                    <w:tr2bl w:val="nil"/>
                  </w:tcBorders>
                  <w:shd w:val="clear" w:color="auto" w:fill="auto"/>
                  <w:vAlign w:val="center"/>
                </w:tcPr>
                <w:p w14:paraId="57FAE11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07F6376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10mmPb铅玻璃</w:t>
                  </w:r>
                </w:p>
              </w:tc>
              <w:tc>
                <w:tcPr>
                  <w:tcW w:w="971" w:type="dxa"/>
                  <w:tcBorders>
                    <w:tl2br w:val="nil"/>
                    <w:tr2bl w:val="nil"/>
                  </w:tcBorders>
                  <w:shd w:val="clear" w:color="auto" w:fill="auto"/>
                  <w:vAlign w:val="center"/>
                </w:tcPr>
                <w:p w14:paraId="5C67DE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w:t>
                  </w:r>
                </w:p>
              </w:tc>
              <w:tc>
                <w:tcPr>
                  <w:tcW w:w="920" w:type="dxa"/>
                  <w:tcBorders>
                    <w:tl2br w:val="nil"/>
                    <w:tr2bl w:val="nil"/>
                  </w:tcBorders>
                  <w:shd w:val="clear" w:color="auto" w:fill="auto"/>
                  <w:noWrap/>
                  <w:vAlign w:val="center"/>
                </w:tcPr>
                <w:p w14:paraId="510DC5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1F64A0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3794957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2.43E+00</w:t>
                  </w:r>
                </w:p>
              </w:tc>
            </w:tr>
            <w:tr w14:paraId="058428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0D51B6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74</w:t>
                  </w:r>
                </w:p>
              </w:tc>
              <w:tc>
                <w:tcPr>
                  <w:tcW w:w="1704" w:type="dxa"/>
                  <w:tcBorders>
                    <w:tl2br w:val="nil"/>
                    <w:tr2bl w:val="nil"/>
                  </w:tcBorders>
                  <w:shd w:val="clear" w:color="auto" w:fill="auto"/>
                  <w:vAlign w:val="center"/>
                </w:tcPr>
                <w:p w14:paraId="62B2143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5FBB3D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场所：留观室</w:t>
                  </w:r>
                </w:p>
                <w:p w14:paraId="3111EA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F-18</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740MBq（20mCi）</w:t>
                  </w:r>
                </w:p>
              </w:tc>
              <w:tc>
                <w:tcPr>
                  <w:tcW w:w="2232" w:type="dxa"/>
                  <w:tcBorders>
                    <w:tl2br w:val="nil"/>
                    <w:tr2bl w:val="nil"/>
                  </w:tcBorders>
                  <w:shd w:val="clear" w:color="auto" w:fill="auto"/>
                  <w:vAlign w:val="center"/>
                </w:tcPr>
                <w:p w14:paraId="5A006F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w:t>
                  </w:r>
                </w:p>
              </w:tc>
              <w:tc>
                <w:tcPr>
                  <w:tcW w:w="971" w:type="dxa"/>
                  <w:tcBorders>
                    <w:tl2br w:val="nil"/>
                    <w:tr2bl w:val="nil"/>
                  </w:tcBorders>
                  <w:shd w:val="clear" w:color="auto" w:fill="auto"/>
                  <w:vAlign w:val="center"/>
                </w:tcPr>
                <w:p w14:paraId="2551D85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1.9</w:t>
                  </w:r>
                </w:p>
              </w:tc>
              <w:tc>
                <w:tcPr>
                  <w:tcW w:w="920" w:type="dxa"/>
                  <w:tcBorders>
                    <w:tl2br w:val="nil"/>
                    <w:tr2bl w:val="nil"/>
                  </w:tcBorders>
                  <w:shd w:val="clear" w:color="auto" w:fill="auto"/>
                  <w:noWrap/>
                  <w:vAlign w:val="center"/>
                </w:tcPr>
                <w:p w14:paraId="01B62AC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40CE3BC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5271921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1.15E+00</w:t>
                  </w:r>
                </w:p>
              </w:tc>
            </w:tr>
            <w:tr w14:paraId="01726D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4E359F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75</w:t>
                  </w:r>
                </w:p>
              </w:tc>
              <w:tc>
                <w:tcPr>
                  <w:tcW w:w="1704" w:type="dxa"/>
                  <w:tcBorders>
                    <w:tl2br w:val="nil"/>
                    <w:tr2bl w:val="nil"/>
                  </w:tcBorders>
                  <w:shd w:val="clear" w:color="auto" w:fill="auto"/>
                  <w:vAlign w:val="center"/>
                </w:tcPr>
                <w:p w14:paraId="5B32171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19C071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0128F4C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3C1B76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6B4A05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666C34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261214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r>
            <w:tr w14:paraId="1F2A55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673224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76</w:t>
                  </w:r>
                </w:p>
              </w:tc>
              <w:tc>
                <w:tcPr>
                  <w:tcW w:w="1704" w:type="dxa"/>
                  <w:tcBorders>
                    <w:tl2br w:val="nil"/>
                    <w:tr2bl w:val="nil"/>
                  </w:tcBorders>
                  <w:shd w:val="clear" w:color="auto" w:fill="auto"/>
                  <w:vAlign w:val="center"/>
                </w:tcPr>
                <w:p w14:paraId="2755AA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740E39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1BCFC8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1C8B75A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14B069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0658628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72B655C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r>
            <w:tr w14:paraId="3E35D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064CB62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77</w:t>
                  </w:r>
                </w:p>
              </w:tc>
              <w:tc>
                <w:tcPr>
                  <w:tcW w:w="1704" w:type="dxa"/>
                  <w:tcBorders>
                    <w:tl2br w:val="nil"/>
                    <w:tr2bl w:val="nil"/>
                  </w:tcBorders>
                  <w:shd w:val="clear" w:color="auto" w:fill="auto"/>
                  <w:vAlign w:val="center"/>
                </w:tcPr>
                <w:p w14:paraId="614DCE0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419C0A8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761A25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10mmPb铅板</w:t>
                  </w:r>
                </w:p>
              </w:tc>
              <w:tc>
                <w:tcPr>
                  <w:tcW w:w="971" w:type="dxa"/>
                  <w:tcBorders>
                    <w:tl2br w:val="nil"/>
                    <w:tr2bl w:val="nil"/>
                  </w:tcBorders>
                  <w:shd w:val="clear" w:color="auto" w:fill="auto"/>
                  <w:vAlign w:val="center"/>
                </w:tcPr>
                <w:p w14:paraId="3D94ED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w:t>
                  </w:r>
                </w:p>
              </w:tc>
              <w:tc>
                <w:tcPr>
                  <w:tcW w:w="920" w:type="dxa"/>
                  <w:tcBorders>
                    <w:tl2br w:val="nil"/>
                    <w:tr2bl w:val="nil"/>
                  </w:tcBorders>
                  <w:shd w:val="clear" w:color="auto" w:fill="auto"/>
                  <w:noWrap/>
                  <w:vAlign w:val="center"/>
                </w:tcPr>
                <w:p w14:paraId="3BD0AB9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noWrap/>
                  <w:vAlign w:val="center"/>
                </w:tcPr>
                <w:p w14:paraId="51C579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85" w:type="dxa"/>
                  <w:tcBorders>
                    <w:tl2br w:val="nil"/>
                    <w:tr2bl w:val="nil"/>
                  </w:tcBorders>
                  <w:shd w:val="clear" w:color="auto" w:fill="auto"/>
                  <w:vAlign w:val="center"/>
                </w:tcPr>
                <w:p w14:paraId="3821F8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2.43E+00</w:t>
                  </w:r>
                </w:p>
              </w:tc>
            </w:tr>
            <w:tr w14:paraId="6A62EF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604" w:type="dxa"/>
                  <w:gridSpan w:val="8"/>
                  <w:tcBorders>
                    <w:tl2br w:val="nil"/>
                    <w:tr2bl w:val="nil"/>
                  </w:tcBorders>
                  <w:shd w:val="clear" w:color="auto" w:fill="auto"/>
                  <w:vAlign w:val="center"/>
                </w:tcPr>
                <w:p w14:paraId="278263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b/>
                      <w:bCs/>
                      <w:i w:val="0"/>
                      <w:iCs w:val="0"/>
                      <w:color w:val="auto"/>
                      <w:kern w:val="0"/>
                      <w:sz w:val="16"/>
                      <w:szCs w:val="16"/>
                      <w:highlight w:val="none"/>
                      <w:u w:val="none"/>
                      <w:lang w:val="en-US" w:eastAsia="zh-CN" w:bidi="ar"/>
                    </w:rPr>
                    <w:t>三层核素治疗区</w:t>
                  </w:r>
                </w:p>
              </w:tc>
            </w:tr>
            <w:tr w14:paraId="17E99D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823034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78</w:t>
                  </w:r>
                </w:p>
              </w:tc>
              <w:tc>
                <w:tcPr>
                  <w:tcW w:w="1704" w:type="dxa"/>
                  <w:tcBorders>
                    <w:tl2br w:val="nil"/>
                    <w:tr2bl w:val="nil"/>
                  </w:tcBorders>
                  <w:shd w:val="clear" w:color="auto" w:fill="auto"/>
                  <w:vAlign w:val="center"/>
                </w:tcPr>
                <w:p w14:paraId="5A494C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21E34FF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场所：储源室</w:t>
                  </w:r>
                </w:p>
                <w:p w14:paraId="4F3EAA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5550MBq（150mCi）</w:t>
                  </w:r>
                </w:p>
              </w:tc>
              <w:tc>
                <w:tcPr>
                  <w:tcW w:w="2232" w:type="dxa"/>
                  <w:tcBorders>
                    <w:tl2br w:val="nil"/>
                    <w:tr2bl w:val="nil"/>
                  </w:tcBorders>
                  <w:shd w:val="clear" w:color="auto" w:fill="auto"/>
                  <w:vAlign w:val="center"/>
                </w:tcPr>
                <w:p w14:paraId="4ED194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370mm实心砖+20mm硫酸钡</w:t>
                  </w:r>
                </w:p>
              </w:tc>
              <w:tc>
                <w:tcPr>
                  <w:tcW w:w="971" w:type="dxa"/>
                  <w:tcBorders>
                    <w:tl2br w:val="nil"/>
                    <w:tr2bl w:val="nil"/>
                  </w:tcBorders>
                  <w:shd w:val="clear" w:color="auto" w:fill="auto"/>
                  <w:vAlign w:val="center"/>
                </w:tcPr>
                <w:p w14:paraId="6DCBF8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920" w:type="dxa"/>
                  <w:tcBorders>
                    <w:tl2br w:val="nil"/>
                    <w:tr2bl w:val="nil"/>
                  </w:tcBorders>
                  <w:shd w:val="clear" w:color="auto" w:fill="auto"/>
                  <w:noWrap/>
                  <w:vAlign w:val="center"/>
                </w:tcPr>
                <w:p w14:paraId="601669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50D4F9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2.22E+00</w:t>
                  </w:r>
                </w:p>
              </w:tc>
              <w:tc>
                <w:tcPr>
                  <w:tcW w:w="985" w:type="dxa"/>
                  <w:tcBorders>
                    <w:tl2br w:val="nil"/>
                    <w:tr2bl w:val="nil"/>
                  </w:tcBorders>
                  <w:shd w:val="clear" w:color="auto" w:fill="auto"/>
                  <w:vAlign w:val="center"/>
                </w:tcPr>
                <w:p w14:paraId="10963EB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50771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4E019B8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79</w:t>
                  </w:r>
                </w:p>
              </w:tc>
              <w:tc>
                <w:tcPr>
                  <w:tcW w:w="1704" w:type="dxa"/>
                  <w:tcBorders>
                    <w:tl2br w:val="nil"/>
                    <w:tr2bl w:val="nil"/>
                  </w:tcBorders>
                  <w:shd w:val="clear" w:color="auto" w:fill="auto"/>
                  <w:vAlign w:val="center"/>
                </w:tcPr>
                <w:p w14:paraId="6BC9B6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69558D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575613F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15mmPb铅板</w:t>
                  </w:r>
                </w:p>
              </w:tc>
              <w:tc>
                <w:tcPr>
                  <w:tcW w:w="971" w:type="dxa"/>
                  <w:tcBorders>
                    <w:tl2br w:val="nil"/>
                    <w:tr2bl w:val="nil"/>
                  </w:tcBorders>
                  <w:shd w:val="clear" w:color="auto" w:fill="auto"/>
                  <w:vAlign w:val="center"/>
                </w:tcPr>
                <w:p w14:paraId="2D9D8E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2.6</w:t>
                  </w:r>
                </w:p>
              </w:tc>
              <w:tc>
                <w:tcPr>
                  <w:tcW w:w="920" w:type="dxa"/>
                  <w:tcBorders>
                    <w:tl2br w:val="nil"/>
                    <w:tr2bl w:val="nil"/>
                  </w:tcBorders>
                  <w:shd w:val="clear" w:color="auto" w:fill="auto"/>
                  <w:noWrap/>
                  <w:vAlign w:val="center"/>
                </w:tcPr>
                <w:p w14:paraId="5F1DA1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34363C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2.11E+00</w:t>
                  </w:r>
                </w:p>
              </w:tc>
              <w:tc>
                <w:tcPr>
                  <w:tcW w:w="985" w:type="dxa"/>
                  <w:tcBorders>
                    <w:tl2br w:val="nil"/>
                    <w:tr2bl w:val="nil"/>
                  </w:tcBorders>
                  <w:shd w:val="clear" w:color="auto" w:fill="auto"/>
                  <w:noWrap/>
                  <w:vAlign w:val="center"/>
                </w:tcPr>
                <w:p w14:paraId="6959746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D2DC5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A68943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80</w:t>
                  </w:r>
                </w:p>
              </w:tc>
              <w:tc>
                <w:tcPr>
                  <w:tcW w:w="1704" w:type="dxa"/>
                  <w:tcBorders>
                    <w:tl2br w:val="nil"/>
                    <w:tr2bl w:val="nil"/>
                  </w:tcBorders>
                  <w:shd w:val="clear" w:color="auto" w:fill="auto"/>
                  <w:vAlign w:val="center"/>
                </w:tcPr>
                <w:p w14:paraId="7A1338D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6DF748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78704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038B15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1A589C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3E2CEC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2.27E-01</w:t>
                  </w:r>
                </w:p>
              </w:tc>
              <w:tc>
                <w:tcPr>
                  <w:tcW w:w="985" w:type="dxa"/>
                  <w:tcBorders>
                    <w:tl2br w:val="nil"/>
                    <w:tr2bl w:val="nil"/>
                  </w:tcBorders>
                  <w:shd w:val="clear" w:color="auto" w:fill="auto"/>
                  <w:noWrap/>
                  <w:vAlign w:val="center"/>
                </w:tcPr>
                <w:p w14:paraId="57BF3D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19BD9F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4ABEB0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81</w:t>
                  </w:r>
                </w:p>
              </w:tc>
              <w:tc>
                <w:tcPr>
                  <w:tcW w:w="1704" w:type="dxa"/>
                  <w:tcBorders>
                    <w:tl2br w:val="nil"/>
                    <w:tr2bl w:val="nil"/>
                  </w:tcBorders>
                  <w:shd w:val="clear" w:color="auto" w:fill="auto"/>
                  <w:vAlign w:val="center"/>
                </w:tcPr>
                <w:p w14:paraId="542E5F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7BDF319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B78D12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325CF9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57FC4B6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0147576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2.46E-01</w:t>
                  </w:r>
                </w:p>
              </w:tc>
              <w:tc>
                <w:tcPr>
                  <w:tcW w:w="985" w:type="dxa"/>
                  <w:tcBorders>
                    <w:tl2br w:val="nil"/>
                    <w:tr2bl w:val="nil"/>
                  </w:tcBorders>
                  <w:shd w:val="clear" w:color="auto" w:fill="auto"/>
                  <w:noWrap/>
                  <w:vAlign w:val="center"/>
                </w:tcPr>
                <w:p w14:paraId="3B7D89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1C5C33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CE521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82</w:t>
                  </w:r>
                </w:p>
              </w:tc>
              <w:tc>
                <w:tcPr>
                  <w:tcW w:w="1704" w:type="dxa"/>
                  <w:tcBorders>
                    <w:tl2br w:val="nil"/>
                    <w:tr2bl w:val="nil"/>
                  </w:tcBorders>
                  <w:shd w:val="clear" w:color="auto" w:fill="auto"/>
                  <w:vAlign w:val="center"/>
                </w:tcPr>
                <w:p w14:paraId="774583D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2C0EF4A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场所：分碘室</w:t>
                  </w:r>
                </w:p>
                <w:p w14:paraId="2BD08B9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5550MBq（150mCi）</w:t>
                  </w:r>
                </w:p>
              </w:tc>
              <w:tc>
                <w:tcPr>
                  <w:tcW w:w="2232" w:type="dxa"/>
                  <w:tcBorders>
                    <w:tl2br w:val="nil"/>
                    <w:tr2bl w:val="nil"/>
                  </w:tcBorders>
                  <w:shd w:val="clear" w:color="auto" w:fill="auto"/>
                  <w:vAlign w:val="center"/>
                </w:tcPr>
                <w:p w14:paraId="1DF0969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370mm实心砖+20mm硫酸钡</w:t>
                  </w:r>
                </w:p>
              </w:tc>
              <w:tc>
                <w:tcPr>
                  <w:tcW w:w="971" w:type="dxa"/>
                  <w:tcBorders>
                    <w:tl2br w:val="nil"/>
                    <w:tr2bl w:val="nil"/>
                  </w:tcBorders>
                  <w:shd w:val="clear" w:color="auto" w:fill="auto"/>
                  <w:vAlign w:val="center"/>
                </w:tcPr>
                <w:p w14:paraId="4FAB3DE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1.9</w:t>
                  </w:r>
                </w:p>
              </w:tc>
              <w:tc>
                <w:tcPr>
                  <w:tcW w:w="920" w:type="dxa"/>
                  <w:tcBorders>
                    <w:tl2br w:val="nil"/>
                    <w:tr2bl w:val="nil"/>
                  </w:tcBorders>
                  <w:shd w:val="clear" w:color="auto" w:fill="auto"/>
                  <w:noWrap/>
                  <w:vAlign w:val="center"/>
                </w:tcPr>
                <w:p w14:paraId="730C58B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63E4183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1.99E+00</w:t>
                  </w:r>
                </w:p>
              </w:tc>
              <w:tc>
                <w:tcPr>
                  <w:tcW w:w="985" w:type="dxa"/>
                  <w:tcBorders>
                    <w:tl2br w:val="nil"/>
                    <w:tr2bl w:val="nil"/>
                  </w:tcBorders>
                  <w:shd w:val="clear" w:color="auto" w:fill="auto"/>
                  <w:noWrap/>
                  <w:vAlign w:val="center"/>
                </w:tcPr>
                <w:p w14:paraId="409F6E3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4B55E1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755942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w:t>
                  </w:r>
                </w:p>
              </w:tc>
              <w:tc>
                <w:tcPr>
                  <w:tcW w:w="1704" w:type="dxa"/>
                  <w:tcBorders>
                    <w:tl2br w:val="nil"/>
                    <w:tr2bl w:val="nil"/>
                  </w:tcBorders>
                  <w:shd w:val="clear" w:color="auto" w:fill="auto"/>
                  <w:vAlign w:val="center"/>
                </w:tcPr>
                <w:p w14:paraId="29274D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1DA4E9E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23511C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15mmPb铅板</w:t>
                  </w:r>
                </w:p>
              </w:tc>
              <w:tc>
                <w:tcPr>
                  <w:tcW w:w="971" w:type="dxa"/>
                  <w:tcBorders>
                    <w:tl2br w:val="nil"/>
                    <w:tr2bl w:val="nil"/>
                  </w:tcBorders>
                  <w:shd w:val="clear" w:color="auto" w:fill="auto"/>
                  <w:vAlign w:val="center"/>
                </w:tcPr>
                <w:p w14:paraId="5B667F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2.5</w:t>
                  </w:r>
                </w:p>
              </w:tc>
              <w:tc>
                <w:tcPr>
                  <w:tcW w:w="920" w:type="dxa"/>
                  <w:tcBorders>
                    <w:tl2br w:val="nil"/>
                    <w:tr2bl w:val="nil"/>
                  </w:tcBorders>
                  <w:shd w:val="clear" w:color="auto" w:fill="auto"/>
                  <w:noWrap/>
                  <w:vAlign w:val="center"/>
                </w:tcPr>
                <w:p w14:paraId="3B982D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7A62A85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2.29E+00</w:t>
                  </w:r>
                </w:p>
              </w:tc>
              <w:tc>
                <w:tcPr>
                  <w:tcW w:w="985" w:type="dxa"/>
                  <w:tcBorders>
                    <w:tl2br w:val="nil"/>
                    <w:tr2bl w:val="nil"/>
                  </w:tcBorders>
                  <w:shd w:val="clear" w:color="auto" w:fill="auto"/>
                  <w:noWrap/>
                  <w:vAlign w:val="center"/>
                </w:tcPr>
                <w:p w14:paraId="6509BC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50B75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7805E4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84</w:t>
                  </w:r>
                </w:p>
              </w:tc>
              <w:tc>
                <w:tcPr>
                  <w:tcW w:w="1704" w:type="dxa"/>
                  <w:tcBorders>
                    <w:tl2br w:val="nil"/>
                    <w:tr2bl w:val="nil"/>
                  </w:tcBorders>
                  <w:shd w:val="clear" w:color="auto" w:fill="auto"/>
                  <w:vAlign w:val="center"/>
                </w:tcPr>
                <w:p w14:paraId="7DC3145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793E882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062696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44A9EE0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23AC19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6332E16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2.27E-01</w:t>
                  </w:r>
                </w:p>
              </w:tc>
              <w:tc>
                <w:tcPr>
                  <w:tcW w:w="985" w:type="dxa"/>
                  <w:tcBorders>
                    <w:tl2br w:val="nil"/>
                    <w:tr2bl w:val="nil"/>
                  </w:tcBorders>
                  <w:shd w:val="clear" w:color="auto" w:fill="auto"/>
                  <w:noWrap/>
                  <w:vAlign w:val="center"/>
                </w:tcPr>
                <w:p w14:paraId="75AB2A2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01284D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E98823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85</w:t>
                  </w:r>
                </w:p>
              </w:tc>
              <w:tc>
                <w:tcPr>
                  <w:tcW w:w="1704" w:type="dxa"/>
                  <w:tcBorders>
                    <w:tl2br w:val="nil"/>
                    <w:tr2bl w:val="nil"/>
                  </w:tcBorders>
                  <w:shd w:val="clear" w:color="auto" w:fill="auto"/>
                  <w:vAlign w:val="center"/>
                </w:tcPr>
                <w:p w14:paraId="64B70D3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2B7B0EA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6265A26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64B3F2F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5CC3029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12AB6A6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2.46E-01</w:t>
                  </w:r>
                </w:p>
              </w:tc>
              <w:tc>
                <w:tcPr>
                  <w:tcW w:w="985" w:type="dxa"/>
                  <w:tcBorders>
                    <w:tl2br w:val="nil"/>
                    <w:tr2bl w:val="nil"/>
                  </w:tcBorders>
                  <w:shd w:val="clear" w:color="auto" w:fill="auto"/>
                  <w:noWrap/>
                  <w:vAlign w:val="center"/>
                </w:tcPr>
                <w:p w14:paraId="48C670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5BAA1F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41FA9A8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86</w:t>
                  </w:r>
                </w:p>
              </w:tc>
              <w:tc>
                <w:tcPr>
                  <w:tcW w:w="1704" w:type="dxa"/>
                  <w:tcBorders>
                    <w:tl2br w:val="nil"/>
                    <w:tr2bl w:val="nil"/>
                  </w:tcBorders>
                  <w:shd w:val="clear" w:color="auto" w:fill="auto"/>
                  <w:vAlign w:val="center"/>
                </w:tcPr>
                <w:p w14:paraId="7C4B9F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2D2518F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场所：服碘室</w:t>
                  </w:r>
                </w:p>
                <w:p w14:paraId="2A0F9F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5550MBq（150mCi）</w:t>
                  </w:r>
                </w:p>
              </w:tc>
              <w:tc>
                <w:tcPr>
                  <w:tcW w:w="2232" w:type="dxa"/>
                  <w:tcBorders>
                    <w:tl2br w:val="nil"/>
                    <w:tr2bl w:val="nil"/>
                  </w:tcBorders>
                  <w:shd w:val="clear" w:color="auto" w:fill="auto"/>
                  <w:vAlign w:val="center"/>
                </w:tcPr>
                <w:p w14:paraId="2049419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370mm实心砖+20mm硫酸钡</w:t>
                  </w:r>
                </w:p>
              </w:tc>
              <w:tc>
                <w:tcPr>
                  <w:tcW w:w="971" w:type="dxa"/>
                  <w:tcBorders>
                    <w:tl2br w:val="nil"/>
                    <w:tr2bl w:val="nil"/>
                  </w:tcBorders>
                  <w:shd w:val="clear" w:color="auto" w:fill="auto"/>
                  <w:vAlign w:val="center"/>
                </w:tcPr>
                <w:p w14:paraId="30F601A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920" w:type="dxa"/>
                  <w:tcBorders>
                    <w:tl2br w:val="nil"/>
                    <w:tr2bl w:val="nil"/>
                  </w:tcBorders>
                  <w:shd w:val="clear" w:color="auto" w:fill="auto"/>
                  <w:noWrap/>
                  <w:vAlign w:val="center"/>
                </w:tcPr>
                <w:p w14:paraId="309AB80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2410843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2.22E+00</w:t>
                  </w:r>
                </w:p>
              </w:tc>
              <w:tc>
                <w:tcPr>
                  <w:tcW w:w="985" w:type="dxa"/>
                  <w:tcBorders>
                    <w:tl2br w:val="nil"/>
                    <w:tr2bl w:val="nil"/>
                  </w:tcBorders>
                  <w:shd w:val="clear" w:color="auto" w:fill="auto"/>
                  <w:noWrap/>
                  <w:vAlign w:val="center"/>
                </w:tcPr>
                <w:p w14:paraId="582783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59A013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9431E8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87</w:t>
                  </w:r>
                </w:p>
              </w:tc>
              <w:tc>
                <w:tcPr>
                  <w:tcW w:w="1704" w:type="dxa"/>
                  <w:tcBorders>
                    <w:tl2br w:val="nil"/>
                    <w:tr2bl w:val="nil"/>
                  </w:tcBorders>
                  <w:shd w:val="clear" w:color="auto" w:fill="auto"/>
                  <w:vAlign w:val="center"/>
                </w:tcPr>
                <w:p w14:paraId="3544403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24E587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629954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12mmPb铅板</w:t>
                  </w:r>
                </w:p>
              </w:tc>
              <w:tc>
                <w:tcPr>
                  <w:tcW w:w="971" w:type="dxa"/>
                  <w:tcBorders>
                    <w:tl2br w:val="nil"/>
                    <w:tr2bl w:val="nil"/>
                  </w:tcBorders>
                  <w:shd w:val="clear" w:color="auto" w:fill="auto"/>
                  <w:vAlign w:val="center"/>
                </w:tcPr>
                <w:p w14:paraId="5465E78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w:t>
                  </w:r>
                </w:p>
              </w:tc>
              <w:tc>
                <w:tcPr>
                  <w:tcW w:w="920" w:type="dxa"/>
                  <w:tcBorders>
                    <w:tl2br w:val="nil"/>
                    <w:tr2bl w:val="nil"/>
                  </w:tcBorders>
                  <w:shd w:val="clear" w:color="auto" w:fill="auto"/>
                  <w:noWrap/>
                  <w:vAlign w:val="center"/>
                </w:tcPr>
                <w:p w14:paraId="0FB544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70EF604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b/>
                      <w:bCs/>
                      <w:i w:val="0"/>
                      <w:iCs w:val="0"/>
                      <w:color w:val="auto"/>
                      <w:kern w:val="0"/>
                      <w:sz w:val="16"/>
                      <w:szCs w:val="16"/>
                      <w:highlight w:val="none"/>
                      <w:u w:val="none"/>
                      <w:lang w:val="en-US" w:eastAsia="zh-CN" w:bidi="ar"/>
                    </w:rPr>
                    <w:t>2.46E+00</w:t>
                  </w:r>
                </w:p>
              </w:tc>
              <w:tc>
                <w:tcPr>
                  <w:tcW w:w="985" w:type="dxa"/>
                  <w:tcBorders>
                    <w:tl2br w:val="nil"/>
                    <w:tr2bl w:val="nil"/>
                  </w:tcBorders>
                  <w:shd w:val="clear" w:color="auto" w:fill="auto"/>
                  <w:noWrap/>
                  <w:vAlign w:val="center"/>
                </w:tcPr>
                <w:p w14:paraId="2EC2014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FAC73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B3984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88</w:t>
                  </w:r>
                </w:p>
              </w:tc>
              <w:tc>
                <w:tcPr>
                  <w:tcW w:w="1704" w:type="dxa"/>
                  <w:tcBorders>
                    <w:tl2br w:val="nil"/>
                    <w:tr2bl w:val="nil"/>
                  </w:tcBorders>
                  <w:shd w:val="clear" w:color="auto" w:fill="auto"/>
                  <w:vAlign w:val="center"/>
                </w:tcPr>
                <w:p w14:paraId="6A8CFDA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080CDBE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43D1AAE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06DEE6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2319010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46F0B89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2.27E-01</w:t>
                  </w:r>
                </w:p>
              </w:tc>
              <w:tc>
                <w:tcPr>
                  <w:tcW w:w="985" w:type="dxa"/>
                  <w:tcBorders>
                    <w:tl2br w:val="nil"/>
                    <w:tr2bl w:val="nil"/>
                  </w:tcBorders>
                  <w:shd w:val="clear" w:color="auto" w:fill="auto"/>
                  <w:noWrap/>
                  <w:vAlign w:val="center"/>
                </w:tcPr>
                <w:p w14:paraId="6FD2321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229CD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6CD6D27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89</w:t>
                  </w:r>
                </w:p>
              </w:tc>
              <w:tc>
                <w:tcPr>
                  <w:tcW w:w="1704" w:type="dxa"/>
                  <w:tcBorders>
                    <w:tl2br w:val="nil"/>
                    <w:tr2bl w:val="nil"/>
                  </w:tcBorders>
                  <w:shd w:val="clear" w:color="auto" w:fill="auto"/>
                  <w:vAlign w:val="center"/>
                </w:tcPr>
                <w:p w14:paraId="71E3AC6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5BD3F6B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122C823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2BD46C2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10778D7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25A872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2.46E-01</w:t>
                  </w:r>
                </w:p>
              </w:tc>
              <w:tc>
                <w:tcPr>
                  <w:tcW w:w="985" w:type="dxa"/>
                  <w:tcBorders>
                    <w:tl2br w:val="nil"/>
                    <w:tr2bl w:val="nil"/>
                  </w:tcBorders>
                  <w:shd w:val="clear" w:color="auto" w:fill="auto"/>
                  <w:noWrap/>
                  <w:vAlign w:val="center"/>
                </w:tcPr>
                <w:p w14:paraId="7D34B6A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2920B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EF880B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w:t>
                  </w:r>
                </w:p>
              </w:tc>
              <w:tc>
                <w:tcPr>
                  <w:tcW w:w="1704" w:type="dxa"/>
                  <w:tcBorders>
                    <w:tl2br w:val="nil"/>
                    <w:tr2bl w:val="nil"/>
                  </w:tcBorders>
                  <w:shd w:val="clear" w:color="auto" w:fill="auto"/>
                  <w:vAlign w:val="center"/>
                </w:tcPr>
                <w:p w14:paraId="3E7E2B3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03E657D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pPr>
                </w:p>
                <w:p w14:paraId="46BC7E5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pPr>
                </w:p>
                <w:p w14:paraId="28BE74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场所：甲癌治疗病房</w:t>
                  </w:r>
                </w:p>
                <w:p w14:paraId="65B1FE1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pPr>
                </w:p>
                <w:p w14:paraId="38785E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5550MBq（150mCi）</w:t>
                  </w:r>
                </w:p>
              </w:tc>
              <w:tc>
                <w:tcPr>
                  <w:tcW w:w="2232" w:type="dxa"/>
                  <w:tcBorders>
                    <w:tl2br w:val="nil"/>
                    <w:tr2bl w:val="nil"/>
                  </w:tcBorders>
                  <w:shd w:val="clear" w:color="auto" w:fill="auto"/>
                  <w:vAlign w:val="center"/>
                </w:tcPr>
                <w:p w14:paraId="46C2500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370mm实心砖+20mm硫酸钡</w:t>
                  </w:r>
                </w:p>
              </w:tc>
              <w:tc>
                <w:tcPr>
                  <w:tcW w:w="971" w:type="dxa"/>
                  <w:tcBorders>
                    <w:tl2br w:val="nil"/>
                    <w:tr2bl w:val="nil"/>
                  </w:tcBorders>
                  <w:shd w:val="clear" w:color="auto" w:fill="auto"/>
                  <w:vAlign w:val="center"/>
                </w:tcPr>
                <w:p w14:paraId="59C09AC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2.3</w:t>
                  </w:r>
                </w:p>
              </w:tc>
              <w:tc>
                <w:tcPr>
                  <w:tcW w:w="920" w:type="dxa"/>
                  <w:tcBorders>
                    <w:tl2br w:val="nil"/>
                    <w:tr2bl w:val="nil"/>
                  </w:tcBorders>
                  <w:shd w:val="clear" w:color="auto" w:fill="auto"/>
                  <w:noWrap/>
                  <w:vAlign w:val="center"/>
                </w:tcPr>
                <w:p w14:paraId="6D122A0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1F7FB9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1.36E+00</w:t>
                  </w:r>
                </w:p>
              </w:tc>
              <w:tc>
                <w:tcPr>
                  <w:tcW w:w="985" w:type="dxa"/>
                  <w:tcBorders>
                    <w:tl2br w:val="nil"/>
                    <w:tr2bl w:val="nil"/>
                  </w:tcBorders>
                  <w:shd w:val="clear" w:color="auto" w:fill="auto"/>
                  <w:noWrap/>
                  <w:vAlign w:val="center"/>
                </w:tcPr>
                <w:p w14:paraId="7B3CE34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0827FD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D110A4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91</w:t>
                  </w:r>
                </w:p>
              </w:tc>
              <w:tc>
                <w:tcPr>
                  <w:tcW w:w="1704" w:type="dxa"/>
                  <w:tcBorders>
                    <w:tl2br w:val="nil"/>
                    <w:tr2bl w:val="nil"/>
                  </w:tcBorders>
                  <w:shd w:val="clear" w:color="auto" w:fill="auto"/>
                  <w:vAlign w:val="center"/>
                </w:tcPr>
                <w:p w14:paraId="28D4D54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64E4EF9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31F4E1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12mmPb铅板</w:t>
                  </w:r>
                </w:p>
              </w:tc>
              <w:tc>
                <w:tcPr>
                  <w:tcW w:w="971" w:type="dxa"/>
                  <w:tcBorders>
                    <w:tl2br w:val="nil"/>
                    <w:tr2bl w:val="nil"/>
                  </w:tcBorders>
                  <w:shd w:val="clear" w:color="auto" w:fill="auto"/>
                  <w:vAlign w:val="center"/>
                </w:tcPr>
                <w:p w14:paraId="44901C7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3.5</w:t>
                  </w:r>
                </w:p>
              </w:tc>
              <w:tc>
                <w:tcPr>
                  <w:tcW w:w="920" w:type="dxa"/>
                  <w:tcBorders>
                    <w:tl2br w:val="nil"/>
                    <w:tr2bl w:val="nil"/>
                  </w:tcBorders>
                  <w:shd w:val="clear" w:color="auto" w:fill="auto"/>
                  <w:noWrap/>
                  <w:vAlign w:val="center"/>
                </w:tcPr>
                <w:p w14:paraId="4AF5BE4D">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6D3888E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2.19E+00</w:t>
                  </w:r>
                </w:p>
              </w:tc>
              <w:tc>
                <w:tcPr>
                  <w:tcW w:w="985" w:type="dxa"/>
                  <w:tcBorders>
                    <w:tl2br w:val="nil"/>
                    <w:tr2bl w:val="nil"/>
                  </w:tcBorders>
                  <w:shd w:val="clear" w:color="auto" w:fill="auto"/>
                  <w:noWrap/>
                  <w:vAlign w:val="center"/>
                </w:tcPr>
                <w:p w14:paraId="39B9C68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21B58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3B1251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92</w:t>
                  </w:r>
                </w:p>
              </w:tc>
              <w:tc>
                <w:tcPr>
                  <w:tcW w:w="1704" w:type="dxa"/>
                  <w:tcBorders>
                    <w:tl2br w:val="nil"/>
                    <w:tr2bl w:val="nil"/>
                  </w:tcBorders>
                  <w:shd w:val="clear" w:color="auto" w:fill="auto"/>
                  <w:vAlign w:val="center"/>
                </w:tcPr>
                <w:p w14:paraId="7C292D3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7F0B435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6865936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0499E7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73E8E1D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4291E87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2.27E-01</w:t>
                  </w:r>
                </w:p>
              </w:tc>
              <w:tc>
                <w:tcPr>
                  <w:tcW w:w="985" w:type="dxa"/>
                  <w:tcBorders>
                    <w:tl2br w:val="nil"/>
                    <w:tr2bl w:val="nil"/>
                  </w:tcBorders>
                  <w:shd w:val="clear" w:color="auto" w:fill="auto"/>
                  <w:noWrap/>
                  <w:vAlign w:val="center"/>
                </w:tcPr>
                <w:p w14:paraId="3ABEB9F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74471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7B973B0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93</w:t>
                  </w:r>
                </w:p>
              </w:tc>
              <w:tc>
                <w:tcPr>
                  <w:tcW w:w="1704" w:type="dxa"/>
                  <w:tcBorders>
                    <w:tl2br w:val="nil"/>
                    <w:tr2bl w:val="nil"/>
                  </w:tcBorders>
                  <w:shd w:val="clear" w:color="auto" w:fill="auto"/>
                  <w:vAlign w:val="center"/>
                </w:tcPr>
                <w:p w14:paraId="4A5278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210EB2B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8996A1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05C81BF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7725DFD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39BDCDE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2.46E-01</w:t>
                  </w:r>
                </w:p>
              </w:tc>
              <w:tc>
                <w:tcPr>
                  <w:tcW w:w="985" w:type="dxa"/>
                  <w:tcBorders>
                    <w:tl2br w:val="nil"/>
                    <w:tr2bl w:val="nil"/>
                  </w:tcBorders>
                  <w:shd w:val="clear" w:color="auto" w:fill="auto"/>
                  <w:noWrap/>
                  <w:vAlign w:val="center"/>
                </w:tcPr>
                <w:p w14:paraId="668A41A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3CC5A0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428E045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94</w:t>
                  </w:r>
                </w:p>
              </w:tc>
              <w:tc>
                <w:tcPr>
                  <w:tcW w:w="1704" w:type="dxa"/>
                  <w:tcBorders>
                    <w:tl2br w:val="nil"/>
                    <w:tr2bl w:val="nil"/>
                  </w:tcBorders>
                  <w:shd w:val="clear" w:color="auto" w:fill="auto"/>
                  <w:vAlign w:val="center"/>
                </w:tcPr>
                <w:p w14:paraId="026D05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78902EA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场所：放废库</w:t>
                  </w:r>
                </w:p>
                <w:p w14:paraId="5C10E0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superscript"/>
                      <w:lang w:val="en-US" w:eastAsia="zh-CN" w:bidi="ar"/>
                    </w:rPr>
                  </w:pPr>
                </w:p>
                <w:p w14:paraId="7475A3C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5550MBq（150mCi）</w:t>
                  </w:r>
                </w:p>
              </w:tc>
              <w:tc>
                <w:tcPr>
                  <w:tcW w:w="2232" w:type="dxa"/>
                  <w:tcBorders>
                    <w:tl2br w:val="nil"/>
                    <w:tr2bl w:val="nil"/>
                  </w:tcBorders>
                  <w:shd w:val="clear" w:color="auto" w:fill="auto"/>
                  <w:vAlign w:val="center"/>
                </w:tcPr>
                <w:p w14:paraId="3266505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370mm实心砖+20mm硫酸钡</w:t>
                  </w:r>
                </w:p>
              </w:tc>
              <w:tc>
                <w:tcPr>
                  <w:tcW w:w="971" w:type="dxa"/>
                  <w:tcBorders>
                    <w:tl2br w:val="nil"/>
                    <w:tr2bl w:val="nil"/>
                  </w:tcBorders>
                  <w:shd w:val="clear" w:color="auto" w:fill="auto"/>
                  <w:vAlign w:val="center"/>
                </w:tcPr>
                <w:p w14:paraId="5FA35F2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2.5</w:t>
                  </w:r>
                </w:p>
              </w:tc>
              <w:tc>
                <w:tcPr>
                  <w:tcW w:w="920" w:type="dxa"/>
                  <w:tcBorders>
                    <w:tl2br w:val="nil"/>
                    <w:tr2bl w:val="nil"/>
                  </w:tcBorders>
                  <w:shd w:val="clear" w:color="auto" w:fill="auto"/>
                  <w:noWrap/>
                  <w:vAlign w:val="center"/>
                </w:tcPr>
                <w:p w14:paraId="2EC4C2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7D4F002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1.15E+00</w:t>
                  </w:r>
                </w:p>
              </w:tc>
              <w:tc>
                <w:tcPr>
                  <w:tcW w:w="985" w:type="dxa"/>
                  <w:tcBorders>
                    <w:tl2br w:val="nil"/>
                    <w:tr2bl w:val="nil"/>
                  </w:tcBorders>
                  <w:shd w:val="clear" w:color="auto" w:fill="auto"/>
                  <w:noWrap/>
                  <w:vAlign w:val="center"/>
                </w:tcPr>
                <w:p w14:paraId="525F280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3069BA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7B15FB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95</w:t>
                  </w:r>
                </w:p>
              </w:tc>
              <w:tc>
                <w:tcPr>
                  <w:tcW w:w="1704" w:type="dxa"/>
                  <w:tcBorders>
                    <w:tl2br w:val="nil"/>
                    <w:tr2bl w:val="nil"/>
                  </w:tcBorders>
                  <w:shd w:val="clear" w:color="auto" w:fill="auto"/>
                  <w:vAlign w:val="center"/>
                </w:tcPr>
                <w:p w14:paraId="7D1B991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5DD2EE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2055A2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15mmPb铅板</w:t>
                  </w:r>
                </w:p>
              </w:tc>
              <w:tc>
                <w:tcPr>
                  <w:tcW w:w="971" w:type="dxa"/>
                  <w:tcBorders>
                    <w:tl2br w:val="nil"/>
                    <w:tr2bl w:val="nil"/>
                  </w:tcBorders>
                  <w:shd w:val="clear" w:color="auto" w:fill="auto"/>
                  <w:vAlign w:val="center"/>
                </w:tcPr>
                <w:p w14:paraId="5F9A4EB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2.7</w:t>
                  </w:r>
                </w:p>
              </w:tc>
              <w:tc>
                <w:tcPr>
                  <w:tcW w:w="920" w:type="dxa"/>
                  <w:tcBorders>
                    <w:tl2br w:val="nil"/>
                    <w:tr2bl w:val="nil"/>
                  </w:tcBorders>
                  <w:shd w:val="clear" w:color="auto" w:fill="auto"/>
                  <w:noWrap/>
                  <w:vAlign w:val="center"/>
                </w:tcPr>
                <w:p w14:paraId="57902DF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7ED728B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1.96E+00</w:t>
                  </w:r>
                </w:p>
              </w:tc>
              <w:tc>
                <w:tcPr>
                  <w:tcW w:w="985" w:type="dxa"/>
                  <w:tcBorders>
                    <w:tl2br w:val="nil"/>
                    <w:tr2bl w:val="nil"/>
                  </w:tcBorders>
                  <w:shd w:val="clear" w:color="auto" w:fill="auto"/>
                  <w:noWrap/>
                  <w:vAlign w:val="center"/>
                </w:tcPr>
                <w:p w14:paraId="36E03F2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47D96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73A25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96</w:t>
                  </w:r>
                </w:p>
              </w:tc>
              <w:tc>
                <w:tcPr>
                  <w:tcW w:w="1704" w:type="dxa"/>
                  <w:tcBorders>
                    <w:tl2br w:val="nil"/>
                    <w:tr2bl w:val="nil"/>
                  </w:tcBorders>
                  <w:shd w:val="clear" w:color="auto" w:fill="auto"/>
                  <w:vAlign w:val="center"/>
                </w:tcPr>
                <w:p w14:paraId="01DCBC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1E29910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B98432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2CE3D42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25A2ABB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3DE9DF5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2.27E-01</w:t>
                  </w:r>
                </w:p>
              </w:tc>
              <w:tc>
                <w:tcPr>
                  <w:tcW w:w="985" w:type="dxa"/>
                  <w:tcBorders>
                    <w:tl2br w:val="nil"/>
                    <w:tr2bl w:val="nil"/>
                  </w:tcBorders>
                  <w:shd w:val="clear" w:color="auto" w:fill="auto"/>
                  <w:noWrap/>
                  <w:vAlign w:val="center"/>
                </w:tcPr>
                <w:p w14:paraId="2081E55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7A3B91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165DB1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97</w:t>
                  </w:r>
                </w:p>
              </w:tc>
              <w:tc>
                <w:tcPr>
                  <w:tcW w:w="1704" w:type="dxa"/>
                  <w:tcBorders>
                    <w:tl2br w:val="nil"/>
                    <w:tr2bl w:val="nil"/>
                  </w:tcBorders>
                  <w:shd w:val="clear" w:color="auto" w:fill="auto"/>
                  <w:vAlign w:val="center"/>
                </w:tcPr>
                <w:p w14:paraId="73206C8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6EA3ACE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45B9C8C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47153D9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08FFB46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0BA7BB3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2.46E-01</w:t>
                  </w:r>
                </w:p>
              </w:tc>
              <w:tc>
                <w:tcPr>
                  <w:tcW w:w="985" w:type="dxa"/>
                  <w:tcBorders>
                    <w:tl2br w:val="nil"/>
                    <w:tr2bl w:val="nil"/>
                  </w:tcBorders>
                  <w:shd w:val="clear" w:color="auto" w:fill="auto"/>
                  <w:noWrap/>
                  <w:vAlign w:val="center"/>
                </w:tcPr>
                <w:p w14:paraId="45722DC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6D078C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298FD3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98</w:t>
                  </w:r>
                </w:p>
              </w:tc>
              <w:tc>
                <w:tcPr>
                  <w:tcW w:w="1704" w:type="dxa"/>
                  <w:tcBorders>
                    <w:tl2br w:val="nil"/>
                    <w:tr2bl w:val="nil"/>
                  </w:tcBorders>
                  <w:shd w:val="clear" w:color="auto" w:fill="auto"/>
                  <w:vAlign w:val="center"/>
                </w:tcPr>
                <w:p w14:paraId="260DD9C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26C39FA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场所：抢救室</w:t>
                  </w:r>
                </w:p>
                <w:p w14:paraId="251B81E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5550MBq（150mCi）</w:t>
                  </w:r>
                </w:p>
              </w:tc>
              <w:tc>
                <w:tcPr>
                  <w:tcW w:w="2232" w:type="dxa"/>
                  <w:tcBorders>
                    <w:tl2br w:val="nil"/>
                    <w:tr2bl w:val="nil"/>
                  </w:tcBorders>
                  <w:shd w:val="clear" w:color="auto" w:fill="auto"/>
                  <w:vAlign w:val="center"/>
                </w:tcPr>
                <w:p w14:paraId="6FC327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370mm实心砖+20mm硫酸钡</w:t>
                  </w:r>
                </w:p>
              </w:tc>
              <w:tc>
                <w:tcPr>
                  <w:tcW w:w="971" w:type="dxa"/>
                  <w:tcBorders>
                    <w:tl2br w:val="nil"/>
                    <w:tr2bl w:val="nil"/>
                  </w:tcBorders>
                  <w:shd w:val="clear" w:color="auto" w:fill="auto"/>
                  <w:vAlign w:val="center"/>
                </w:tcPr>
                <w:p w14:paraId="5CCB5DD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2.3</w:t>
                  </w:r>
                </w:p>
              </w:tc>
              <w:tc>
                <w:tcPr>
                  <w:tcW w:w="920" w:type="dxa"/>
                  <w:tcBorders>
                    <w:tl2br w:val="nil"/>
                    <w:tr2bl w:val="nil"/>
                  </w:tcBorders>
                  <w:shd w:val="clear" w:color="auto" w:fill="auto"/>
                  <w:noWrap/>
                  <w:vAlign w:val="center"/>
                </w:tcPr>
                <w:p w14:paraId="645FDE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2BFE067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1.36E+00</w:t>
                  </w:r>
                </w:p>
              </w:tc>
              <w:tc>
                <w:tcPr>
                  <w:tcW w:w="985" w:type="dxa"/>
                  <w:tcBorders>
                    <w:tl2br w:val="nil"/>
                    <w:tr2bl w:val="nil"/>
                  </w:tcBorders>
                  <w:shd w:val="clear" w:color="auto" w:fill="auto"/>
                  <w:noWrap/>
                  <w:vAlign w:val="center"/>
                </w:tcPr>
                <w:p w14:paraId="63F740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40206D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7EFE9D4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99</w:t>
                  </w:r>
                </w:p>
              </w:tc>
              <w:tc>
                <w:tcPr>
                  <w:tcW w:w="1704" w:type="dxa"/>
                  <w:tcBorders>
                    <w:tl2br w:val="nil"/>
                    <w:tr2bl w:val="nil"/>
                  </w:tcBorders>
                  <w:shd w:val="clear" w:color="auto" w:fill="auto"/>
                  <w:vAlign w:val="center"/>
                </w:tcPr>
                <w:p w14:paraId="150DD44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27C9E0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6D0AA3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12mmPb铅板</w:t>
                  </w:r>
                </w:p>
              </w:tc>
              <w:tc>
                <w:tcPr>
                  <w:tcW w:w="971" w:type="dxa"/>
                  <w:tcBorders>
                    <w:tl2br w:val="nil"/>
                    <w:tr2bl w:val="nil"/>
                  </w:tcBorders>
                  <w:shd w:val="clear" w:color="auto" w:fill="auto"/>
                  <w:vAlign w:val="center"/>
                </w:tcPr>
                <w:p w14:paraId="41EDAED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3.4</w:t>
                  </w:r>
                </w:p>
              </w:tc>
              <w:tc>
                <w:tcPr>
                  <w:tcW w:w="920" w:type="dxa"/>
                  <w:tcBorders>
                    <w:tl2br w:val="nil"/>
                    <w:tr2bl w:val="nil"/>
                  </w:tcBorders>
                  <w:shd w:val="clear" w:color="auto" w:fill="auto"/>
                  <w:noWrap/>
                  <w:vAlign w:val="center"/>
                </w:tcPr>
                <w:p w14:paraId="31EB4F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2DC2F8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2.32E+00</w:t>
                  </w:r>
                </w:p>
              </w:tc>
              <w:tc>
                <w:tcPr>
                  <w:tcW w:w="985" w:type="dxa"/>
                  <w:tcBorders>
                    <w:tl2br w:val="nil"/>
                    <w:tr2bl w:val="nil"/>
                  </w:tcBorders>
                  <w:shd w:val="clear" w:color="auto" w:fill="auto"/>
                  <w:noWrap/>
                  <w:vAlign w:val="center"/>
                </w:tcPr>
                <w:p w14:paraId="0897F83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2A6002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7FA1028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100</w:t>
                  </w:r>
                </w:p>
              </w:tc>
              <w:tc>
                <w:tcPr>
                  <w:tcW w:w="1704" w:type="dxa"/>
                  <w:tcBorders>
                    <w:tl2br w:val="nil"/>
                    <w:tr2bl w:val="nil"/>
                  </w:tcBorders>
                  <w:shd w:val="clear" w:color="auto" w:fill="auto"/>
                  <w:vAlign w:val="center"/>
                </w:tcPr>
                <w:p w14:paraId="583F05B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3B6559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F1B4F6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61B1839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67273C0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6BDB80F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2.27E-01</w:t>
                  </w:r>
                </w:p>
              </w:tc>
              <w:tc>
                <w:tcPr>
                  <w:tcW w:w="985" w:type="dxa"/>
                  <w:tcBorders>
                    <w:tl2br w:val="nil"/>
                    <w:tr2bl w:val="nil"/>
                  </w:tcBorders>
                  <w:shd w:val="clear" w:color="auto" w:fill="auto"/>
                  <w:noWrap/>
                  <w:vAlign w:val="center"/>
                </w:tcPr>
                <w:p w14:paraId="3B9694C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4D8D93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570" w:type="dxa"/>
                  <w:tcBorders>
                    <w:tl2br w:val="nil"/>
                    <w:tr2bl w:val="nil"/>
                  </w:tcBorders>
                  <w:shd w:val="clear" w:color="auto" w:fill="auto"/>
                  <w:vAlign w:val="center"/>
                </w:tcPr>
                <w:p w14:paraId="3D24031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101</w:t>
                  </w:r>
                </w:p>
              </w:tc>
              <w:tc>
                <w:tcPr>
                  <w:tcW w:w="1704" w:type="dxa"/>
                  <w:tcBorders>
                    <w:tl2br w:val="nil"/>
                    <w:tr2bl w:val="nil"/>
                  </w:tcBorders>
                  <w:shd w:val="clear" w:color="auto" w:fill="auto"/>
                  <w:vAlign w:val="center"/>
                </w:tcPr>
                <w:p w14:paraId="75D5865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53A76F2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2F41C17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7739B1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41706B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396BA86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2.46E-01</w:t>
                  </w:r>
                </w:p>
              </w:tc>
              <w:tc>
                <w:tcPr>
                  <w:tcW w:w="985" w:type="dxa"/>
                  <w:tcBorders>
                    <w:tl2br w:val="nil"/>
                    <w:tr2bl w:val="nil"/>
                  </w:tcBorders>
                  <w:shd w:val="clear" w:color="auto" w:fill="auto"/>
                  <w:noWrap/>
                  <w:vAlign w:val="center"/>
                </w:tcPr>
                <w:p w14:paraId="46BD448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600E0B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31E5DA9">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102</w:t>
                  </w:r>
                </w:p>
              </w:tc>
              <w:tc>
                <w:tcPr>
                  <w:tcW w:w="1704" w:type="dxa"/>
                  <w:tcBorders>
                    <w:tl2br w:val="nil"/>
                    <w:tr2bl w:val="nil"/>
                  </w:tcBorders>
                  <w:shd w:val="clear" w:color="auto" w:fill="auto"/>
                  <w:vAlign w:val="center"/>
                </w:tcPr>
                <w:p w14:paraId="70470BF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1259" w:type="dxa"/>
                  <w:vMerge w:val="restart"/>
                  <w:tcBorders>
                    <w:tl2br w:val="nil"/>
                    <w:tr2bl w:val="nil"/>
                  </w:tcBorders>
                  <w:shd w:val="clear" w:color="auto" w:fill="auto"/>
                  <w:vAlign w:val="center"/>
                </w:tcPr>
                <w:p w14:paraId="2D2A51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r>
                    <w:rPr>
                      <w:rFonts w:hint="default" w:ascii="Times New Roman" w:hAnsi="Times New Roman" w:eastAsia="宋体" w:cs="Times New Roman"/>
                      <w:i w:val="0"/>
                      <w:iCs w:val="0"/>
                      <w:color w:val="auto"/>
                      <w:kern w:val="0"/>
                      <w:sz w:val="16"/>
                      <w:szCs w:val="16"/>
                      <w:highlight w:val="none"/>
                      <w:u w:val="none"/>
                      <w:vertAlign w:val="baseline"/>
                      <w:lang w:val="en-US" w:eastAsia="zh-CN" w:bidi="ar"/>
                    </w:rPr>
                    <w:t>场所：被服间</w:t>
                  </w:r>
                </w:p>
                <w:p w14:paraId="27BA86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vertAlign w:val="baseline"/>
                      <w:lang w:val="en-US" w:eastAsia="zh-CN" w:bidi="ar"/>
                    </w:rPr>
                  </w:pPr>
                </w:p>
                <w:p w14:paraId="08AC19D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I-131</w:t>
                  </w:r>
                  <w:r>
                    <w:rPr>
                      <w:rFonts w:hint="default" w:ascii="Times New Roman" w:hAnsi="Times New Roman" w:eastAsia="宋体" w:cs="Times New Roman"/>
                      <w:i w:val="0"/>
                      <w:iCs w:val="0"/>
                      <w:color w:val="auto"/>
                      <w:kern w:val="0"/>
                      <w:sz w:val="16"/>
                      <w:szCs w:val="16"/>
                      <w:highlight w:val="none"/>
                      <w:u w:val="none"/>
                      <w:lang w:val="en-US" w:eastAsia="zh-CN" w:bidi="ar"/>
                    </w:rPr>
                    <w:t xml:space="preserve"> 5550MBq（150mCi）</w:t>
                  </w:r>
                </w:p>
              </w:tc>
              <w:tc>
                <w:tcPr>
                  <w:tcW w:w="2232" w:type="dxa"/>
                  <w:tcBorders>
                    <w:tl2br w:val="nil"/>
                    <w:tr2bl w:val="nil"/>
                  </w:tcBorders>
                  <w:shd w:val="clear" w:color="auto" w:fill="auto"/>
                  <w:vAlign w:val="center"/>
                </w:tcPr>
                <w:p w14:paraId="0EB80D4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370mm实心砖+20mm硫酸钡</w:t>
                  </w:r>
                </w:p>
              </w:tc>
              <w:tc>
                <w:tcPr>
                  <w:tcW w:w="971" w:type="dxa"/>
                  <w:tcBorders>
                    <w:tl2br w:val="nil"/>
                    <w:tr2bl w:val="nil"/>
                  </w:tcBorders>
                  <w:shd w:val="clear" w:color="auto" w:fill="auto"/>
                  <w:vAlign w:val="center"/>
                </w:tcPr>
                <w:p w14:paraId="2A1B12E2">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2.3</w:t>
                  </w:r>
                </w:p>
              </w:tc>
              <w:tc>
                <w:tcPr>
                  <w:tcW w:w="920" w:type="dxa"/>
                  <w:tcBorders>
                    <w:tl2br w:val="nil"/>
                    <w:tr2bl w:val="nil"/>
                  </w:tcBorders>
                  <w:shd w:val="clear" w:color="auto" w:fill="auto"/>
                  <w:noWrap/>
                  <w:vAlign w:val="center"/>
                </w:tcPr>
                <w:p w14:paraId="00A199F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28F04F7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1.36E+00</w:t>
                  </w:r>
                </w:p>
              </w:tc>
              <w:tc>
                <w:tcPr>
                  <w:tcW w:w="985" w:type="dxa"/>
                  <w:tcBorders>
                    <w:tl2br w:val="nil"/>
                    <w:tr2bl w:val="nil"/>
                  </w:tcBorders>
                  <w:shd w:val="clear" w:color="auto" w:fill="auto"/>
                  <w:noWrap/>
                  <w:vAlign w:val="center"/>
                </w:tcPr>
                <w:p w14:paraId="687EDE3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03031A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570" w:type="dxa"/>
                  <w:tcBorders>
                    <w:tl2br w:val="nil"/>
                    <w:tr2bl w:val="nil"/>
                  </w:tcBorders>
                  <w:shd w:val="clear" w:color="auto" w:fill="auto"/>
                  <w:vAlign w:val="center"/>
                </w:tcPr>
                <w:p w14:paraId="5BA9329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103</w:t>
                  </w:r>
                </w:p>
              </w:tc>
              <w:tc>
                <w:tcPr>
                  <w:tcW w:w="1704" w:type="dxa"/>
                  <w:tcBorders>
                    <w:tl2br w:val="nil"/>
                    <w:tr2bl w:val="nil"/>
                  </w:tcBorders>
                  <w:shd w:val="clear" w:color="auto" w:fill="auto"/>
                  <w:vAlign w:val="center"/>
                </w:tcPr>
                <w:p w14:paraId="524329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1259" w:type="dxa"/>
                  <w:vMerge w:val="continue"/>
                  <w:tcBorders>
                    <w:tl2br w:val="nil"/>
                    <w:tr2bl w:val="nil"/>
                  </w:tcBorders>
                  <w:shd w:val="clear" w:color="auto" w:fill="auto"/>
                  <w:vAlign w:val="center"/>
                </w:tcPr>
                <w:p w14:paraId="2989B0B1">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371F99E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12mmPb铅板</w:t>
                  </w:r>
                </w:p>
              </w:tc>
              <w:tc>
                <w:tcPr>
                  <w:tcW w:w="971" w:type="dxa"/>
                  <w:tcBorders>
                    <w:tl2br w:val="nil"/>
                    <w:tr2bl w:val="nil"/>
                  </w:tcBorders>
                  <w:shd w:val="clear" w:color="auto" w:fill="auto"/>
                  <w:vAlign w:val="center"/>
                </w:tcPr>
                <w:p w14:paraId="539E8AC8">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3.7</w:t>
                  </w:r>
                </w:p>
              </w:tc>
              <w:tc>
                <w:tcPr>
                  <w:tcW w:w="920" w:type="dxa"/>
                  <w:tcBorders>
                    <w:tl2br w:val="nil"/>
                    <w:tr2bl w:val="nil"/>
                  </w:tcBorders>
                  <w:shd w:val="clear" w:color="auto" w:fill="auto"/>
                  <w:noWrap/>
                  <w:vAlign w:val="center"/>
                </w:tcPr>
                <w:p w14:paraId="7250C31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544CDF9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1.96E+00</w:t>
                  </w:r>
                </w:p>
              </w:tc>
              <w:tc>
                <w:tcPr>
                  <w:tcW w:w="985" w:type="dxa"/>
                  <w:tcBorders>
                    <w:tl2br w:val="nil"/>
                    <w:tr2bl w:val="nil"/>
                  </w:tcBorders>
                  <w:shd w:val="clear" w:color="auto" w:fill="auto"/>
                  <w:noWrap/>
                  <w:vAlign w:val="center"/>
                </w:tcPr>
                <w:p w14:paraId="200B155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6B506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70" w:type="dxa"/>
                  <w:tcBorders>
                    <w:tl2br w:val="nil"/>
                    <w:tr2bl w:val="nil"/>
                  </w:tcBorders>
                  <w:shd w:val="clear" w:color="auto" w:fill="auto"/>
                  <w:vAlign w:val="center"/>
                </w:tcPr>
                <w:p w14:paraId="315A1724">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104</w:t>
                  </w:r>
                </w:p>
              </w:tc>
              <w:tc>
                <w:tcPr>
                  <w:tcW w:w="1704" w:type="dxa"/>
                  <w:tcBorders>
                    <w:tl2br w:val="nil"/>
                    <w:tr2bl w:val="nil"/>
                  </w:tcBorders>
                  <w:shd w:val="clear" w:color="auto" w:fill="auto"/>
                  <w:vAlign w:val="center"/>
                </w:tcPr>
                <w:p w14:paraId="17F0FD8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1259" w:type="dxa"/>
                  <w:vMerge w:val="continue"/>
                  <w:tcBorders>
                    <w:tl2br w:val="nil"/>
                    <w:tr2bl w:val="nil"/>
                  </w:tcBorders>
                  <w:shd w:val="clear" w:color="auto" w:fill="auto"/>
                  <w:vAlign w:val="center"/>
                </w:tcPr>
                <w:p w14:paraId="7CE10A6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6355DA2B">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1BEC7C2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920" w:type="dxa"/>
                  <w:tcBorders>
                    <w:tl2br w:val="nil"/>
                    <w:tr2bl w:val="nil"/>
                  </w:tcBorders>
                  <w:shd w:val="clear" w:color="auto" w:fill="auto"/>
                  <w:noWrap/>
                  <w:vAlign w:val="center"/>
                </w:tcPr>
                <w:p w14:paraId="0A3C057A">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60FB216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2.27E-01</w:t>
                  </w:r>
                </w:p>
              </w:tc>
              <w:tc>
                <w:tcPr>
                  <w:tcW w:w="985" w:type="dxa"/>
                  <w:tcBorders>
                    <w:tl2br w:val="nil"/>
                    <w:tr2bl w:val="nil"/>
                  </w:tcBorders>
                  <w:shd w:val="clear" w:color="auto" w:fill="auto"/>
                  <w:noWrap/>
                  <w:vAlign w:val="center"/>
                </w:tcPr>
                <w:p w14:paraId="310BB84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6B5EA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2" w:hRule="atLeast"/>
                <w:jc w:val="center"/>
              </w:trPr>
              <w:tc>
                <w:tcPr>
                  <w:tcW w:w="570" w:type="dxa"/>
                  <w:tcBorders>
                    <w:tl2br w:val="nil"/>
                    <w:tr2bl w:val="nil"/>
                  </w:tcBorders>
                  <w:shd w:val="clear" w:color="auto" w:fill="auto"/>
                  <w:vAlign w:val="center"/>
                </w:tcPr>
                <w:p w14:paraId="7B50FA80">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105</w:t>
                  </w:r>
                </w:p>
              </w:tc>
              <w:tc>
                <w:tcPr>
                  <w:tcW w:w="1704" w:type="dxa"/>
                  <w:tcBorders>
                    <w:tl2br w:val="nil"/>
                    <w:tr2bl w:val="nil"/>
                  </w:tcBorders>
                  <w:shd w:val="clear" w:color="auto" w:fill="auto"/>
                  <w:vAlign w:val="center"/>
                </w:tcPr>
                <w:p w14:paraId="288F981F">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1259" w:type="dxa"/>
                  <w:vMerge w:val="continue"/>
                  <w:tcBorders>
                    <w:tl2br w:val="nil"/>
                    <w:tr2bl w:val="nil"/>
                  </w:tcBorders>
                  <w:shd w:val="clear" w:color="auto" w:fill="auto"/>
                  <w:vAlign w:val="center"/>
                </w:tcPr>
                <w:p w14:paraId="27D8A5FE">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p>
              </w:tc>
              <w:tc>
                <w:tcPr>
                  <w:tcW w:w="2232" w:type="dxa"/>
                  <w:tcBorders>
                    <w:tl2br w:val="nil"/>
                    <w:tr2bl w:val="nil"/>
                  </w:tcBorders>
                  <w:shd w:val="clear" w:color="auto" w:fill="auto"/>
                  <w:vAlign w:val="center"/>
                </w:tcPr>
                <w:p w14:paraId="68C4252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en-US" w:bidi="ar"/>
                    </w:rPr>
                  </w:pPr>
                  <w:r>
                    <w:rPr>
                      <w:rFonts w:hint="default" w:ascii="Times New Roman" w:hAnsi="Times New Roman" w:eastAsia="宋体" w:cs="Times New Roman"/>
                      <w:i w:val="0"/>
                      <w:iCs w:val="0"/>
                      <w:color w:val="auto"/>
                      <w:kern w:val="0"/>
                      <w:sz w:val="16"/>
                      <w:szCs w:val="16"/>
                      <w:highlight w:val="none"/>
                      <w:u w:val="none"/>
                      <w:lang w:val="en-US" w:eastAsia="en-US" w:bidi="ar"/>
                    </w:rPr>
                    <w:t>300mm混凝土</w:t>
                  </w:r>
                </w:p>
              </w:tc>
              <w:tc>
                <w:tcPr>
                  <w:tcW w:w="971" w:type="dxa"/>
                  <w:tcBorders>
                    <w:tl2br w:val="nil"/>
                    <w:tr2bl w:val="nil"/>
                  </w:tcBorders>
                  <w:shd w:val="clear" w:color="auto" w:fill="auto"/>
                  <w:vAlign w:val="center"/>
                </w:tcPr>
                <w:p w14:paraId="7FD09A55">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920" w:type="dxa"/>
                  <w:tcBorders>
                    <w:tl2br w:val="nil"/>
                    <w:tr2bl w:val="nil"/>
                  </w:tcBorders>
                  <w:shd w:val="clear" w:color="auto" w:fill="auto"/>
                  <w:noWrap/>
                  <w:vAlign w:val="center"/>
                </w:tcPr>
                <w:p w14:paraId="7DA0726C">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c>
                <w:tcPr>
                  <w:tcW w:w="963" w:type="dxa"/>
                  <w:tcBorders>
                    <w:tl2br w:val="nil"/>
                    <w:tr2bl w:val="nil"/>
                  </w:tcBorders>
                  <w:shd w:val="clear" w:color="auto" w:fill="auto"/>
                  <w:vAlign w:val="center"/>
                </w:tcPr>
                <w:p w14:paraId="16A6DFA6">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2.46E-01</w:t>
                  </w:r>
                </w:p>
              </w:tc>
              <w:tc>
                <w:tcPr>
                  <w:tcW w:w="985" w:type="dxa"/>
                  <w:tcBorders>
                    <w:tl2br w:val="nil"/>
                    <w:tr2bl w:val="nil"/>
                  </w:tcBorders>
                  <w:shd w:val="clear" w:color="auto" w:fill="auto"/>
                  <w:noWrap/>
                  <w:vAlign w:val="center"/>
                </w:tcPr>
                <w:p w14:paraId="08B1A723">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w:t>
                  </w:r>
                </w:p>
              </w:tc>
            </w:tr>
            <w:tr w14:paraId="5C914F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736" w:type="dxa"/>
                  <w:gridSpan w:val="5"/>
                  <w:tcBorders>
                    <w:tl2br w:val="nil"/>
                    <w:tr2bl w:val="nil"/>
                  </w:tcBorders>
                  <w:shd w:val="clear" w:color="auto" w:fill="auto"/>
                  <w:vAlign w:val="center"/>
                </w:tcPr>
                <w:p w14:paraId="20026107">
                  <w:pPr>
                    <w:keepNext w:val="0"/>
                    <w:keepLines w:val="0"/>
                    <w:widowControl/>
                    <w:suppressLineNumbers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最大值</w:t>
                  </w:r>
                </w:p>
              </w:tc>
              <w:tc>
                <w:tcPr>
                  <w:tcW w:w="920" w:type="dxa"/>
                  <w:tcBorders>
                    <w:tl2br w:val="nil"/>
                    <w:tr2bl w:val="nil"/>
                  </w:tcBorders>
                  <w:shd w:val="clear" w:color="auto" w:fill="auto"/>
                  <w:noWrap/>
                  <w:vAlign w:val="center"/>
                </w:tcPr>
                <w:p w14:paraId="2136F71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6"/>
                      <w:szCs w:val="16"/>
                      <w:highlight w:val="none"/>
                      <w:u w:val="none"/>
                      <w:lang w:val="en-US" w:eastAsia="zh-CN" w:bidi="ar-SA"/>
                    </w:rPr>
                  </w:pPr>
                  <w:r>
                    <w:rPr>
                      <w:rFonts w:hint="default" w:ascii="Times New Roman" w:hAnsi="Times New Roman" w:eastAsia="宋体" w:cs="Times New Roman"/>
                      <w:i w:val="0"/>
                      <w:iCs w:val="0"/>
                      <w:color w:val="auto"/>
                      <w:kern w:val="0"/>
                      <w:sz w:val="16"/>
                      <w:szCs w:val="16"/>
                      <w:highlight w:val="none"/>
                      <w:u w:val="none"/>
                      <w:lang w:val="en-US" w:eastAsia="zh-CN" w:bidi="ar"/>
                    </w:rPr>
                    <w:t>5.86E-01</w:t>
                  </w:r>
                </w:p>
              </w:tc>
              <w:tc>
                <w:tcPr>
                  <w:tcW w:w="963" w:type="dxa"/>
                  <w:tcBorders>
                    <w:tl2br w:val="nil"/>
                    <w:tr2bl w:val="nil"/>
                  </w:tcBorders>
                  <w:shd w:val="clear" w:color="auto" w:fill="auto"/>
                  <w:vAlign w:val="center"/>
                </w:tcPr>
                <w:p w14:paraId="7A5A69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6"/>
                      <w:szCs w:val="16"/>
                      <w:highlight w:val="none"/>
                      <w:u w:val="none"/>
                      <w:lang w:val="en-US" w:eastAsia="zh-CN" w:bidi="ar-SA"/>
                    </w:rPr>
                  </w:pPr>
                  <w:r>
                    <w:rPr>
                      <w:rFonts w:hint="default" w:ascii="Times New Roman" w:hAnsi="Times New Roman" w:eastAsia="宋体" w:cs="Times New Roman"/>
                      <w:i w:val="0"/>
                      <w:iCs w:val="0"/>
                      <w:color w:val="auto"/>
                      <w:kern w:val="0"/>
                      <w:sz w:val="16"/>
                      <w:szCs w:val="16"/>
                      <w:highlight w:val="none"/>
                      <w:u w:val="none"/>
                      <w:lang w:val="en-US" w:eastAsia="zh-CN" w:bidi="ar"/>
                    </w:rPr>
                    <w:t>2.46E+00</w:t>
                  </w:r>
                </w:p>
              </w:tc>
              <w:tc>
                <w:tcPr>
                  <w:tcW w:w="985" w:type="dxa"/>
                  <w:tcBorders>
                    <w:tl2br w:val="nil"/>
                    <w:tr2bl w:val="nil"/>
                  </w:tcBorders>
                  <w:shd w:val="clear" w:color="auto" w:fill="auto"/>
                  <w:noWrap/>
                  <w:vAlign w:val="center"/>
                </w:tcPr>
                <w:p w14:paraId="65FFA7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6"/>
                      <w:szCs w:val="16"/>
                      <w:highlight w:val="none"/>
                      <w:u w:val="none"/>
                      <w:lang w:val="en-US" w:eastAsia="zh-CN" w:bidi="ar-SA"/>
                    </w:rPr>
                  </w:pPr>
                  <w:r>
                    <w:rPr>
                      <w:rFonts w:hint="default" w:ascii="Times New Roman" w:hAnsi="Times New Roman" w:eastAsia="宋体" w:cs="Times New Roman"/>
                      <w:i w:val="0"/>
                      <w:iCs w:val="0"/>
                      <w:color w:val="auto"/>
                      <w:kern w:val="0"/>
                      <w:sz w:val="16"/>
                      <w:szCs w:val="16"/>
                      <w:highlight w:val="none"/>
                      <w:u w:val="none"/>
                      <w:lang w:val="en-US" w:eastAsia="zh-CN" w:bidi="ar"/>
                    </w:rPr>
                    <w:t>2.45E+00</w:t>
                  </w:r>
                </w:p>
              </w:tc>
            </w:tr>
          </w:tbl>
          <w:p w14:paraId="1A84500E">
            <w:pPr>
              <w:pStyle w:val="14"/>
              <w:keepNext w:val="0"/>
              <w:keepLines w:val="0"/>
              <w:suppressLineNumbers w:val="0"/>
              <w:spacing w:before="0" w:beforeAutospacing="0" w:after="0" w:afterAutospacing="0"/>
              <w:ind w:left="0" w:leftChars="0" w:right="0" w:firstLine="0" w:firstLineChars="0"/>
              <w:jc w:val="both"/>
              <w:rPr>
                <w:rFonts w:hint="default" w:ascii="Times New Roman" w:hAnsi="Times New Roman" w:eastAsia="宋体" w:cs="Times New Roman"/>
                <w:color w:val="auto"/>
                <w:sz w:val="15"/>
                <w:szCs w:val="15"/>
                <w:highlight w:val="none"/>
                <w:lang w:val="en-US" w:eastAsia="zh-CN"/>
              </w:rPr>
            </w:pPr>
            <w:r>
              <w:rPr>
                <w:rFonts w:hint="eastAsia" w:ascii="Times New Roman" w:hAnsi="Times New Roman" w:eastAsia="宋体" w:cs="Times New Roman"/>
                <w:color w:val="auto"/>
                <w:sz w:val="15"/>
                <w:szCs w:val="15"/>
                <w:highlight w:val="none"/>
                <w:lang w:val="en-US" w:eastAsia="zh-CN" w:bidi="ar-SA"/>
              </w:rPr>
              <w:t>注：铅的密度为11.3g/cm</w:t>
            </w:r>
            <w:r>
              <w:rPr>
                <w:rFonts w:hint="eastAsia" w:ascii="Times New Roman" w:hAnsi="Times New Roman" w:eastAsia="宋体" w:cs="Times New Roman"/>
                <w:color w:val="auto"/>
                <w:sz w:val="15"/>
                <w:szCs w:val="15"/>
                <w:highlight w:val="none"/>
                <w:vertAlign w:val="superscript"/>
                <w:lang w:val="en-US" w:eastAsia="zh-CN" w:bidi="ar-SA"/>
              </w:rPr>
              <w:t>3</w:t>
            </w:r>
            <w:r>
              <w:rPr>
                <w:rFonts w:hint="eastAsia" w:ascii="Times New Roman" w:hAnsi="Times New Roman" w:eastAsia="宋体" w:cs="Times New Roman"/>
                <w:color w:val="auto"/>
                <w:sz w:val="15"/>
                <w:szCs w:val="15"/>
                <w:highlight w:val="none"/>
                <w:lang w:val="en-US" w:eastAsia="zh-CN" w:bidi="ar-SA"/>
              </w:rPr>
              <w:t>，砖的密度为1.9g/cm</w:t>
            </w:r>
            <w:r>
              <w:rPr>
                <w:rFonts w:hint="eastAsia" w:ascii="Times New Roman" w:hAnsi="Times New Roman" w:eastAsia="宋体" w:cs="Times New Roman"/>
                <w:color w:val="auto"/>
                <w:sz w:val="15"/>
                <w:szCs w:val="15"/>
                <w:highlight w:val="none"/>
                <w:vertAlign w:val="superscript"/>
                <w:lang w:val="en-US" w:eastAsia="zh-CN" w:bidi="ar-SA"/>
              </w:rPr>
              <w:t>3</w:t>
            </w:r>
            <w:r>
              <w:rPr>
                <w:rFonts w:hint="eastAsia" w:ascii="Times New Roman" w:hAnsi="Times New Roman" w:eastAsia="宋体" w:cs="Times New Roman"/>
                <w:color w:val="auto"/>
                <w:sz w:val="15"/>
                <w:szCs w:val="15"/>
                <w:highlight w:val="none"/>
                <w:lang w:val="en-US" w:eastAsia="zh-CN" w:bidi="ar-SA"/>
              </w:rPr>
              <w:t>，混凝土的密度为2.35g/cm</w:t>
            </w:r>
            <w:r>
              <w:rPr>
                <w:rFonts w:hint="eastAsia" w:ascii="Times New Roman" w:hAnsi="Times New Roman" w:eastAsia="宋体" w:cs="Times New Roman"/>
                <w:color w:val="auto"/>
                <w:sz w:val="15"/>
                <w:szCs w:val="15"/>
                <w:highlight w:val="none"/>
                <w:vertAlign w:val="superscript"/>
                <w:lang w:val="en-US" w:eastAsia="zh-CN" w:bidi="ar-SA"/>
              </w:rPr>
              <w:t>3</w:t>
            </w:r>
            <w:r>
              <w:rPr>
                <w:rFonts w:hint="eastAsia" w:ascii="Times New Roman" w:hAnsi="Times New Roman" w:eastAsia="宋体" w:cs="Times New Roman"/>
                <w:color w:val="auto"/>
                <w:sz w:val="15"/>
                <w:szCs w:val="15"/>
                <w:highlight w:val="none"/>
                <w:lang w:val="en-US" w:eastAsia="zh-CN" w:bidi="ar-SA"/>
              </w:rPr>
              <w:t>，钡水泥的密度为2.79g/cm</w:t>
            </w:r>
            <w:r>
              <w:rPr>
                <w:rFonts w:hint="eastAsia" w:ascii="Times New Roman" w:hAnsi="Times New Roman" w:eastAsia="宋体" w:cs="Times New Roman"/>
                <w:color w:val="auto"/>
                <w:sz w:val="15"/>
                <w:szCs w:val="15"/>
                <w:highlight w:val="none"/>
                <w:vertAlign w:val="superscript"/>
                <w:lang w:val="en-US" w:eastAsia="zh-CN" w:bidi="ar-SA"/>
              </w:rPr>
              <w:t>3</w:t>
            </w:r>
            <w:r>
              <w:rPr>
                <w:rFonts w:hint="eastAsia" w:ascii="Times New Roman" w:hAnsi="Times New Roman" w:eastAsia="宋体" w:cs="Times New Roman"/>
                <w:color w:val="auto"/>
                <w:sz w:val="15"/>
                <w:szCs w:val="15"/>
                <w:highlight w:val="none"/>
                <w:vertAlign w:val="baseline"/>
                <w:lang w:val="en-US" w:eastAsia="zh-CN" w:bidi="ar-SA"/>
              </w:rPr>
              <w:t>，计算时，钡水泥按密度折算为砖。</w:t>
            </w:r>
          </w:p>
          <w:p w14:paraId="4327EEC4">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highlight w:val="none"/>
                <w:lang w:eastAsia="zh-CN"/>
              </w:rPr>
              <w:t>根据上表计算结果可知，</w:t>
            </w:r>
            <w:r>
              <w:rPr>
                <w:rFonts w:hint="default" w:ascii="Times New Roman" w:hAnsi="Times New Roman" w:cs="Times New Roman"/>
                <w:color w:val="auto"/>
                <w:sz w:val="24"/>
                <w:szCs w:val="24"/>
                <w:highlight w:val="none"/>
                <w:lang w:val="en-US" w:eastAsia="zh-CN"/>
              </w:rPr>
              <w:t>核医学科使用</w:t>
            </w:r>
            <w:r>
              <w:rPr>
                <w:rFonts w:hint="default" w:ascii="Times New Roman" w:hAnsi="Times New Roman" w:cs="Times New Roman"/>
                <w:color w:val="auto"/>
                <w:sz w:val="24"/>
                <w:szCs w:val="24"/>
                <w:highlight w:val="none"/>
                <w:vertAlign w:val="baseline"/>
                <w:lang w:val="en-US" w:eastAsia="zh-CN"/>
              </w:rPr>
              <w:t>F-18</w:t>
            </w:r>
            <w:r>
              <w:rPr>
                <w:rFonts w:hint="default" w:ascii="Times New Roman" w:hAnsi="Times New Roman" w:cs="Times New Roman"/>
                <w:color w:val="auto"/>
                <w:sz w:val="24"/>
                <w:szCs w:val="24"/>
                <w:highlight w:val="none"/>
                <w:lang w:val="en-US" w:eastAsia="zh-CN"/>
              </w:rPr>
              <w:t>（Ga-68、C-11、N-13的）、Tc-99m、</w:t>
            </w:r>
            <w:r>
              <w:rPr>
                <w:rFonts w:hint="default" w:ascii="Times New Roman" w:hAnsi="Times New Roman" w:cs="Times New Roman"/>
                <w:color w:val="auto"/>
                <w:sz w:val="24"/>
                <w:szCs w:val="24"/>
                <w:highlight w:val="none"/>
                <w:vertAlign w:val="baseline"/>
                <w:lang w:val="en-US" w:eastAsia="zh-CN"/>
              </w:rPr>
              <w:t>I-131</w:t>
            </w:r>
            <w:r>
              <w:rPr>
                <w:rFonts w:hint="default" w:ascii="Times New Roman" w:hAnsi="Times New Roman" w:cs="Times New Roman"/>
                <w:color w:val="auto"/>
                <w:sz w:val="24"/>
                <w:szCs w:val="24"/>
                <w:highlight w:val="none"/>
                <w:lang w:val="en-US" w:eastAsia="zh-CN"/>
              </w:rPr>
              <w:t>产生的辐射影响能满足</w:t>
            </w:r>
            <w:r>
              <w:rPr>
                <w:rFonts w:hint="default" w:ascii="Times New Roman" w:hAnsi="Times New Roman" w:cs="Times New Roman"/>
                <w:color w:val="auto"/>
                <w:sz w:val="24"/>
                <w:szCs w:val="24"/>
                <w:highlight w:val="none"/>
                <w:lang w:eastAsia="zh-CN"/>
              </w:rPr>
              <w:t>《核医学辐射防护与安全要求》（HJ</w:t>
            </w:r>
            <w:r>
              <w:rPr>
                <w:rFonts w:hint="default"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eastAsia="zh-CN"/>
              </w:rPr>
              <w:t>1188-2021）</w:t>
            </w:r>
            <w:r>
              <w:rPr>
                <w:rFonts w:hint="default" w:ascii="Times New Roman" w:hAnsi="Times New Roman" w:cs="Times New Roman"/>
                <w:color w:val="auto"/>
                <w:sz w:val="24"/>
                <w:szCs w:val="24"/>
                <w:highlight w:val="none"/>
                <w:lang w:val="en-US" w:eastAsia="zh-CN"/>
              </w:rPr>
              <w:t>距核医学工作场所各控制区内房间防护门、观察窗和墙壁外表面 30 cm 处的周围剂量当量率应小于2.5 μSv/h。上述核素在操作使用过程中，绝大部分时间在运输铅罐、铅防护注射台、铅防护注射器套筒、铅垃圾桶等屏蔽设施内，裸源暴露持续时间极短。经核算，本医院核医学科各工作场所屏蔽设计方案可行，放射性药物使用对周边环境产生的辐射影响较小。</w:t>
            </w:r>
          </w:p>
          <w:p w14:paraId="47E504DC">
            <w:pPr>
              <w:pStyle w:val="14"/>
              <w:keepNext w:val="0"/>
              <w:keepLines w:val="0"/>
              <w:suppressLineNumbers w:val="0"/>
              <w:spacing w:before="0" w:beforeAutospacing="0" w:after="0" w:afterAutospacing="0" w:line="360" w:lineRule="auto"/>
              <w:ind w:left="0" w:right="0"/>
              <w:jc w:val="both"/>
              <w:rPr>
                <w:rFonts w:hint="default" w:ascii="Times New Roman" w:hAnsi="Times New Roman" w:eastAsia="宋体" w:cs="Times New Roman"/>
                <w:b/>
                <w:bCs/>
                <w:color w:val="auto"/>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rPr>
              <w:t>11.2.</w:t>
            </w:r>
            <w:r>
              <w:rPr>
                <w:rFonts w:hint="default" w:ascii="Times New Roman" w:hAnsi="Times New Roman" w:cs="Times New Roman"/>
                <w:b/>
                <w:bCs/>
                <w:color w:val="auto"/>
                <w:sz w:val="24"/>
                <w:szCs w:val="24"/>
                <w:highlight w:val="none"/>
                <w:lang w:val="en-US" w:eastAsia="zh-CN"/>
              </w:rPr>
              <w:t>1.</w:t>
            </w:r>
            <w:r>
              <w:rPr>
                <w:rFonts w:hint="eastAsia" w:ascii="Times New Roman" w:hAnsi="Times New Roman" w:cs="Times New Roman"/>
                <w:b/>
                <w:bCs/>
                <w:color w:val="auto"/>
                <w:sz w:val="24"/>
                <w:szCs w:val="24"/>
                <w:highlight w:val="none"/>
                <w:lang w:val="en-US" w:eastAsia="zh-CN"/>
              </w:rPr>
              <w:t xml:space="preserve">4 </w:t>
            </w:r>
            <w:r>
              <w:rPr>
                <w:rFonts w:hint="default" w:ascii="Times New Roman" w:hAnsi="Times New Roman" w:eastAsia="宋体" w:cs="Times New Roman"/>
                <w:b/>
                <w:bCs/>
                <w:color w:val="auto"/>
                <w:sz w:val="24"/>
                <w:szCs w:val="24"/>
                <w:highlight w:val="none"/>
                <w:vertAlign w:val="baseline"/>
                <w:lang w:val="en-US" w:eastAsia="zh-CN" w:bidi="ar-SA"/>
              </w:rPr>
              <w:t>Lu-177</w:t>
            </w:r>
            <w:r>
              <w:rPr>
                <w:rFonts w:hint="default" w:ascii="Times New Roman" w:hAnsi="Times New Roman" w:eastAsia="宋体" w:cs="Times New Roman"/>
                <w:b/>
                <w:bCs/>
                <w:color w:val="auto"/>
                <w:sz w:val="24"/>
                <w:szCs w:val="24"/>
                <w:highlight w:val="none"/>
                <w:lang w:val="en-US" w:eastAsia="zh-CN" w:bidi="ar-SA"/>
              </w:rPr>
              <w:t>核素使用影响分析</w:t>
            </w:r>
          </w:p>
          <w:p w14:paraId="3627283F">
            <w:pPr>
              <w:pStyle w:val="14"/>
              <w:keepNext w:val="0"/>
              <w:keepLines w:val="0"/>
              <w:suppressLineNumbers w:val="0"/>
              <w:spacing w:before="0" w:beforeAutospacing="0" w:after="0" w:afterAutospacing="0" w:line="360" w:lineRule="auto"/>
              <w:ind w:left="0" w:right="0"/>
              <w:jc w:val="both"/>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w:t>
            </w:r>
            <w:r>
              <w:rPr>
                <w:rFonts w:hint="default" w:ascii="Times New Roman" w:hAnsi="Times New Roman" w:eastAsia="宋体" w:cs="Times New Roman"/>
                <w:color w:val="auto"/>
                <w:sz w:val="24"/>
                <w:szCs w:val="24"/>
                <w:highlight w:val="none"/>
                <w:lang w:val="en-US" w:eastAsia="zh-CN" w:bidi="ar-SA"/>
              </w:rPr>
              <w:t>《</w:t>
            </w:r>
            <w:r>
              <w:rPr>
                <w:rFonts w:hint="eastAsia" w:ascii="Times New Roman" w:hAnsi="Times New Roman" w:cs="Times New Roman"/>
                <w:color w:val="auto"/>
                <w:sz w:val="24"/>
                <w:szCs w:val="24"/>
                <w:highlight w:val="none"/>
                <w:vertAlign w:val="baseline"/>
                <w:lang w:val="en-US" w:eastAsia="zh-CN" w:bidi="ar-SA"/>
              </w:rPr>
              <w:t>Lu-177</w:t>
            </w:r>
            <w:r>
              <w:rPr>
                <w:rFonts w:hint="default" w:ascii="Times New Roman" w:hAnsi="Times New Roman" w:eastAsia="宋体" w:cs="Times New Roman"/>
                <w:color w:val="auto"/>
                <w:sz w:val="24"/>
                <w:szCs w:val="24"/>
                <w:highlight w:val="none"/>
                <w:lang w:val="en-US" w:eastAsia="zh-CN" w:bidi="ar-SA"/>
              </w:rPr>
              <w:t>-Dotatate 治疗的放射防护评估》（中国辐射卫生，2021.12.30；https://html.rhhz.net/ZGFSWS/HTML/2021-6-710.htm）</w:t>
            </w:r>
            <w:r>
              <w:rPr>
                <w:rFonts w:hint="default" w:ascii="Times New Roman" w:hAnsi="Times New Roman" w:cs="Times New Roman"/>
                <w:color w:val="auto"/>
                <w:sz w:val="24"/>
                <w:szCs w:val="24"/>
                <w:highlight w:val="none"/>
                <w:lang w:val="en-US" w:eastAsia="zh-CN" w:bidi="ar-SA"/>
              </w:rPr>
              <w:t>，</w:t>
            </w:r>
            <w:r>
              <w:rPr>
                <w:rFonts w:hint="default" w:ascii="Times New Roman" w:hAnsi="Times New Roman" w:eastAsia="宋体" w:cs="Times New Roman"/>
                <w:color w:val="auto"/>
                <w:sz w:val="24"/>
                <w:szCs w:val="24"/>
                <w:highlight w:val="none"/>
                <w:vertAlign w:val="baseline"/>
                <w:lang w:val="en-US" w:eastAsia="zh-CN" w:bidi="ar-SA"/>
              </w:rPr>
              <w:t>Lu</w:t>
            </w:r>
            <w:r>
              <w:rPr>
                <w:rFonts w:hint="default" w:ascii="Times New Roman" w:hAnsi="Times New Roman" w:cs="Times New Roman"/>
                <w:color w:val="auto"/>
                <w:sz w:val="24"/>
                <w:szCs w:val="24"/>
                <w:highlight w:val="none"/>
                <w:vertAlign w:val="baseline"/>
                <w:lang w:val="en-US" w:eastAsia="zh-CN" w:bidi="ar-SA"/>
              </w:rPr>
              <w:t>-177</w:t>
            </w:r>
            <w:r>
              <w:rPr>
                <w:rFonts w:hint="default" w:ascii="Times New Roman" w:hAnsi="Times New Roman" w:eastAsia="宋体" w:cs="Times New Roman"/>
                <w:color w:val="auto"/>
                <w:sz w:val="24"/>
                <w:szCs w:val="24"/>
                <w:highlight w:val="none"/>
                <w:lang w:val="en-US" w:eastAsia="zh-CN" w:bidi="ar-SA"/>
              </w:rPr>
              <w:t>（裸源）周围剂量当量率常数取值</w:t>
            </w:r>
            <w:r>
              <w:rPr>
                <w:rFonts w:hint="default" w:ascii="Times New Roman" w:hAnsi="Times New Roman" w:cs="Times New Roman"/>
                <w:color w:val="auto"/>
                <w:sz w:val="24"/>
                <w:szCs w:val="24"/>
                <w:highlight w:val="none"/>
                <w:lang w:val="en-US" w:eastAsia="zh-CN" w:bidi="ar-SA"/>
              </w:rPr>
              <w:t>为</w:t>
            </w:r>
            <w:r>
              <w:rPr>
                <w:rFonts w:hint="default" w:ascii="Times New Roman" w:hAnsi="Times New Roman" w:eastAsia="宋体" w:cs="Times New Roman"/>
                <w:color w:val="auto"/>
                <w:sz w:val="24"/>
                <w:szCs w:val="24"/>
                <w:highlight w:val="none"/>
                <w:lang w:val="en-US" w:eastAsia="zh-CN" w:bidi="ar-SA"/>
              </w:rPr>
              <w:t>0.00517</w:t>
            </w:r>
            <w:r>
              <w:rPr>
                <w:rFonts w:hint="default" w:ascii="Times New Roman" w:hAnsi="Times New Roman" w:eastAsia="宋体" w:cs="Times New Roman"/>
                <w:color w:val="auto"/>
                <w:sz w:val="24"/>
                <w:szCs w:val="24"/>
                <w:highlight w:val="none"/>
              </w:rPr>
              <w:t>μSv·m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/MBq·h</w:t>
            </w:r>
            <w:r>
              <w:rPr>
                <w:rFonts w:hint="default" w:ascii="Times New Roman" w:hAnsi="Times New Roman" w:eastAsia="宋体" w:cs="Times New Roman"/>
                <w:color w:val="auto"/>
                <w:sz w:val="24"/>
                <w:szCs w:val="24"/>
                <w:highlight w:val="none"/>
                <w:lang w:val="en-US" w:eastAsia="zh-CN" w:bidi="ar-SA"/>
              </w:rPr>
              <w:t xml:space="preserve"> </w:t>
            </w:r>
            <w:r>
              <w:rPr>
                <w:rFonts w:hint="default" w:ascii="Times New Roman" w:hAnsi="Times New Roman" w:cs="Times New Roman"/>
                <w:color w:val="auto"/>
                <w:sz w:val="24"/>
                <w:szCs w:val="24"/>
                <w:highlight w:val="none"/>
                <w:lang w:val="en-US" w:eastAsia="zh-CN" w:bidi="ar-SA"/>
              </w:rPr>
              <w:t>，而</w:t>
            </w:r>
            <w:r>
              <w:rPr>
                <w:rFonts w:hint="eastAsia" w:ascii="Times New Roman" w:hAnsi="Times New Roman" w:cs="Times New Roman"/>
                <w:color w:val="auto"/>
                <w:sz w:val="24"/>
                <w:szCs w:val="24"/>
                <w:highlight w:val="none"/>
                <w:vertAlign w:val="baseline"/>
                <w:lang w:val="en-US" w:eastAsia="zh-CN"/>
              </w:rPr>
              <w:t>I-131</w:t>
            </w:r>
            <w:r>
              <w:rPr>
                <w:rFonts w:hint="default" w:ascii="Times New Roman" w:hAnsi="Times New Roman" w:eastAsia="宋体" w:cs="Times New Roman"/>
                <w:color w:val="auto"/>
                <w:sz w:val="24"/>
                <w:szCs w:val="24"/>
                <w:highlight w:val="none"/>
              </w:rPr>
              <w:t>为</w:t>
            </w:r>
            <w:r>
              <w:rPr>
                <w:rFonts w:hint="default" w:ascii="Times New Roman" w:hAnsi="Times New Roman" w:eastAsia="宋体" w:cs="Times New Roman"/>
                <w:color w:val="auto"/>
                <w:sz w:val="24"/>
                <w:szCs w:val="24"/>
                <w:highlight w:val="none"/>
                <w:lang w:val="en-US" w:eastAsia="zh-CN"/>
              </w:rPr>
              <w:t xml:space="preserve">0.0595 </w:t>
            </w:r>
            <w:r>
              <w:rPr>
                <w:rFonts w:hint="default" w:ascii="Times New Roman" w:hAnsi="Times New Roman" w:eastAsia="宋体" w:cs="Times New Roman"/>
                <w:color w:val="auto"/>
                <w:sz w:val="24"/>
                <w:szCs w:val="24"/>
                <w:highlight w:val="none"/>
              </w:rPr>
              <w:t>μSv·m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/MBq·h</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同等活度下I-131源强是</w:t>
            </w:r>
            <w:r>
              <w:rPr>
                <w:rFonts w:hint="eastAsia" w:ascii="Times New Roman" w:hAnsi="Times New Roman" w:cs="Times New Roman"/>
                <w:color w:val="auto"/>
                <w:sz w:val="24"/>
                <w:szCs w:val="24"/>
                <w:highlight w:val="none"/>
                <w:vertAlign w:val="baseline"/>
                <w:lang w:val="en-US" w:eastAsia="zh-CN"/>
              </w:rPr>
              <w:t>Lu-177</w:t>
            </w:r>
            <w:r>
              <w:rPr>
                <w:rFonts w:hint="eastAsia" w:ascii="Times New Roman" w:hAnsi="Times New Roman" w:cs="Times New Roman"/>
                <w:color w:val="auto"/>
                <w:sz w:val="24"/>
                <w:szCs w:val="24"/>
                <w:highlight w:val="none"/>
                <w:lang w:val="en-US" w:eastAsia="zh-CN"/>
              </w:rPr>
              <w:t>的11.5倍，故本项目使用</w:t>
            </w:r>
            <w:r>
              <w:rPr>
                <w:rFonts w:hint="eastAsia" w:ascii="Times New Roman" w:hAnsi="Times New Roman" w:cs="Times New Roman"/>
                <w:color w:val="auto"/>
                <w:sz w:val="24"/>
                <w:szCs w:val="24"/>
                <w:highlight w:val="none"/>
                <w:vertAlign w:val="baseline"/>
                <w:lang w:val="en-US" w:eastAsia="zh-CN"/>
              </w:rPr>
              <w:t>Lu-177</w:t>
            </w:r>
            <w:r>
              <w:rPr>
                <w:rFonts w:hint="eastAsia" w:ascii="Times New Roman" w:hAnsi="Times New Roman" w:cs="Times New Roman"/>
                <w:color w:val="auto"/>
                <w:sz w:val="24"/>
                <w:szCs w:val="24"/>
                <w:highlight w:val="none"/>
                <w:lang w:val="en-US" w:eastAsia="zh-CN"/>
              </w:rPr>
              <w:t>的辐射影响也能满足《核医学辐射防护与安全要求》（HJ 1188-2021）“距核医学工作场所各控制区内房间防护门、观察窗和墙壁外表面 30 cm 处的周围剂量当量率应小于2.5 μSv/h的限值要求。</w:t>
            </w:r>
          </w:p>
          <w:p w14:paraId="68E2D062">
            <w:pPr>
              <w:keepNext w:val="0"/>
              <w:keepLines w:val="0"/>
              <w:suppressLineNumbers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color w:val="auto"/>
                <w:sz w:val="24"/>
                <w:szCs w:val="22"/>
                <w:highlight w:val="none"/>
                <w:lang w:val="en-US" w:eastAsia="zh-CN"/>
              </w:rPr>
            </w:pPr>
            <w:r>
              <w:rPr>
                <w:rFonts w:hint="default" w:ascii="Times New Roman" w:hAnsi="Times New Roman" w:cs="Times New Roman"/>
                <w:b/>
                <w:color w:val="auto"/>
                <w:sz w:val="24"/>
                <w:szCs w:val="22"/>
                <w:highlight w:val="none"/>
                <w:vertAlign w:val="baseline"/>
                <w:lang w:val="en-US" w:eastAsia="zh-CN"/>
              </w:rPr>
              <w:t>11.2.1.</w:t>
            </w:r>
            <w:r>
              <w:rPr>
                <w:rFonts w:hint="eastAsia" w:cs="Times New Roman"/>
                <w:b/>
                <w:color w:val="auto"/>
                <w:sz w:val="24"/>
                <w:szCs w:val="22"/>
                <w:highlight w:val="none"/>
                <w:vertAlign w:val="baseline"/>
                <w:lang w:val="en-US" w:eastAsia="zh-CN"/>
              </w:rPr>
              <w:t xml:space="preserve">5 </w:t>
            </w:r>
            <w:r>
              <w:rPr>
                <w:rFonts w:hint="default" w:ascii="Times New Roman" w:hAnsi="Times New Roman" w:cs="Times New Roman"/>
                <w:b/>
                <w:color w:val="auto"/>
                <w:sz w:val="24"/>
                <w:szCs w:val="22"/>
                <w:highlight w:val="none"/>
                <w:vertAlign w:val="baseline"/>
              </w:rPr>
              <w:t>Ac</w:t>
            </w:r>
            <w:r>
              <w:rPr>
                <w:rFonts w:hint="default" w:ascii="Times New Roman" w:hAnsi="Times New Roman" w:cs="Times New Roman"/>
                <w:b/>
                <w:color w:val="auto"/>
                <w:sz w:val="24"/>
                <w:szCs w:val="22"/>
                <w:highlight w:val="none"/>
                <w:vertAlign w:val="baseline"/>
                <w:lang w:val="en-US" w:eastAsia="zh-CN"/>
              </w:rPr>
              <w:t>-225</w:t>
            </w:r>
            <w:r>
              <w:rPr>
                <w:rFonts w:hint="default" w:ascii="Times New Roman" w:hAnsi="Times New Roman" w:cs="Times New Roman"/>
                <w:b/>
                <w:color w:val="auto"/>
                <w:sz w:val="24"/>
                <w:szCs w:val="22"/>
                <w:highlight w:val="none"/>
                <w:lang w:val="en-US" w:eastAsia="zh-CN"/>
              </w:rPr>
              <w:t>、</w:t>
            </w:r>
            <w:r>
              <w:rPr>
                <w:rFonts w:hint="default" w:ascii="Times New Roman" w:hAnsi="Times New Roman" w:cs="Times New Roman"/>
                <w:b/>
                <w:color w:val="auto"/>
                <w:sz w:val="24"/>
                <w:szCs w:val="22"/>
                <w:highlight w:val="none"/>
                <w:vertAlign w:val="baseline"/>
                <w:lang w:val="en-US" w:eastAsia="zh-CN"/>
              </w:rPr>
              <w:t>Ra-223</w:t>
            </w:r>
            <w:r>
              <w:rPr>
                <w:rFonts w:hint="default" w:ascii="Times New Roman" w:hAnsi="Times New Roman" w:cs="Times New Roman"/>
                <w:b/>
                <w:color w:val="auto"/>
                <w:sz w:val="24"/>
                <w:szCs w:val="22"/>
                <w:highlight w:val="none"/>
                <w:lang w:val="en-US" w:eastAsia="zh-CN"/>
              </w:rPr>
              <w:t>核素使用影响分析</w:t>
            </w:r>
          </w:p>
          <w:p w14:paraId="47CC42F1">
            <w:pPr>
              <w:pStyle w:val="59"/>
              <w:keepNext w:val="0"/>
              <w:keepLines w:val="0"/>
              <w:suppressLineNumbers w:val="0"/>
              <w:bidi w:val="0"/>
              <w:spacing w:before="0" w:beforeAutospacing="0" w:after="0" w:afterAutospacing="0" w:line="360" w:lineRule="auto"/>
              <w:ind w:left="0" w:leftChars="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vertAlign w:val="baseline"/>
                <w:lang w:val="en-US" w:eastAsia="zh-CN"/>
              </w:rPr>
              <w:t>Ac-225</w:t>
            </w:r>
            <w:r>
              <w:rPr>
                <w:rFonts w:hint="default" w:ascii="Times New Roman" w:hAnsi="Times New Roman" w:cs="Times New Roman"/>
                <w:color w:val="auto"/>
                <w:highlight w:val="none"/>
                <w:lang w:val="en-US" w:eastAsia="zh-CN"/>
              </w:rPr>
              <w:t>核素单人次核素最大使用量为1.00E+07Bq（0.27mCi），日接诊量最大为 1人次，年最大接诊量为30人次。</w:t>
            </w:r>
            <w:r>
              <w:rPr>
                <w:rFonts w:hint="default" w:ascii="Times New Roman" w:hAnsi="Times New Roman" w:cs="Times New Roman"/>
                <w:color w:val="auto"/>
                <w:highlight w:val="none"/>
                <w:vertAlign w:val="baseline"/>
                <w:lang w:val="en-US" w:eastAsia="zh-CN"/>
              </w:rPr>
              <w:t>Ra-223</w:t>
            </w:r>
            <w:r>
              <w:rPr>
                <w:rFonts w:hint="default" w:ascii="Times New Roman" w:hAnsi="Times New Roman" w:cs="Times New Roman"/>
                <w:color w:val="auto"/>
                <w:highlight w:val="none"/>
                <w:lang w:val="en-US" w:eastAsia="zh-CN"/>
              </w:rPr>
              <w:t>核素单人次核素最大使用量为5.50E+06Bq（0.15mCi），日接诊量最大为 1人次，年最大接诊量为30人次。</w:t>
            </w:r>
          </w:p>
          <w:p w14:paraId="089439EA">
            <w:pPr>
              <w:pStyle w:val="59"/>
              <w:keepNext w:val="0"/>
              <w:keepLines w:val="0"/>
              <w:suppressLineNumbers w:val="0"/>
              <w:bidi w:val="0"/>
              <w:spacing w:before="0" w:beforeAutospacing="0" w:after="0" w:afterAutospacing="0" w:line="360" w:lineRule="auto"/>
              <w:ind w:left="0" w:leftChars="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vertAlign w:val="baseline"/>
                <w:lang w:val="en-US" w:eastAsia="zh-CN"/>
              </w:rPr>
              <w:t>Ac-225</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vertAlign w:val="baseline"/>
                <w:lang w:val="en-US" w:eastAsia="zh-CN"/>
              </w:rPr>
              <w:t>Ra-223</w:t>
            </w:r>
            <w:r>
              <w:rPr>
                <w:rFonts w:hint="default" w:ascii="Times New Roman" w:hAnsi="Times New Roman" w:cs="Times New Roman"/>
                <w:color w:val="auto"/>
                <w:highlight w:val="none"/>
                <w:lang w:val="en-US" w:eastAsia="zh-CN"/>
              </w:rPr>
              <w:t>衰变时会产生α射线，α射线穿透能力差，在空气中的射程只有几厘米，只要一张纸或健康的皮肤就能挡住，因此，α射线没有外照射危险，主要考虑可能造成的内照射影响。本项目辐射工作人员进入控制区均穿戴工作服，佩戴一次性口罩（操作α核素和碘系核素过程中，均严格佩戴口罩），佩戴一次性手套（操作α核素佩戴丁腈手套），操作均在带有通风装置的手套箱/热室内进行，工作人员不直接接触放射性核素，不在控制区内进行进食、饮水、吸烟、化妆等无关工作，</w:t>
            </w:r>
            <w:r>
              <w:rPr>
                <w:rFonts w:hint="default" w:ascii="Times New Roman" w:hAnsi="Times New Roman" w:cs="Times New Roman"/>
                <w:color w:val="auto"/>
                <w:highlight w:val="none"/>
                <w:vertAlign w:val="baseline"/>
                <w:lang w:val="en-US" w:eastAsia="zh-CN"/>
              </w:rPr>
              <w:t>Ac-225</w:t>
            </w:r>
            <w:r>
              <w:rPr>
                <w:rFonts w:hint="default" w:ascii="Times New Roman" w:hAnsi="Times New Roman" w:cs="Times New Roman"/>
                <w:color w:val="auto"/>
                <w:highlight w:val="none"/>
                <w:lang w:val="en-US" w:eastAsia="zh-CN"/>
              </w:rPr>
              <w:t>正常使用过程基本不会被工作人员摄入体内，造成的内照射影响可忽略。</w:t>
            </w:r>
          </w:p>
          <w:p w14:paraId="4F997F5C">
            <w:pPr>
              <w:pStyle w:val="59"/>
              <w:keepNext w:val="0"/>
              <w:keepLines w:val="0"/>
              <w:suppressLineNumbers w:val="0"/>
              <w:bidi w:val="0"/>
              <w:spacing w:before="0" w:beforeAutospacing="0" w:after="0" w:afterAutospacing="0" w:line="360" w:lineRule="auto"/>
              <w:ind w:left="0" w:right="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根据《辐射防护手册（第三分册）》，α射线在不同物质中与最大射程对应的防护厚度为：</w:t>
            </w:r>
          </w:p>
          <w:p w14:paraId="424FF7CA">
            <w:pPr>
              <w:keepNext w:val="0"/>
              <w:keepLines w:val="0"/>
              <w:suppressLineNumbers w:val="0"/>
              <w:spacing w:before="0" w:beforeAutospacing="0" w:after="0" w:afterAutospacing="0" w:line="360" w:lineRule="auto"/>
              <w:ind w:left="0" w:right="0"/>
              <w:jc w:val="both"/>
              <w:rPr>
                <w:rFonts w:hint="default" w:ascii="Times New Roman" w:hAnsi="Times New Roman" w:eastAsia="宋体" w:cs="Times New Roman"/>
                <w:color w:val="auto"/>
                <w:highlight w:val="none"/>
              </w:rPr>
            </w:pPr>
          </w:p>
          <w:p w14:paraId="385157E3">
            <w:pPr>
              <w:keepNext w:val="0"/>
              <w:keepLines w:val="0"/>
              <w:suppressLineNumbers w:val="0"/>
              <w:spacing w:before="0" w:beforeAutospacing="0" w:after="0" w:afterAutospacing="0" w:line="360" w:lineRule="auto"/>
              <w:ind w:left="0" w:right="0" w:firstLine="1440" w:firstLineChars="60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R=0.323E</w:t>
            </w:r>
            <w:r>
              <w:rPr>
                <w:rFonts w:hint="default" w:ascii="Times New Roman" w:hAnsi="Times New Roman" w:cs="Times New Roman"/>
                <w:color w:val="auto"/>
                <w:highlight w:val="none"/>
                <w:vertAlign w:val="subscript"/>
                <w:lang w:val="en-US" w:eastAsia="zh-CN"/>
              </w:rPr>
              <w:t>α</w:t>
            </w:r>
            <w:r>
              <w:rPr>
                <w:rFonts w:hint="default" w:ascii="Times New Roman" w:hAnsi="Times New Roman" w:cs="Times New Roman"/>
                <w:color w:val="auto"/>
                <w:highlight w:val="none"/>
                <w:vertAlign w:val="superscript"/>
                <w:lang w:val="en-US" w:eastAsia="zh-CN"/>
              </w:rPr>
              <w:t>3/2</w:t>
            </w:r>
            <w:r>
              <w:rPr>
                <w:rFonts w:hint="eastAsia" w:ascii="Times New Roman" w:hAnsi="Times New Roman" w:cs="Times New Roman"/>
                <w:color w:val="auto"/>
                <w:highlight w:val="none"/>
                <w:vertAlign w:val="superscript"/>
                <w:lang w:val="en-US" w:eastAsia="zh-CN"/>
              </w:rPr>
              <w:t xml:space="preserve">           </w:t>
            </w:r>
            <w:r>
              <w:rPr>
                <w:rFonts w:hint="eastAsia" w:ascii="Times New Roman" w:hAnsi="Times New Roman" w:cs="Times New Roman"/>
                <w:color w:val="auto"/>
                <w:highlight w:val="none"/>
                <w:vertAlign w:val="baseline"/>
                <w:lang w:val="en-US" w:eastAsia="zh-CN"/>
              </w:rPr>
              <w:t xml:space="preserve"> （公式11-3）</w:t>
            </w:r>
          </w:p>
          <w:p w14:paraId="7904F99C">
            <w:pPr>
              <w:keepNext w:val="0"/>
              <w:keepLines w:val="0"/>
              <w:suppressLineNumbers w:val="0"/>
              <w:spacing w:before="0" w:beforeAutospacing="0" w:after="0" w:afterAutospacing="0" w:line="360" w:lineRule="auto"/>
              <w:ind w:left="0" w:right="0" w:firstLine="480" w:firstLineChars="200"/>
              <w:jc w:val="both"/>
              <w:rPr>
                <w:rFonts w:hint="eastAsia" w:cs="Times New Roman"/>
                <w:color w:val="auto"/>
                <w:highlight w:val="none"/>
                <w:lang w:val="en-US" w:eastAsia="zh-CN"/>
              </w:rPr>
            </w:pPr>
            <w:r>
              <w:rPr>
                <w:rFonts w:hint="default" w:ascii="Times New Roman" w:hAnsi="Times New Roman" w:eastAsia="宋体" w:cs="Times New Roman"/>
                <w:color w:val="auto"/>
                <w:highlight w:val="none"/>
                <w:lang w:val="en-US" w:eastAsia="zh-CN"/>
              </w:rPr>
              <w:t>式中</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R—标准状态下的空气中的射程，cm</w:t>
            </w:r>
            <w:r>
              <w:rPr>
                <w:rFonts w:hint="eastAsia" w:cs="Times New Roman"/>
                <w:color w:val="auto"/>
                <w:highlight w:val="none"/>
                <w:lang w:val="en-US" w:eastAsia="zh-CN"/>
              </w:rPr>
              <w:t>；</w:t>
            </w:r>
          </w:p>
          <w:p w14:paraId="51C52CBB">
            <w:pPr>
              <w:keepNext w:val="0"/>
              <w:keepLines w:val="0"/>
              <w:suppressLineNumbers w:val="0"/>
              <w:spacing w:before="0" w:beforeAutospacing="0" w:after="0" w:afterAutospacing="0" w:line="360" w:lineRule="auto"/>
              <w:ind w:left="0" w:right="0" w:firstLine="1440" w:firstLineChars="6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Eα—α射线的能量，MeV</w:t>
            </w:r>
          </w:p>
          <w:p w14:paraId="470D01E4">
            <w:pPr>
              <w:keepNext w:val="0"/>
              <w:keepLines w:val="0"/>
              <w:suppressLineNumbers w:val="0"/>
              <w:spacing w:before="0" w:beforeAutospacing="0" w:after="0" w:afterAutospacing="0" w:line="360" w:lineRule="auto"/>
              <w:ind w:left="0" w:right="0" w:firstLine="1440" w:firstLineChars="600"/>
              <w:jc w:val="both"/>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R</w:t>
            </w:r>
            <w:r>
              <w:rPr>
                <w:rFonts w:hint="eastAsia"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0.00122R             （公式11-4）</w:t>
            </w:r>
          </w:p>
          <w:p w14:paraId="2CC68A61">
            <w:pPr>
              <w:keepNext w:val="0"/>
              <w:keepLines w:val="0"/>
              <w:suppressLineNumbers w:val="0"/>
              <w:spacing w:before="0" w:beforeAutospacing="0" w:after="0" w:afterAutospacing="0" w:line="360" w:lineRule="auto"/>
              <w:ind w:left="0" w:right="0" w:firstLine="720" w:firstLineChars="300"/>
              <w:jc w:val="both"/>
              <w:rPr>
                <w:rFonts w:hint="eastAsia" w:cs="Times New Roman"/>
                <w:color w:val="auto"/>
                <w:highlight w:val="none"/>
                <w:lang w:val="en-US" w:eastAsia="zh-CN"/>
              </w:rPr>
            </w:pPr>
            <w:r>
              <w:rPr>
                <w:rFonts w:hint="default" w:ascii="Times New Roman" w:hAnsi="Times New Roman" w:eastAsia="宋体" w:cs="Times New Roman"/>
                <w:color w:val="auto"/>
                <w:highlight w:val="none"/>
                <w:lang w:val="en-US" w:eastAsia="zh-CN"/>
              </w:rPr>
              <w:t>式中</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R′—组织或水中的射程，cm</w:t>
            </w:r>
            <w:r>
              <w:rPr>
                <w:rFonts w:hint="eastAsia" w:cs="Times New Roman"/>
                <w:color w:val="auto"/>
                <w:highlight w:val="none"/>
                <w:lang w:val="en-US" w:eastAsia="zh-CN"/>
              </w:rPr>
              <w:t>；</w:t>
            </w:r>
          </w:p>
          <w:p w14:paraId="1AA171C4">
            <w:pPr>
              <w:keepNext w:val="0"/>
              <w:keepLines w:val="0"/>
              <w:suppressLineNumbers w:val="0"/>
              <w:spacing w:before="0" w:beforeAutospacing="0" w:after="0" w:afterAutospacing="0" w:line="360" w:lineRule="auto"/>
              <w:ind w:left="0" w:right="0" w:firstLine="1440" w:firstLineChars="600"/>
              <w:jc w:val="both"/>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R—标准状态下的空气中的射程，cm。</w:t>
            </w:r>
          </w:p>
          <w:p w14:paraId="0684B8A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将</w:t>
            </w:r>
            <w:r>
              <w:rPr>
                <w:rFonts w:hint="default" w:ascii="Times New Roman" w:hAnsi="Times New Roman" w:eastAsia="宋体" w:cs="Times New Roman"/>
                <w:color w:val="auto"/>
                <w:highlight w:val="none"/>
                <w:vertAlign w:val="baseline"/>
                <w:lang w:val="en-US" w:eastAsia="zh-CN"/>
              </w:rPr>
              <w:t>Ac-225</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vertAlign w:val="baseline"/>
                <w:lang w:val="en-US" w:eastAsia="zh-CN"/>
              </w:rPr>
              <w:t>Ra-223</w:t>
            </w:r>
            <w:r>
              <w:rPr>
                <w:rFonts w:hint="default" w:ascii="Times New Roman" w:hAnsi="Times New Roman" w:eastAsia="宋体" w:cs="Times New Roman"/>
                <w:color w:val="auto"/>
                <w:highlight w:val="none"/>
                <w:lang w:val="en-US" w:eastAsia="zh-CN"/>
              </w:rPr>
              <w:t>射线能量带入上式中，即可</w:t>
            </w:r>
            <w:r>
              <w:rPr>
                <w:rFonts w:hint="default" w:ascii="Times New Roman" w:hAnsi="Times New Roman" w:eastAsia="宋体" w:cs="Times New Roman"/>
                <w:color w:val="auto"/>
                <w:highlight w:val="none"/>
              </w:rPr>
              <w:t>估算出核素衰变放出的α射线在不同材料中的射程，预测结果见表11-</w:t>
            </w:r>
            <w:r>
              <w:rPr>
                <w:rFonts w:hint="eastAsia" w:cs="Times New Roman"/>
                <w:color w:val="auto"/>
                <w:highlight w:val="none"/>
                <w:lang w:val="en-US" w:eastAsia="zh-CN"/>
              </w:rPr>
              <w:t>8</w:t>
            </w:r>
            <w:r>
              <w:rPr>
                <w:rFonts w:hint="default" w:ascii="Times New Roman" w:hAnsi="Times New Roman" w:eastAsia="宋体" w:cs="Times New Roman"/>
                <w:color w:val="auto"/>
                <w:highlight w:val="none"/>
              </w:rPr>
              <w:t>。</w:t>
            </w:r>
          </w:p>
          <w:p w14:paraId="1BBFF352">
            <w:pPr>
              <w:keepNext w:val="0"/>
              <w:keepLines w:val="0"/>
              <w:suppressLineNumbers w:val="0"/>
              <w:spacing w:before="0" w:beforeAutospacing="0" w:after="0" w:afterAutospacing="0" w:line="360" w:lineRule="auto"/>
              <w:ind w:left="0" w:right="0" w:firstLine="482" w:firstLineChars="200"/>
              <w:jc w:val="center"/>
              <w:rPr>
                <w:rFonts w:hint="default"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 xml:space="preserve">表11-8  </w:t>
            </w:r>
            <w:r>
              <w:rPr>
                <w:rFonts w:hint="eastAsia" w:cs="Times New Roman"/>
                <w:b/>
                <w:bCs/>
                <w:color w:val="auto"/>
                <w:highlight w:val="none"/>
                <w:vertAlign w:val="baseline"/>
                <w:lang w:val="en-US" w:eastAsia="zh-CN"/>
              </w:rPr>
              <w:t>Ac-225</w:t>
            </w:r>
            <w:r>
              <w:rPr>
                <w:rFonts w:hint="eastAsia" w:cs="Times New Roman"/>
                <w:b/>
                <w:bCs/>
                <w:color w:val="auto"/>
                <w:highlight w:val="none"/>
                <w:lang w:val="en-US" w:eastAsia="zh-CN"/>
              </w:rPr>
              <w:t>、</w:t>
            </w:r>
            <w:r>
              <w:rPr>
                <w:rFonts w:hint="eastAsia" w:cs="Times New Roman"/>
                <w:b/>
                <w:bCs/>
                <w:color w:val="auto"/>
                <w:highlight w:val="none"/>
                <w:vertAlign w:val="baseline"/>
                <w:lang w:val="en-US" w:eastAsia="zh-CN"/>
              </w:rPr>
              <w:t>Ra-223</w:t>
            </w:r>
            <w:r>
              <w:rPr>
                <w:rFonts w:hint="eastAsia" w:cs="Times New Roman"/>
                <w:b/>
                <w:bCs/>
                <w:color w:val="auto"/>
                <w:highlight w:val="none"/>
                <w:lang w:val="en-US" w:eastAsia="zh-CN"/>
              </w:rPr>
              <w:t>产生的α射线射程情况</w:t>
            </w:r>
          </w:p>
          <w:tbl>
            <w:tblPr>
              <w:tblStyle w:val="30"/>
              <w:tblW w:w="9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30"/>
              <w:gridCol w:w="1792"/>
              <w:gridCol w:w="2626"/>
              <w:gridCol w:w="3470"/>
            </w:tblGrid>
            <w:tr w14:paraId="398EC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530" w:type="dxa"/>
                  <w:tcBorders>
                    <w:top w:val="single" w:color="000000" w:sz="12" w:space="0"/>
                    <w:left w:val="single" w:color="000000" w:sz="12" w:space="0"/>
                    <w:bottom w:val="single" w:color="000000" w:sz="4" w:space="0"/>
                    <w:right w:val="single" w:color="000000" w:sz="4" w:space="0"/>
                  </w:tcBorders>
                  <w:vAlign w:val="center"/>
                </w:tcPr>
                <w:p w14:paraId="07C3EDCF">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核素</w:t>
                  </w:r>
                </w:p>
              </w:tc>
              <w:tc>
                <w:tcPr>
                  <w:tcW w:w="1792" w:type="dxa"/>
                  <w:tcBorders>
                    <w:top w:val="single" w:color="000000" w:sz="12" w:space="0"/>
                    <w:left w:val="single" w:color="000000" w:sz="4" w:space="0"/>
                    <w:bottom w:val="single" w:color="000000" w:sz="4" w:space="0"/>
                    <w:right w:val="single" w:color="000000" w:sz="4" w:space="0"/>
                  </w:tcBorders>
                  <w:vAlign w:val="center"/>
                </w:tcPr>
                <w:p w14:paraId="63F4A94A">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Eα（MeV）</w:t>
                  </w:r>
                </w:p>
              </w:tc>
              <w:tc>
                <w:tcPr>
                  <w:tcW w:w="2626" w:type="dxa"/>
                  <w:tcBorders>
                    <w:top w:val="single" w:color="000000" w:sz="12" w:space="0"/>
                    <w:left w:val="single" w:color="000000" w:sz="4" w:space="0"/>
                    <w:bottom w:val="single" w:color="000000" w:sz="4" w:space="0"/>
                    <w:right w:val="single" w:color="000000" w:sz="4" w:space="0"/>
                  </w:tcBorders>
                  <w:vAlign w:val="center"/>
                </w:tcPr>
                <w:p w14:paraId="0CCBD2AD">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R 空气中射程（cm）</w:t>
                  </w:r>
                </w:p>
              </w:tc>
              <w:tc>
                <w:tcPr>
                  <w:tcW w:w="3470" w:type="dxa"/>
                  <w:tcBorders>
                    <w:top w:val="single" w:color="000000" w:sz="12" w:space="0"/>
                    <w:left w:val="single" w:color="000000" w:sz="4" w:space="0"/>
                    <w:bottom w:val="single" w:color="000000" w:sz="4" w:space="0"/>
                    <w:right w:val="single" w:color="000000" w:sz="12" w:space="0"/>
                  </w:tcBorders>
                  <w:vAlign w:val="center"/>
                </w:tcPr>
                <w:p w14:paraId="0EA8E13C">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R ＇组织或水中射程（cm）</w:t>
                  </w:r>
                </w:p>
              </w:tc>
            </w:tr>
            <w:tr w14:paraId="23733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30" w:type="dxa"/>
                  <w:tcBorders>
                    <w:top w:val="single" w:color="000000" w:sz="4" w:space="0"/>
                    <w:left w:val="single" w:color="000000" w:sz="12" w:space="0"/>
                    <w:bottom w:val="single" w:color="000000" w:sz="4" w:space="0"/>
                    <w:right w:val="single" w:color="000000" w:sz="4" w:space="0"/>
                  </w:tcBorders>
                  <w:vAlign w:val="center"/>
                </w:tcPr>
                <w:p w14:paraId="0343CE93">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vertAlign w:val="baseline"/>
                    </w:rPr>
                    <w:t>Ac</w:t>
                  </w:r>
                  <w:r>
                    <w:rPr>
                      <w:rFonts w:hint="default" w:ascii="Times New Roman" w:hAnsi="Times New Roman" w:eastAsia="宋体" w:cs="Times New Roman"/>
                      <w:color w:val="auto"/>
                      <w:sz w:val="21"/>
                      <w:szCs w:val="20"/>
                      <w:highlight w:val="none"/>
                      <w:vertAlign w:val="baseline"/>
                      <w:lang w:val="en-US" w:eastAsia="zh-CN"/>
                    </w:rPr>
                    <w:t>-225</w:t>
                  </w:r>
                </w:p>
              </w:tc>
              <w:tc>
                <w:tcPr>
                  <w:tcW w:w="1792" w:type="dxa"/>
                  <w:tcBorders>
                    <w:top w:val="single" w:color="000000" w:sz="4" w:space="0"/>
                    <w:left w:val="single" w:color="000000" w:sz="4" w:space="0"/>
                    <w:bottom w:val="single" w:color="000000" w:sz="4" w:space="0"/>
                    <w:right w:val="single" w:color="000000" w:sz="4" w:space="0"/>
                  </w:tcBorders>
                  <w:vAlign w:val="center"/>
                </w:tcPr>
                <w:p w14:paraId="31ACDBCF">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5.93</w:t>
                  </w:r>
                </w:p>
              </w:tc>
              <w:tc>
                <w:tcPr>
                  <w:tcW w:w="2626" w:type="dxa"/>
                  <w:tcBorders>
                    <w:top w:val="single" w:color="000000" w:sz="4" w:space="0"/>
                    <w:left w:val="single" w:color="000000" w:sz="4" w:space="0"/>
                    <w:bottom w:val="single" w:color="000000" w:sz="4" w:space="0"/>
                    <w:right w:val="single" w:color="000000" w:sz="4" w:space="0"/>
                  </w:tcBorders>
                  <w:vAlign w:val="center"/>
                </w:tcPr>
                <w:p w14:paraId="0205D804">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lang w:eastAsia="zh-CN"/>
                    </w:rPr>
                  </w:pPr>
                  <w:r>
                    <w:rPr>
                      <w:rFonts w:hint="default" w:ascii="Times New Roman" w:hAnsi="Times New Roman" w:eastAsia="宋体" w:cs="Times New Roman"/>
                      <w:color w:val="auto"/>
                      <w:sz w:val="21"/>
                      <w:szCs w:val="20"/>
                      <w:highlight w:val="none"/>
                    </w:rPr>
                    <w:t>4.6</w:t>
                  </w:r>
                  <w:r>
                    <w:rPr>
                      <w:rFonts w:hint="default" w:ascii="Times New Roman" w:hAnsi="Times New Roman" w:eastAsia="宋体" w:cs="Times New Roman"/>
                      <w:color w:val="auto"/>
                      <w:sz w:val="21"/>
                      <w:szCs w:val="20"/>
                      <w:highlight w:val="none"/>
                      <w:lang w:val="en-US" w:eastAsia="zh-CN"/>
                    </w:rPr>
                    <w:t>6</w:t>
                  </w:r>
                </w:p>
              </w:tc>
              <w:tc>
                <w:tcPr>
                  <w:tcW w:w="3470" w:type="dxa"/>
                  <w:tcBorders>
                    <w:top w:val="single" w:color="000000" w:sz="4" w:space="0"/>
                    <w:left w:val="single" w:color="000000" w:sz="4" w:space="0"/>
                    <w:bottom w:val="single" w:color="000000" w:sz="4" w:space="0"/>
                    <w:right w:val="single" w:color="000000" w:sz="12" w:space="0"/>
                  </w:tcBorders>
                  <w:vAlign w:val="bottom"/>
                </w:tcPr>
                <w:p w14:paraId="3A4D7BBC">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 xml:space="preserve">0.0057 </w:t>
                  </w:r>
                </w:p>
              </w:tc>
            </w:tr>
            <w:tr w14:paraId="74C64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530" w:type="dxa"/>
                  <w:tcBorders>
                    <w:top w:val="single" w:color="000000" w:sz="4" w:space="0"/>
                    <w:left w:val="single" w:color="000000" w:sz="12" w:space="0"/>
                    <w:bottom w:val="single" w:color="000000" w:sz="12" w:space="0"/>
                    <w:right w:val="single" w:color="000000" w:sz="4" w:space="0"/>
                  </w:tcBorders>
                  <w:vAlign w:val="center"/>
                </w:tcPr>
                <w:p w14:paraId="17C78DEB">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vertAlign w:val="baseline"/>
                      <w:lang w:val="en-US" w:eastAsia="zh-CN"/>
                    </w:rPr>
                    <w:t>Ra-223</w:t>
                  </w:r>
                </w:p>
              </w:tc>
              <w:tc>
                <w:tcPr>
                  <w:tcW w:w="1792" w:type="dxa"/>
                  <w:tcBorders>
                    <w:top w:val="single" w:color="000000" w:sz="4" w:space="0"/>
                    <w:left w:val="single" w:color="000000" w:sz="4" w:space="0"/>
                    <w:bottom w:val="single" w:color="000000" w:sz="12" w:space="0"/>
                    <w:right w:val="single" w:color="000000" w:sz="4" w:space="0"/>
                  </w:tcBorders>
                  <w:vAlign w:val="center"/>
                </w:tcPr>
                <w:p w14:paraId="5AF6514F">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rPr>
                    <w:t>5.64</w:t>
                  </w:r>
                </w:p>
              </w:tc>
              <w:tc>
                <w:tcPr>
                  <w:tcW w:w="2626" w:type="dxa"/>
                  <w:tcBorders>
                    <w:top w:val="single" w:color="000000" w:sz="4" w:space="0"/>
                    <w:left w:val="single" w:color="000000" w:sz="4" w:space="0"/>
                    <w:bottom w:val="single" w:color="000000" w:sz="12" w:space="0"/>
                    <w:right w:val="single" w:color="000000" w:sz="4" w:space="0"/>
                  </w:tcBorders>
                  <w:vAlign w:val="center"/>
                </w:tcPr>
                <w:p w14:paraId="603C8BBF">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4.33</w:t>
                  </w:r>
                </w:p>
              </w:tc>
              <w:tc>
                <w:tcPr>
                  <w:tcW w:w="3470" w:type="dxa"/>
                  <w:tcBorders>
                    <w:top w:val="single" w:color="000000" w:sz="4" w:space="0"/>
                    <w:left w:val="single" w:color="000000" w:sz="4" w:space="0"/>
                    <w:bottom w:val="single" w:color="000000" w:sz="12" w:space="0"/>
                    <w:right w:val="single" w:color="000000" w:sz="12" w:space="0"/>
                  </w:tcBorders>
                  <w:vAlign w:val="bottom"/>
                </w:tcPr>
                <w:p w14:paraId="3AF61FB1">
                  <w:pPr>
                    <w:keepNext w:val="0"/>
                    <w:keepLines w:val="0"/>
                    <w:suppressLineNumbers w:val="0"/>
                    <w:spacing w:before="0" w:beforeAutospacing="0" w:after="0" w:afterAutospacing="0" w:line="360" w:lineRule="auto"/>
                    <w:ind w:left="0" w:right="0"/>
                    <w:jc w:val="center"/>
                    <w:rPr>
                      <w:rFonts w:hint="default" w:ascii="Times New Roman" w:hAnsi="Times New Roman" w:eastAsia="宋体" w:cs="Times New Roman"/>
                      <w:color w:val="auto"/>
                      <w:sz w:val="21"/>
                      <w:szCs w:val="20"/>
                      <w:highlight w:val="none"/>
                    </w:rPr>
                  </w:pPr>
                  <w:r>
                    <w:rPr>
                      <w:rFonts w:hint="default" w:ascii="Times New Roman" w:hAnsi="Times New Roman" w:eastAsia="宋体" w:cs="Times New Roman"/>
                      <w:color w:val="auto"/>
                      <w:sz w:val="21"/>
                      <w:szCs w:val="20"/>
                      <w:highlight w:val="none"/>
                      <w:lang w:val="en-US" w:eastAsia="zh-CN"/>
                    </w:rPr>
                    <w:t xml:space="preserve">0.0053 </w:t>
                  </w:r>
                </w:p>
              </w:tc>
            </w:tr>
          </w:tbl>
          <w:p w14:paraId="4AB369D0">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highlight w:val="none"/>
              </w:rPr>
            </w:pPr>
          </w:p>
          <w:p w14:paraId="2CA5188A">
            <w:pPr>
              <w:keepNext w:val="0"/>
              <w:keepLines w:val="0"/>
              <w:suppressLineNumbers w:val="0"/>
              <w:spacing w:before="0" w:beforeAutospacing="0" w:after="0" w:afterAutospacing="0" w:line="48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default" w:ascii="Times New Roman" w:hAnsi="Times New Roman" w:eastAsia="宋体" w:cs="Times New Roman"/>
                <w:color w:val="auto"/>
                <w:highlight w:val="none"/>
                <w:vertAlign w:val="baseline"/>
                <w:lang w:val="en-US" w:eastAsia="zh-CN"/>
              </w:rPr>
              <w:t>Ac-225</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vertAlign w:val="baseline"/>
                <w:lang w:val="en-US" w:eastAsia="zh-CN"/>
              </w:rPr>
              <w:t>Ra-223</w:t>
            </w:r>
            <w:r>
              <w:rPr>
                <w:rFonts w:hint="default" w:ascii="Times New Roman" w:hAnsi="Times New Roman" w:eastAsia="宋体" w:cs="Times New Roman"/>
                <w:color w:val="auto"/>
                <w:highlight w:val="none"/>
                <w:lang w:val="en-US" w:eastAsia="zh-CN"/>
              </w:rPr>
              <w:t>使用场所为三层核素治疗区注射室</w:t>
            </w:r>
            <w:r>
              <w:rPr>
                <w:rFonts w:hint="default" w:ascii="Times New Roman" w:hAnsi="Times New Roman" w:eastAsia="宋体" w:cs="Times New Roman"/>
                <w:color w:val="auto"/>
                <w:highlight w:val="none"/>
              </w:rPr>
              <w:t>，各防护门均采用铅防护门，观察窗、注射窗均为铅玻璃窗进行辐射防护，</w:t>
            </w:r>
            <w:r>
              <w:rPr>
                <w:rFonts w:hint="default" w:ascii="Times New Roman" w:hAnsi="Times New Roman" w:eastAsia="宋体" w:cs="Times New Roman"/>
                <w:color w:val="auto"/>
                <w:highlight w:val="none"/>
                <w:vertAlign w:val="baseline"/>
              </w:rPr>
              <w:t>Ac</w:t>
            </w:r>
            <w:r>
              <w:rPr>
                <w:rFonts w:hint="default" w:ascii="Times New Roman" w:hAnsi="Times New Roman" w:eastAsia="宋体"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rPr>
              <w:t>225</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vertAlign w:val="baseline"/>
                <w:lang w:val="en-US" w:eastAsia="zh-CN"/>
              </w:rPr>
              <w:t>Ra-223</w:t>
            </w:r>
            <w:r>
              <w:rPr>
                <w:rFonts w:hint="default" w:ascii="Times New Roman" w:hAnsi="Times New Roman" w:eastAsia="宋体" w:cs="Times New Roman"/>
                <w:color w:val="auto"/>
                <w:highlight w:val="none"/>
              </w:rPr>
              <w:t>放射性核素α射线在上述屏蔽材料中射程均极短。在核素操作过程中，在穿戴好防护用品后，基本可以消除α射线对辐射工作人员及周围公众的辐射影响。</w:t>
            </w:r>
          </w:p>
          <w:p w14:paraId="766EF4F0">
            <w:pPr>
              <w:keepNext w:val="0"/>
              <w:keepLines w:val="0"/>
              <w:suppressLineNumbers w:val="0"/>
              <w:spacing w:before="0" w:beforeAutospacing="0" w:after="0" w:afterAutospacing="0" w:line="480" w:lineRule="auto"/>
              <w:ind w:left="0" w:right="0" w:firstLine="480" w:firstLineChars="200"/>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综上所述，本项目</w:t>
            </w:r>
            <w:r>
              <w:rPr>
                <w:rFonts w:hint="default" w:ascii="Times New Roman" w:hAnsi="Times New Roman" w:eastAsia="宋体" w:cs="Times New Roman"/>
                <w:color w:val="auto"/>
                <w:highlight w:val="none"/>
                <w:vertAlign w:val="baseline"/>
              </w:rPr>
              <w:t>Ac</w:t>
            </w:r>
            <w:r>
              <w:rPr>
                <w:rFonts w:hint="default" w:ascii="Times New Roman" w:hAnsi="Times New Roman" w:eastAsia="宋体" w:cs="Times New Roman"/>
                <w:color w:val="auto"/>
                <w:highlight w:val="none"/>
                <w:vertAlign w:val="baseline"/>
                <w:lang w:val="en-US" w:eastAsia="zh-CN"/>
              </w:rPr>
              <w:t>-</w:t>
            </w:r>
            <w:r>
              <w:rPr>
                <w:rFonts w:hint="default" w:ascii="Times New Roman" w:hAnsi="Times New Roman" w:eastAsia="宋体" w:cs="Times New Roman"/>
                <w:color w:val="auto"/>
                <w:highlight w:val="none"/>
                <w:vertAlign w:val="baseline"/>
              </w:rPr>
              <w:t>225</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vertAlign w:val="baseline"/>
                <w:lang w:val="en-US" w:eastAsia="zh-CN"/>
              </w:rPr>
              <w:t>Ra-223</w:t>
            </w:r>
            <w:r>
              <w:rPr>
                <w:rFonts w:hint="default" w:ascii="Times New Roman" w:hAnsi="Times New Roman" w:eastAsia="宋体" w:cs="Times New Roman"/>
                <w:color w:val="auto"/>
                <w:highlight w:val="none"/>
              </w:rPr>
              <w:t>放射性核素在整个过程中均采取了有效的屏蔽措施屏蔽α射线，同时周围公众与放射性核素之前还采取了距离防护措施，因此α射线对辐射工作人员和周围公众辐射影响很小。</w:t>
            </w:r>
          </w:p>
          <w:p w14:paraId="51FEA987">
            <w:pPr>
              <w:keepNext w:val="0"/>
              <w:keepLines w:val="0"/>
              <w:suppressLineNumbers w:val="0"/>
              <w:spacing w:before="0" w:beforeLines="0" w:beforeAutospacing="0" w:after="0" w:afterLines="0" w:afterAutospacing="0" w:line="480" w:lineRule="auto"/>
              <w:ind w:left="0" w:right="0" w:firstLine="482" w:firstLineChars="200"/>
              <w:jc w:val="both"/>
              <w:rPr>
                <w:rFonts w:hint="default" w:ascii="Times New Roman" w:hAnsi="Times New Roman" w:cs="Times New Roman"/>
                <w:b/>
                <w:color w:val="auto"/>
                <w:sz w:val="24"/>
                <w:szCs w:val="22"/>
                <w:highlight w:val="none"/>
                <w:lang w:val="en-US" w:eastAsia="zh-CN"/>
              </w:rPr>
            </w:pPr>
            <w:r>
              <w:rPr>
                <w:rFonts w:hint="default" w:ascii="Times New Roman" w:hAnsi="Times New Roman" w:cs="Times New Roman"/>
                <w:b/>
                <w:color w:val="auto"/>
                <w:sz w:val="24"/>
                <w:szCs w:val="22"/>
                <w:highlight w:val="none"/>
                <w:vertAlign w:val="baseline"/>
                <w:lang w:val="en-US" w:eastAsia="zh-CN"/>
              </w:rPr>
              <w:t>11.2.1.</w:t>
            </w:r>
            <w:r>
              <w:rPr>
                <w:rFonts w:hint="eastAsia" w:cs="Times New Roman"/>
                <w:b/>
                <w:color w:val="auto"/>
                <w:sz w:val="24"/>
                <w:szCs w:val="22"/>
                <w:highlight w:val="none"/>
                <w:vertAlign w:val="baseline"/>
                <w:lang w:val="en-US" w:eastAsia="zh-CN"/>
              </w:rPr>
              <w:t>6</w:t>
            </w:r>
            <w:r>
              <w:rPr>
                <w:rFonts w:hint="eastAsia" w:ascii="Times New Roman" w:hAnsi="Times New Roman" w:cs="Times New Roman"/>
                <w:b/>
                <w:color w:val="auto"/>
                <w:sz w:val="24"/>
                <w:szCs w:val="22"/>
                <w:highlight w:val="none"/>
                <w:vertAlign w:val="baseline"/>
                <w:lang w:val="en-US" w:eastAsia="zh-CN"/>
              </w:rPr>
              <w:t xml:space="preserve"> </w:t>
            </w:r>
            <w:r>
              <w:rPr>
                <w:rFonts w:hint="default" w:ascii="Times New Roman" w:hAnsi="Times New Roman" w:cs="Times New Roman"/>
                <w:b/>
                <w:color w:val="auto"/>
                <w:sz w:val="24"/>
                <w:szCs w:val="22"/>
                <w:highlight w:val="none"/>
                <w:lang w:val="en-US" w:eastAsia="zh-CN"/>
              </w:rPr>
              <w:t>Y-90核素使用影响分析</w:t>
            </w:r>
          </w:p>
          <w:p w14:paraId="7C7F513C">
            <w:pPr>
              <w:keepNext w:val="0"/>
              <w:keepLines w:val="0"/>
              <w:widowControl/>
              <w:suppressLineNumbers w:val="0"/>
              <w:spacing w:before="0" w:beforeAutospacing="0" w:after="0" w:afterAutospacing="0" w:line="480" w:lineRule="auto"/>
              <w:ind w:left="0" w:right="0" w:firstLine="480" w:firstLineChars="200"/>
              <w:jc w:val="left"/>
              <w:rPr>
                <w:rFonts w:hint="default" w:ascii="Times New Roman" w:hAnsi="Times New Roman" w:eastAsia="宋体" w:cs="Times New Roman"/>
                <w:color w:val="auto"/>
                <w:sz w:val="24"/>
                <w:szCs w:val="22"/>
                <w:highlight w:val="none"/>
                <w:lang w:val="en-US" w:eastAsia="zh-CN" w:bidi="ar-SA"/>
              </w:rPr>
            </w:pPr>
            <w:r>
              <w:rPr>
                <w:rFonts w:hint="default" w:ascii="Times New Roman" w:hAnsi="Times New Roman" w:eastAsia="宋体" w:cs="Times New Roman"/>
                <w:color w:val="auto"/>
                <w:sz w:val="24"/>
                <w:szCs w:val="22"/>
                <w:highlight w:val="none"/>
                <w:lang w:val="en-US" w:eastAsia="zh-CN" w:bidi="ar-SA"/>
              </w:rPr>
              <w:t>Y-90 在衰变过程中发射纯 β 射线，最高能量达 2.284MeV（分支比，99.984%），平均能量为 0.9348MeV，半衰期为 64.2h，辐射范围小，在人体组织中的最大射程为 11mm，平均 2.5mm。β 粒子能被体外衣服消减、人体组织或 1cm 有机玻璃完全阻挡。工作人员不会直接接触 Y-90，β 射线对工作人员以及公众的影响可以忽略。Y-90 核素发射的 β 射线被屏蔽材料阻隔时产生轫致辐射，主要考虑轫致辐射对周围环境的辐射污染。</w:t>
            </w:r>
          </w:p>
          <w:p w14:paraId="5073B4E0">
            <w:pPr>
              <w:keepNext w:val="0"/>
              <w:keepLines w:val="0"/>
              <w:widowControl/>
              <w:suppressLineNumbers w:val="0"/>
              <w:spacing w:before="0" w:beforeAutospacing="0" w:after="0" w:afterAutospacing="0" w:line="480" w:lineRule="auto"/>
              <w:ind w:left="0" w:right="0" w:firstLine="480" w:firstLineChars="200"/>
              <w:jc w:val="left"/>
              <w:rPr>
                <w:rFonts w:hint="default" w:ascii="Times New Roman" w:hAnsi="Times New Roman" w:eastAsia="宋体" w:cs="Times New Roman"/>
                <w:b w:val="0"/>
                <w:bCs/>
                <w:color w:val="auto"/>
                <w:sz w:val="24"/>
                <w:szCs w:val="24"/>
                <w:highlight w:val="none"/>
                <w:lang w:eastAsia="zh-CN"/>
              </w:rPr>
            </w:pPr>
            <w:r>
              <w:rPr>
                <w:rFonts w:hint="eastAsia" w:cs="Times New Roman"/>
                <w:b w:val="0"/>
                <w:bCs/>
                <w:color w:val="auto"/>
                <w:sz w:val="24"/>
                <w:szCs w:val="24"/>
                <w:highlight w:val="none"/>
                <w:lang w:val="en-US" w:eastAsia="zh-CN"/>
              </w:rPr>
              <w:t>（1）</w:t>
            </w:r>
            <w:r>
              <w:rPr>
                <w:rFonts w:hint="default" w:ascii="Times New Roman" w:hAnsi="Times New Roman" w:eastAsia="宋体" w:cs="Times New Roman"/>
                <w:b w:val="0"/>
                <w:bCs/>
                <w:color w:val="auto"/>
                <w:sz w:val="24"/>
                <w:szCs w:val="24"/>
                <w:highlight w:val="none"/>
                <w:lang w:val="en-US" w:eastAsia="zh-CN"/>
              </w:rPr>
              <w:t xml:space="preserve">计算公式 </w:t>
            </w:r>
          </w:p>
          <w:p w14:paraId="686D858C">
            <w:pPr>
              <w:keepNext w:val="0"/>
              <w:keepLines w:val="0"/>
              <w:widowControl/>
              <w:suppressLineNumbers w:val="0"/>
              <w:spacing w:before="0" w:beforeAutospacing="0" w:after="0" w:afterAutospacing="0" w:line="480" w:lineRule="auto"/>
              <w:ind w:left="0" w:right="0" w:firstLine="480" w:firstLineChars="200"/>
              <w:jc w:val="left"/>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计算公式参考《辐射剂量与防护》（霍雷、刘剑利、马永和）：</w:t>
            </w:r>
          </w:p>
          <w:p w14:paraId="2026EFEE">
            <w:pPr>
              <w:keepNext w:val="0"/>
              <w:keepLines w:val="0"/>
              <w:widowControl/>
              <w:numPr>
                <w:ilvl w:val="0"/>
                <w:numId w:val="4"/>
              </w:numPr>
              <w:suppressLineNumbers w:val="0"/>
              <w:spacing w:before="0" w:beforeAutospacing="0" w:after="0" w:afterAutospacing="0" w:line="480" w:lineRule="auto"/>
              <w:ind w:left="0" w:right="0" w:firstLine="480" w:firstLineChars="200"/>
              <w:jc w:val="left"/>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轫致辐射在空气中的吸收剂量率计算公式：</w:t>
            </w:r>
          </w:p>
          <w:p w14:paraId="25DD3228">
            <w:pPr>
              <w:keepNext w:val="0"/>
              <w:keepLines w:val="0"/>
              <w:widowControl/>
              <w:numPr>
                <w:ilvl w:val="0"/>
                <w:numId w:val="0"/>
              </w:numPr>
              <w:suppressLineNumbers w:val="0"/>
              <w:autoSpaceDE w:val="0"/>
              <w:autoSpaceDN w:val="0"/>
              <w:spacing w:before="0" w:beforeAutospacing="0" w:after="0" w:afterAutospacing="0" w:line="480" w:lineRule="auto"/>
              <w:ind w:left="0" w:right="0" w:rightChars="0"/>
              <w:jc w:val="left"/>
              <w:rPr>
                <w:rFonts w:hint="default" w:ascii="Times New Roman" w:hAnsi="Times New Roman" w:eastAsia="宋体" w:cs="Times New Roman"/>
                <w:b w:val="0"/>
                <w:bCs/>
                <w:color w:val="auto"/>
                <w:sz w:val="24"/>
                <w:szCs w:val="24"/>
                <w:highlight w:val="none"/>
                <w:lang w:val="en-US" w:eastAsia="zh-CN"/>
              </w:rPr>
            </w:pPr>
          </w:p>
          <w:p w14:paraId="5A35A4DD">
            <w:pPr>
              <w:keepNext w:val="0"/>
              <w:keepLines w:val="0"/>
              <w:widowControl/>
              <w:suppressLineNumbers w:val="0"/>
              <w:spacing w:before="0" w:beforeAutospacing="0" w:after="0" w:afterAutospacing="0" w:line="360" w:lineRule="auto"/>
              <w:ind w:left="0" w:right="0" w:firstLine="480" w:firstLineChars="200"/>
              <w:jc w:val="center"/>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eastAsia="zh-CN"/>
              </w:rPr>
              <w:drawing>
                <wp:anchor distT="0" distB="0" distL="114300" distR="114300" simplePos="0" relativeHeight="251660288" behindDoc="0" locked="0" layoutInCell="1" allowOverlap="1">
                  <wp:simplePos x="0" y="0"/>
                  <wp:positionH relativeFrom="column">
                    <wp:posOffset>1157605</wp:posOffset>
                  </wp:positionH>
                  <wp:positionV relativeFrom="paragraph">
                    <wp:posOffset>166370</wp:posOffset>
                  </wp:positionV>
                  <wp:extent cx="2252345" cy="405765"/>
                  <wp:effectExtent l="0" t="0" r="8255" b="635"/>
                  <wp:wrapNone/>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19"/>
                          <a:stretch>
                            <a:fillRect/>
                          </a:stretch>
                        </pic:blipFill>
                        <pic:spPr>
                          <a:xfrm>
                            <a:off x="0" y="0"/>
                            <a:ext cx="2252345" cy="405765"/>
                          </a:xfrm>
                          <a:prstGeom prst="rect">
                            <a:avLst/>
                          </a:prstGeom>
                          <a:noFill/>
                          <a:ln>
                            <a:noFill/>
                          </a:ln>
                        </pic:spPr>
                      </pic:pic>
                    </a:graphicData>
                  </a:graphic>
                </wp:anchor>
              </w:drawing>
            </w:r>
          </w:p>
          <w:p w14:paraId="1F509553">
            <w:pPr>
              <w:keepNext w:val="0"/>
              <w:keepLines w:val="0"/>
              <w:widowControl/>
              <w:suppressLineNumbers w:val="0"/>
              <w:spacing w:before="0" w:beforeAutospacing="0" w:after="0" w:afterAutospacing="0" w:line="360" w:lineRule="auto"/>
              <w:ind w:left="0" w:right="0" w:firstLine="480" w:firstLineChars="200"/>
              <w:jc w:val="center"/>
              <w:rPr>
                <w:rFonts w:hint="default" w:ascii="Times New Roman" w:hAnsi="Times New Roman"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 xml:space="preserve">                （</w:t>
            </w:r>
            <w:r>
              <w:rPr>
                <w:rFonts w:hint="default" w:ascii="Times New Roman" w:hAnsi="Times New Roman" w:eastAsia="宋体" w:cs="Times New Roman"/>
                <w:b w:val="0"/>
                <w:bCs/>
                <w:color w:val="auto"/>
                <w:sz w:val="24"/>
                <w:szCs w:val="24"/>
                <w:highlight w:val="none"/>
                <w:lang w:eastAsia="zh-CN"/>
              </w:rPr>
              <w:t>公式</w:t>
            </w:r>
            <w:r>
              <w:rPr>
                <w:rFonts w:hint="eastAsia" w:cs="Times New Roman"/>
                <w:b w:val="0"/>
                <w:bCs/>
                <w:color w:val="auto"/>
                <w:sz w:val="24"/>
                <w:szCs w:val="24"/>
                <w:highlight w:val="none"/>
                <w:lang w:val="en-US" w:eastAsia="zh-CN"/>
              </w:rPr>
              <w:t>11-5</w:t>
            </w:r>
            <w:r>
              <w:rPr>
                <w:rFonts w:hint="default" w:ascii="Times New Roman" w:hAnsi="Times New Roman" w:eastAsia="宋体" w:cs="Times New Roman"/>
                <w:b w:val="0"/>
                <w:bCs/>
                <w:color w:val="auto"/>
                <w:sz w:val="24"/>
                <w:szCs w:val="24"/>
                <w:highlight w:val="none"/>
                <w:lang w:val="en-US" w:eastAsia="zh-CN"/>
              </w:rPr>
              <w:t>）</w:t>
            </w:r>
          </w:p>
          <w:p w14:paraId="5E13ADB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式中：</w:t>
            </w:r>
          </w:p>
          <w:p w14:paraId="737BDAC3">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lang w:val="en-US" w:eastAsia="zh-CN"/>
              </w:rPr>
              <w:t xml:space="preserve">D——屏蔽层中β粒子产生的轫致辐射在r(m)处空气中的吸收剂量率，Gy/h； </w:t>
            </w:r>
          </w:p>
          <w:p w14:paraId="1F368F1D">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lang w:val="en-US" w:eastAsia="zh-CN"/>
              </w:rPr>
              <w:t>E</w:t>
            </w:r>
            <w:r>
              <w:rPr>
                <w:rFonts w:hint="default" w:ascii="Times New Roman" w:hAnsi="Times New Roman" w:cs="Times New Roman"/>
                <w:b w:val="0"/>
                <w:bCs/>
                <w:color w:val="auto"/>
                <w:sz w:val="24"/>
                <w:szCs w:val="24"/>
                <w:highlight w:val="none"/>
                <w:vertAlign w:val="subscript"/>
                <w:lang w:val="en-US" w:eastAsia="zh-CN"/>
              </w:rPr>
              <w:t>b</w:t>
            </w:r>
            <w:r>
              <w:rPr>
                <w:rFonts w:hint="default" w:ascii="Times New Roman" w:hAnsi="Times New Roman" w:cs="Times New Roman"/>
                <w:b w:val="0"/>
                <w:bCs/>
                <w:color w:val="auto"/>
                <w:sz w:val="24"/>
                <w:szCs w:val="24"/>
                <w:highlight w:val="none"/>
                <w:lang w:val="en-US" w:eastAsia="zh-CN"/>
              </w:rPr>
              <w:t>——轫致辐射平均能量，MeV，约为入射β射线的最大能量的1/3，β射线的最大能量为 2.284MeV，即E</w:t>
            </w:r>
            <w:r>
              <w:rPr>
                <w:rFonts w:hint="default" w:ascii="Times New Roman" w:hAnsi="Times New Roman" w:cs="Times New Roman"/>
                <w:b w:val="0"/>
                <w:bCs/>
                <w:color w:val="auto"/>
                <w:sz w:val="24"/>
                <w:szCs w:val="24"/>
                <w:highlight w:val="none"/>
                <w:vertAlign w:val="subscript"/>
                <w:lang w:val="en-US" w:eastAsia="zh-CN"/>
              </w:rPr>
              <w:t>b</w:t>
            </w:r>
            <w:r>
              <w:rPr>
                <w:rFonts w:hint="default" w:ascii="Times New Roman" w:hAnsi="Times New Roman" w:cs="Times New Roman"/>
                <w:b w:val="0"/>
                <w:bCs/>
                <w:color w:val="auto"/>
                <w:sz w:val="24"/>
                <w:szCs w:val="24"/>
                <w:highlight w:val="none"/>
                <w:lang w:val="en-US" w:eastAsia="zh-CN"/>
              </w:rPr>
              <w:t>≈0.76MeV；</w:t>
            </w:r>
          </w:p>
          <w:p w14:paraId="44B7B13D">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r — 距离辐射点的距离，m；</w:t>
            </w:r>
          </w:p>
          <w:p w14:paraId="20537A28">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lang w:val="en-US" w:eastAsia="zh-CN"/>
              </w:rPr>
              <w:t>μ</w:t>
            </w:r>
            <w:r>
              <w:rPr>
                <w:rFonts w:hint="default" w:ascii="Times New Roman" w:hAnsi="Times New Roman" w:cs="Times New Roman"/>
                <w:b w:val="0"/>
                <w:bCs/>
                <w:color w:val="auto"/>
                <w:sz w:val="24"/>
                <w:szCs w:val="24"/>
                <w:highlight w:val="none"/>
                <w:vertAlign w:val="subscript"/>
                <w:lang w:val="en-US" w:eastAsia="zh-CN"/>
              </w:rPr>
              <w:t>en</w:t>
            </w:r>
            <w:r>
              <w:rPr>
                <w:rFonts w:hint="default" w:ascii="Times New Roman" w:hAnsi="Times New Roman" w:cs="Times New Roman"/>
                <w:b w:val="0"/>
                <w:bCs/>
                <w:color w:val="auto"/>
                <w:sz w:val="24"/>
                <w:szCs w:val="24"/>
                <w:highlight w:val="none"/>
                <w:lang w:val="en-US" w:eastAsia="zh-CN"/>
              </w:rPr>
              <w:t>/ρ——是平均能量为E</w:t>
            </w:r>
            <w:r>
              <w:rPr>
                <w:rFonts w:hint="default" w:ascii="Times New Roman" w:hAnsi="Times New Roman" w:cs="Times New Roman"/>
                <w:b w:val="0"/>
                <w:bCs/>
                <w:color w:val="auto"/>
                <w:sz w:val="24"/>
                <w:szCs w:val="24"/>
                <w:highlight w:val="none"/>
                <w:vertAlign w:val="subscript"/>
                <w:lang w:val="en-US" w:eastAsia="zh-CN"/>
              </w:rPr>
              <w:t>b</w:t>
            </w:r>
            <w:r>
              <w:rPr>
                <w:rFonts w:hint="default" w:ascii="Times New Roman" w:hAnsi="Times New Roman" w:cs="Times New Roman"/>
                <w:b w:val="0"/>
                <w:bCs/>
                <w:color w:val="auto"/>
                <w:sz w:val="24"/>
                <w:szCs w:val="24"/>
                <w:highlight w:val="none"/>
                <w:lang w:val="en-US" w:eastAsia="zh-CN"/>
              </w:rPr>
              <w:t>的轫致辐射在空气中的质量能量吸收系数，m</w:t>
            </w:r>
            <w:r>
              <w:rPr>
                <w:rFonts w:hint="default" w:ascii="Times New Roman" w:hAnsi="Times New Roman" w:cs="Times New Roman"/>
                <w:b w:val="0"/>
                <w:bCs/>
                <w:color w:val="auto"/>
                <w:sz w:val="24"/>
                <w:szCs w:val="24"/>
                <w:highlight w:val="none"/>
                <w:vertAlign w:val="superscript"/>
                <w:lang w:val="en-US" w:eastAsia="zh-CN"/>
              </w:rPr>
              <w:t>2</w:t>
            </w:r>
            <w:r>
              <w:rPr>
                <w:rFonts w:hint="default" w:ascii="Times New Roman" w:hAnsi="Times New Roman" w:cs="Times New Roman"/>
                <w:b w:val="0"/>
                <w:bCs/>
                <w:color w:val="auto"/>
                <w:sz w:val="24"/>
                <w:szCs w:val="24"/>
                <w:highlight w:val="none"/>
                <w:lang w:val="en-US" w:eastAsia="zh-CN"/>
              </w:rPr>
              <w:t>·kg</w:t>
            </w:r>
            <w:r>
              <w:rPr>
                <w:rFonts w:hint="default" w:ascii="Times New Roman" w:hAnsi="Times New Roman" w:cs="Times New Roman"/>
                <w:b w:val="0"/>
                <w:bCs/>
                <w:color w:val="auto"/>
                <w:sz w:val="24"/>
                <w:szCs w:val="24"/>
                <w:highlight w:val="none"/>
                <w:vertAlign w:val="superscript"/>
                <w:lang w:val="en-US" w:eastAsia="zh-CN"/>
              </w:rPr>
              <w:t>-1</w:t>
            </w:r>
            <w:r>
              <w:rPr>
                <w:rFonts w:hint="default" w:ascii="Times New Roman" w:hAnsi="Times New Roman" w:cs="Times New Roman"/>
                <w:b w:val="0"/>
                <w:bCs/>
                <w:color w:val="auto"/>
                <w:sz w:val="24"/>
                <w:szCs w:val="24"/>
                <w:highlight w:val="none"/>
                <w:lang w:val="en-US" w:eastAsia="zh-CN"/>
              </w:rPr>
              <w:t>，由《辐射防护导论》附表1查得，空气质量能量吸收系数为2.787×10</w:t>
            </w:r>
            <w:r>
              <w:rPr>
                <w:rFonts w:hint="default" w:ascii="Times New Roman" w:hAnsi="Times New Roman" w:cs="Times New Roman"/>
                <w:b w:val="0"/>
                <w:bCs/>
                <w:color w:val="auto"/>
                <w:sz w:val="24"/>
                <w:szCs w:val="24"/>
                <w:highlight w:val="none"/>
                <w:vertAlign w:val="superscript"/>
                <w:lang w:val="en-US" w:eastAsia="zh-CN"/>
              </w:rPr>
              <w:t>-3</w:t>
            </w:r>
            <w:r>
              <w:rPr>
                <w:rFonts w:hint="default" w:ascii="Times New Roman" w:hAnsi="Times New Roman" w:cs="Times New Roman"/>
                <w:b w:val="0"/>
                <w:bCs/>
                <w:color w:val="auto"/>
                <w:sz w:val="24"/>
                <w:szCs w:val="24"/>
                <w:highlight w:val="none"/>
                <w:lang w:val="en-US" w:eastAsia="zh-CN"/>
              </w:rPr>
              <w:t>m</w:t>
            </w:r>
            <w:r>
              <w:rPr>
                <w:rFonts w:hint="default" w:ascii="Times New Roman" w:hAnsi="Times New Roman" w:cs="Times New Roman"/>
                <w:b w:val="0"/>
                <w:bCs/>
                <w:color w:val="auto"/>
                <w:sz w:val="24"/>
                <w:szCs w:val="24"/>
                <w:highlight w:val="none"/>
                <w:vertAlign w:val="superscript"/>
                <w:lang w:val="en-US" w:eastAsia="zh-CN"/>
              </w:rPr>
              <w:t>2</w:t>
            </w:r>
            <w:r>
              <w:rPr>
                <w:rFonts w:hint="default" w:ascii="Times New Roman" w:hAnsi="Times New Roman" w:cs="Times New Roman"/>
                <w:b w:val="0"/>
                <w:bCs/>
                <w:color w:val="auto"/>
                <w:sz w:val="24"/>
                <w:szCs w:val="24"/>
                <w:highlight w:val="none"/>
                <w:lang w:val="en-US" w:eastAsia="zh-CN"/>
              </w:rPr>
              <w:t>·kg</w:t>
            </w:r>
            <w:r>
              <w:rPr>
                <w:rFonts w:hint="default" w:ascii="Times New Roman" w:hAnsi="Times New Roman" w:cs="Times New Roman"/>
                <w:b w:val="0"/>
                <w:bCs/>
                <w:color w:val="auto"/>
                <w:sz w:val="24"/>
                <w:szCs w:val="24"/>
                <w:highlight w:val="none"/>
                <w:vertAlign w:val="superscript"/>
                <w:lang w:val="en-US" w:eastAsia="zh-CN"/>
              </w:rPr>
              <w:t>-1</w:t>
            </w:r>
            <w:r>
              <w:rPr>
                <w:rFonts w:hint="default" w:ascii="Times New Roman" w:hAnsi="Times New Roman" w:cs="Times New Roman"/>
                <w:b w:val="0"/>
                <w:bCs/>
                <w:color w:val="auto"/>
                <w:sz w:val="24"/>
                <w:szCs w:val="24"/>
                <w:highlight w:val="none"/>
                <w:lang w:val="en-US" w:eastAsia="zh-CN"/>
              </w:rPr>
              <w:t>；</w:t>
            </w:r>
          </w:p>
          <w:p w14:paraId="0EBF1572">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lang w:val="en-US" w:eastAsia="zh-CN"/>
              </w:rPr>
              <w:t xml:space="preserve">A——放射源活度，Bq； </w:t>
            </w:r>
          </w:p>
          <w:p w14:paraId="78B4F8DA">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Z——屏蔽材料的有效原子序数</w:t>
            </w:r>
            <w:r>
              <w:rPr>
                <w:rFonts w:hint="eastAsia" w:cs="Times New Roman"/>
                <w:b w:val="0"/>
                <w:bCs/>
                <w:color w:val="auto"/>
                <w:sz w:val="24"/>
                <w:szCs w:val="24"/>
                <w:highlight w:val="none"/>
                <w:lang w:val="en-US" w:eastAsia="zh-CN"/>
              </w:rPr>
              <w:t>，</w:t>
            </w:r>
            <w:r>
              <w:rPr>
                <w:rFonts w:hint="default" w:ascii="Times New Roman" w:hAnsi="Times New Roman" w:cs="Times New Roman"/>
                <w:b w:val="0"/>
                <w:bCs/>
                <w:color w:val="auto"/>
                <w:sz w:val="24"/>
                <w:szCs w:val="24"/>
                <w:highlight w:val="none"/>
                <w:lang w:val="en-US" w:eastAsia="zh-CN"/>
              </w:rPr>
              <w:t>空气有效原子序数为7.36;</w:t>
            </w:r>
          </w:p>
          <w:p w14:paraId="574A5746">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lang w:val="en-US" w:eastAsia="zh-CN"/>
              </w:rPr>
              <w:t>2）有辐射屏蔽时，随距离变化的空气吸收剂量率计算公式：</w:t>
            </w:r>
          </w:p>
          <w:p w14:paraId="4E6DDA53">
            <w:pPr>
              <w:keepNext w:val="0"/>
              <w:keepLines w:val="0"/>
              <w:widowControl/>
              <w:suppressLineNumbers w:val="0"/>
              <w:spacing w:before="0" w:beforeAutospacing="0" w:after="0" w:afterAutospacing="0" w:line="360" w:lineRule="auto"/>
              <w:ind w:left="0" w:right="0" w:firstLine="480" w:firstLineChars="200"/>
              <w:jc w:val="center"/>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i/>
                <w:iCs/>
                <w:color w:val="auto"/>
                <w:sz w:val="24"/>
                <w:szCs w:val="24"/>
                <w:highlight w:val="none"/>
                <w:lang w:val="en-US" w:eastAsia="zh-CN"/>
              </w:rPr>
              <w:t>H</w:t>
            </w:r>
            <w:r>
              <w:rPr>
                <w:rFonts w:hint="default" w:ascii="Times New Roman" w:hAnsi="Times New Roman" w:cs="Times New Roman"/>
                <w:b w:val="0"/>
                <w:bCs/>
                <w:color w:val="auto"/>
                <w:sz w:val="24"/>
                <w:szCs w:val="24"/>
                <w:highlight w:val="none"/>
                <w:lang w:val="en-US" w:eastAsia="zh-CN"/>
              </w:rPr>
              <w:t>=</w:t>
            </w:r>
            <w:r>
              <w:rPr>
                <w:rFonts w:hint="default" w:ascii="Times New Roman" w:hAnsi="Times New Roman" w:cs="Times New Roman"/>
                <w:b w:val="0"/>
                <w:bCs/>
                <w:i/>
                <w:iCs/>
                <w:color w:val="auto"/>
                <w:sz w:val="24"/>
                <w:szCs w:val="24"/>
                <w:highlight w:val="none"/>
                <w:lang w:val="en-US" w:eastAsia="zh-CN"/>
              </w:rPr>
              <w:t>H</w:t>
            </w:r>
            <w:r>
              <w:rPr>
                <w:rFonts w:hint="default" w:ascii="Times New Roman" w:hAnsi="Times New Roman" w:cs="Times New Roman"/>
                <w:b w:val="0"/>
                <w:bCs/>
                <w:i/>
                <w:iCs/>
                <w:color w:val="auto"/>
                <w:sz w:val="24"/>
                <w:szCs w:val="24"/>
                <w:highlight w:val="none"/>
                <w:vertAlign w:val="subscript"/>
                <w:lang w:val="en-US" w:eastAsia="zh-CN"/>
              </w:rPr>
              <w:t>0</w:t>
            </w:r>
            <w:r>
              <w:rPr>
                <w:rFonts w:hint="default" w:ascii="Times New Roman" w:hAnsi="Times New Roman" w:cs="Times New Roman"/>
                <w:b w:val="0"/>
                <w:bCs/>
                <w:color w:val="auto"/>
                <w:sz w:val="24"/>
                <w:szCs w:val="24"/>
                <w:highlight w:val="none"/>
                <w:lang w:val="en-US" w:eastAsia="zh-CN"/>
              </w:rPr>
              <w:t>×K</w:t>
            </w:r>
            <w:r>
              <w:rPr>
                <w:rFonts w:hint="default" w:ascii="Times New Roman" w:hAnsi="Times New Roman" w:cs="Times New Roman"/>
                <w:b w:val="0"/>
                <w:bCs/>
                <w:color w:val="auto"/>
                <w:sz w:val="24"/>
                <w:szCs w:val="24"/>
                <w:highlight w:val="none"/>
                <w:vertAlign w:val="superscript"/>
                <w:lang w:val="en-US" w:eastAsia="zh-CN"/>
              </w:rPr>
              <w:t>-1</w:t>
            </w:r>
            <w:r>
              <w:rPr>
                <w:rFonts w:hint="default" w:ascii="Times New Roman" w:hAnsi="Times New Roman" w:cs="Times New Roman"/>
                <w:b w:val="0"/>
                <w:bCs/>
                <w:color w:val="auto"/>
                <w:sz w:val="24"/>
                <w:szCs w:val="24"/>
                <w:highlight w:val="none"/>
                <w:lang w:val="en-US" w:eastAsia="zh-CN"/>
              </w:rPr>
              <w:t xml:space="preserve">   （公式</w:t>
            </w:r>
            <w:r>
              <w:rPr>
                <w:rFonts w:hint="eastAsia" w:cs="Times New Roman"/>
                <w:b w:val="0"/>
                <w:bCs/>
                <w:color w:val="auto"/>
                <w:sz w:val="24"/>
                <w:szCs w:val="24"/>
                <w:highlight w:val="none"/>
                <w:lang w:val="en-US" w:eastAsia="zh-CN"/>
              </w:rPr>
              <w:t>11-6</w:t>
            </w:r>
            <w:r>
              <w:rPr>
                <w:rFonts w:hint="default" w:ascii="Times New Roman" w:hAnsi="Times New Roman" w:cs="Times New Roman"/>
                <w:b w:val="0"/>
                <w:bCs/>
                <w:color w:val="auto"/>
                <w:sz w:val="24"/>
                <w:szCs w:val="24"/>
                <w:highlight w:val="none"/>
                <w:lang w:val="en-US" w:eastAsia="zh-CN"/>
              </w:rPr>
              <w:t>）</w:t>
            </w:r>
          </w:p>
          <w:p w14:paraId="0A175ADA">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i/>
                <w:iCs/>
                <w:color w:val="auto"/>
                <w:sz w:val="24"/>
                <w:szCs w:val="24"/>
                <w:highlight w:val="none"/>
                <w:lang w:val="en-US" w:eastAsia="zh-CN"/>
              </w:rPr>
              <w:t>H</w:t>
            </w:r>
            <w:r>
              <w:rPr>
                <w:rFonts w:hint="default" w:ascii="Times New Roman" w:hAnsi="Times New Roman" w:cs="Times New Roman"/>
                <w:b w:val="0"/>
                <w:bCs/>
                <w:i/>
                <w:iCs/>
                <w:color w:val="auto"/>
                <w:sz w:val="24"/>
                <w:szCs w:val="24"/>
                <w:highlight w:val="none"/>
                <w:vertAlign w:val="subscript"/>
                <w:lang w:val="en-US" w:eastAsia="zh-CN"/>
              </w:rPr>
              <w:t>0</w:t>
            </w:r>
            <w:r>
              <w:rPr>
                <w:rFonts w:hint="default" w:ascii="Times New Roman" w:hAnsi="Times New Roman" w:cs="Times New Roman"/>
                <w:b/>
                <w:color w:val="auto"/>
                <w:sz w:val="24"/>
                <w:szCs w:val="24"/>
                <w:highlight w:val="none"/>
                <w:lang w:val="en-US" w:eastAsia="zh-CN"/>
              </w:rPr>
              <w:t>——</w:t>
            </w:r>
            <w:r>
              <w:rPr>
                <w:rFonts w:hint="default" w:ascii="Times New Roman" w:hAnsi="Times New Roman" w:cs="Times New Roman"/>
                <w:b w:val="0"/>
                <w:bCs/>
                <w:color w:val="auto"/>
                <w:sz w:val="24"/>
                <w:szCs w:val="24"/>
                <w:highlight w:val="none"/>
                <w:lang w:val="en-US" w:eastAsia="zh-CN"/>
              </w:rPr>
              <w:t xml:space="preserve">无辐射屏蔽时，在距源R处的空气吸收剂量率，Gy/h； </w:t>
            </w:r>
          </w:p>
          <w:p w14:paraId="610FCF06">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i/>
                <w:iCs/>
                <w:color w:val="auto"/>
                <w:sz w:val="24"/>
                <w:szCs w:val="24"/>
                <w:highlight w:val="none"/>
                <w:lang w:val="en-US" w:eastAsia="zh-CN"/>
              </w:rPr>
              <w:t>H</w:t>
            </w:r>
            <w:r>
              <w:rPr>
                <w:rFonts w:hint="default" w:ascii="Times New Roman" w:hAnsi="Times New Roman" w:cs="Times New Roman"/>
                <w:b w:val="0"/>
                <w:bCs/>
                <w:color w:val="auto"/>
                <w:sz w:val="24"/>
                <w:szCs w:val="24"/>
                <w:highlight w:val="none"/>
                <w:lang w:val="en-US" w:eastAsia="zh-CN"/>
              </w:rPr>
              <w:t>——屏蔽减弱系数为K</w:t>
            </w:r>
            <w:r>
              <w:rPr>
                <w:rFonts w:hint="default" w:ascii="Times New Roman" w:hAnsi="Times New Roman" w:cs="Times New Roman"/>
                <w:b w:val="0"/>
                <w:bCs/>
                <w:color w:val="auto"/>
                <w:sz w:val="24"/>
                <w:szCs w:val="24"/>
                <w:highlight w:val="none"/>
                <w:vertAlign w:val="superscript"/>
                <w:lang w:val="en-US" w:eastAsia="zh-CN"/>
              </w:rPr>
              <w:t>-1</w:t>
            </w:r>
            <w:r>
              <w:rPr>
                <w:rFonts w:hint="default" w:ascii="Times New Roman" w:hAnsi="Times New Roman" w:cs="Times New Roman"/>
                <w:b w:val="0"/>
                <w:bCs/>
                <w:color w:val="auto"/>
                <w:sz w:val="24"/>
                <w:szCs w:val="24"/>
                <w:highlight w:val="none"/>
                <w:lang w:val="en-US" w:eastAsia="zh-CN"/>
              </w:rPr>
              <w:t>时，在距源R处的空气吸收剂量率，Gy/h；</w:t>
            </w:r>
          </w:p>
          <w:p w14:paraId="0302CABC">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lang w:val="en-US" w:eastAsia="zh-CN"/>
              </w:rPr>
              <w:t>K</w:t>
            </w:r>
            <w:r>
              <w:rPr>
                <w:rFonts w:hint="default" w:ascii="Times New Roman" w:hAnsi="Times New Roman" w:cs="Times New Roman"/>
                <w:b w:val="0"/>
                <w:bCs/>
                <w:color w:val="auto"/>
                <w:sz w:val="24"/>
                <w:szCs w:val="24"/>
                <w:highlight w:val="none"/>
                <w:vertAlign w:val="superscript"/>
                <w:lang w:val="en-US" w:eastAsia="zh-CN"/>
              </w:rPr>
              <w:t>-1</w:t>
            </w:r>
            <w:r>
              <w:rPr>
                <w:rFonts w:hint="default" w:ascii="Times New Roman" w:hAnsi="Times New Roman" w:cs="Times New Roman"/>
                <w:b w:val="0"/>
                <w:bCs/>
                <w:color w:val="auto"/>
                <w:sz w:val="24"/>
                <w:szCs w:val="24"/>
                <w:highlight w:val="none"/>
                <w:lang w:val="en-US" w:eastAsia="zh-CN"/>
              </w:rPr>
              <w:t>——屏蔽减弱系数，无量纲。</w:t>
            </w:r>
          </w:p>
          <w:p w14:paraId="4893ADEC">
            <w:pPr>
              <w:keepNext w:val="0"/>
              <w:keepLines w:val="0"/>
              <w:widowControl/>
              <w:suppressLineNumbers w:val="0"/>
              <w:spacing w:before="0" w:beforeAutospacing="0" w:after="0" w:afterAutospacing="0" w:line="360" w:lineRule="auto"/>
              <w:ind w:left="0" w:right="0" w:firstLine="720" w:firstLineChars="3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lang w:val="en-US" w:eastAsia="zh-CN"/>
              </w:rPr>
              <w:t xml:space="preserve">③屏蔽减弱系数计算公式： </w:t>
            </w:r>
          </w:p>
          <w:p w14:paraId="53649CBA">
            <w:pPr>
              <w:keepNext w:val="0"/>
              <w:keepLines w:val="0"/>
              <w:widowControl/>
              <w:suppressLineNumbers w:val="0"/>
              <w:spacing w:before="0" w:beforeAutospacing="0" w:after="0" w:afterAutospacing="0" w:line="360" w:lineRule="auto"/>
              <w:ind w:left="0" w:right="0" w:firstLine="480" w:firstLineChars="200"/>
              <w:jc w:val="center"/>
              <w:rPr>
                <w:rFonts w:hint="default" w:ascii="Times New Roman" w:hAnsi="Times New Roman" w:cs="Times New Roman"/>
                <w:b w:val="0"/>
                <w:bCs/>
                <w:color w:val="auto"/>
                <w:sz w:val="24"/>
                <w:szCs w:val="24"/>
                <w:highlight w:val="none"/>
                <w:lang w:val="en-US"/>
              </w:rPr>
            </w:pPr>
            <w:r>
              <w:rPr>
                <w:rFonts w:hint="default" w:ascii="Times New Roman" w:hAnsi="Times New Roman" w:cs="Times New Roman"/>
                <w:b w:val="0"/>
                <w:bCs/>
                <w:color w:val="auto"/>
                <w:sz w:val="24"/>
                <w:szCs w:val="24"/>
                <w:highlight w:val="none"/>
                <w:lang w:val="en-US" w:eastAsia="zh-CN"/>
              </w:rPr>
              <w:t>K</w:t>
            </w:r>
            <w:r>
              <w:rPr>
                <w:rFonts w:hint="default" w:ascii="Times New Roman" w:hAnsi="Times New Roman" w:cs="Times New Roman"/>
                <w:b w:val="0"/>
                <w:bCs/>
                <w:color w:val="auto"/>
                <w:sz w:val="24"/>
                <w:szCs w:val="24"/>
                <w:highlight w:val="none"/>
                <w:vertAlign w:val="superscript"/>
                <w:lang w:val="en-US" w:eastAsia="zh-CN"/>
              </w:rPr>
              <w:t>-1</w:t>
            </w:r>
            <w:r>
              <w:rPr>
                <w:rFonts w:hint="default" w:ascii="Times New Roman" w:hAnsi="Times New Roman" w:cs="Times New Roman"/>
                <w:b w:val="0"/>
                <w:bCs/>
                <w:color w:val="auto"/>
                <w:sz w:val="24"/>
                <w:szCs w:val="24"/>
                <w:highlight w:val="none"/>
                <w:lang w:val="en-US" w:eastAsia="zh-CN"/>
              </w:rPr>
              <w:t>=2</w:t>
            </w:r>
            <w:r>
              <w:rPr>
                <w:rFonts w:hint="default" w:ascii="Times New Roman" w:hAnsi="Times New Roman" w:cs="Times New Roman"/>
                <w:b w:val="0"/>
                <w:bCs/>
                <w:color w:val="auto"/>
                <w:sz w:val="24"/>
                <w:szCs w:val="24"/>
                <w:highlight w:val="none"/>
                <w:vertAlign w:val="superscript"/>
                <w:lang w:val="en-US" w:eastAsia="zh-CN"/>
              </w:rPr>
              <w:t xml:space="preserve">-dp/HVL </w:t>
            </w:r>
            <w:r>
              <w:rPr>
                <w:rFonts w:hint="default" w:ascii="Times New Roman" w:hAnsi="Times New Roman" w:cs="Times New Roman"/>
                <w:b w:val="0"/>
                <w:bCs/>
                <w:color w:val="auto"/>
                <w:sz w:val="24"/>
                <w:szCs w:val="24"/>
                <w:highlight w:val="none"/>
                <w:vertAlign w:val="baseline"/>
                <w:lang w:val="en-US" w:eastAsia="zh-CN"/>
              </w:rPr>
              <w:t>（公式</w:t>
            </w:r>
            <w:r>
              <w:rPr>
                <w:rFonts w:hint="eastAsia" w:cs="Times New Roman"/>
                <w:b w:val="0"/>
                <w:bCs/>
                <w:color w:val="auto"/>
                <w:sz w:val="24"/>
                <w:szCs w:val="24"/>
                <w:highlight w:val="none"/>
                <w:vertAlign w:val="baseline"/>
                <w:lang w:val="en-US" w:eastAsia="zh-CN"/>
              </w:rPr>
              <w:t>11-7</w:t>
            </w:r>
            <w:r>
              <w:rPr>
                <w:rFonts w:hint="default" w:ascii="Times New Roman" w:hAnsi="Times New Roman" w:cs="Times New Roman"/>
                <w:b w:val="0"/>
                <w:bCs/>
                <w:color w:val="auto"/>
                <w:sz w:val="24"/>
                <w:szCs w:val="24"/>
                <w:highlight w:val="none"/>
                <w:vertAlign w:val="baseline"/>
                <w:lang w:val="en-US" w:eastAsia="zh-CN"/>
              </w:rPr>
              <w:t>）</w:t>
            </w:r>
          </w:p>
          <w:p w14:paraId="32FA5599">
            <w:pPr>
              <w:keepNext w:val="0"/>
              <w:keepLines w:val="0"/>
              <w:widowControl/>
              <w:suppressLineNumbers w:val="0"/>
              <w:spacing w:before="0" w:beforeAutospacing="0" w:after="0" w:afterAutospacing="0" w:line="360" w:lineRule="auto"/>
              <w:ind w:left="0" w:right="0" w:firstLine="720" w:firstLineChars="3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lang w:val="en-US" w:eastAsia="zh-CN"/>
              </w:rPr>
              <w:t xml:space="preserve">式中： </w:t>
            </w:r>
          </w:p>
          <w:p w14:paraId="36C56B8C">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lang w:val="en-US" w:eastAsia="zh-CN"/>
              </w:rPr>
              <w:t>HVL——半值层厚度，mm；铅对 Y-90 韧致辐射半值层为8.4mm</w:t>
            </w:r>
          </w:p>
          <w:p w14:paraId="39023752">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lang w:val="en-US" w:eastAsia="zh-CN"/>
              </w:rPr>
              <w:t>dp——屏蔽层厚度，mm；</w:t>
            </w:r>
          </w:p>
          <w:p w14:paraId="6FBAA2B6">
            <w:pPr>
              <w:keepNext w:val="0"/>
              <w:keepLines w:val="0"/>
              <w:widowControl/>
              <w:suppressLineNumbers w:val="0"/>
              <w:spacing w:before="0" w:beforeAutospacing="0" w:after="0" w:afterAutospacing="0" w:line="360" w:lineRule="auto"/>
              <w:ind w:left="0" w:right="0" w:firstLine="960" w:firstLineChars="400"/>
              <w:jc w:val="left"/>
              <w:rPr>
                <w:rFonts w:hint="default" w:ascii="Times New Roman" w:hAnsi="Times New Roman" w:cs="Times New Roman"/>
                <w:b w:val="0"/>
                <w:bCs/>
                <w:color w:val="auto"/>
                <w:sz w:val="24"/>
                <w:szCs w:val="24"/>
                <w:highlight w:val="none"/>
              </w:rPr>
            </w:pPr>
            <w:r>
              <w:rPr>
                <w:rFonts w:hint="default" w:ascii="Times New Roman" w:hAnsi="Times New Roman" w:cs="Times New Roman"/>
                <w:b w:val="0"/>
                <w:bCs/>
                <w:color w:val="auto"/>
                <w:sz w:val="24"/>
                <w:szCs w:val="24"/>
                <w:highlight w:val="none"/>
                <w:lang w:val="en-US" w:eastAsia="zh-CN"/>
              </w:rPr>
              <w:t>K</w:t>
            </w:r>
            <w:r>
              <w:rPr>
                <w:rFonts w:hint="default" w:ascii="Times New Roman" w:hAnsi="Times New Roman" w:cs="Times New Roman"/>
                <w:b w:val="0"/>
                <w:bCs/>
                <w:color w:val="auto"/>
                <w:sz w:val="24"/>
                <w:szCs w:val="24"/>
                <w:highlight w:val="none"/>
                <w:vertAlign w:val="superscript"/>
                <w:lang w:val="en-US" w:eastAsia="zh-CN"/>
              </w:rPr>
              <w:t>-1</w:t>
            </w:r>
            <w:r>
              <w:rPr>
                <w:rFonts w:hint="default" w:ascii="Times New Roman" w:hAnsi="Times New Roman" w:cs="Times New Roman"/>
                <w:b w:val="0"/>
                <w:bCs/>
                <w:color w:val="auto"/>
                <w:sz w:val="24"/>
                <w:szCs w:val="24"/>
                <w:highlight w:val="none"/>
                <w:lang w:val="en-US" w:eastAsia="zh-CN"/>
              </w:rPr>
              <w:t>——屏蔽减弱系数，无量纲。</w:t>
            </w:r>
          </w:p>
          <w:p w14:paraId="108F890D">
            <w:pPr>
              <w:keepNext w:val="0"/>
              <w:keepLines w:val="0"/>
              <w:widowControl/>
              <w:suppressLineNumbers w:val="0"/>
              <w:spacing w:before="0" w:beforeAutospacing="0" w:after="0" w:afterAutospacing="0" w:line="360" w:lineRule="auto"/>
              <w:ind w:left="0" w:right="0" w:firstLine="482" w:firstLineChars="200"/>
              <w:jc w:val="center"/>
              <w:rPr>
                <w:rFonts w:hint="default" w:ascii="Times New Roman" w:hAnsi="Times New Roman" w:cs="Times New Roman"/>
                <w:b/>
                <w:color w:val="auto"/>
                <w:sz w:val="24"/>
                <w:szCs w:val="24"/>
                <w:highlight w:val="none"/>
                <w:lang w:val="en-US" w:eastAsia="zh-CN"/>
              </w:rPr>
            </w:pPr>
          </w:p>
          <w:p w14:paraId="032F3B6B">
            <w:pPr>
              <w:keepNext w:val="0"/>
              <w:keepLines w:val="0"/>
              <w:widowControl/>
              <w:suppressLineNumbers w:val="0"/>
              <w:spacing w:before="0" w:beforeAutospacing="0" w:after="0" w:afterAutospacing="0" w:line="360" w:lineRule="auto"/>
              <w:ind w:left="0" w:right="0" w:firstLine="482" w:firstLineChars="200"/>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表11-</w:t>
            </w:r>
            <w:r>
              <w:rPr>
                <w:rFonts w:hint="eastAsia" w:cs="Times New Roman"/>
                <w:b/>
                <w:color w:val="auto"/>
                <w:sz w:val="24"/>
                <w:szCs w:val="24"/>
                <w:highlight w:val="none"/>
                <w:lang w:val="en-US" w:eastAsia="zh-CN"/>
              </w:rPr>
              <w:t>9</w:t>
            </w:r>
            <w:r>
              <w:rPr>
                <w:rFonts w:hint="default" w:ascii="Times New Roman" w:hAnsi="Times New Roman" w:cs="Times New Roman"/>
                <w:b/>
                <w:color w:val="auto"/>
                <w:sz w:val="24"/>
                <w:szCs w:val="24"/>
                <w:highlight w:val="none"/>
                <w:lang w:val="en-US" w:eastAsia="zh-CN"/>
              </w:rPr>
              <w:t xml:space="preserve">  Y-90 韧致辐射计算参数</w:t>
            </w:r>
          </w:p>
          <w:tbl>
            <w:tblPr>
              <w:tblStyle w:val="23"/>
              <w:tblW w:w="9597" w:type="dxa"/>
              <w:tblInd w:w="-7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20"/>
              <w:gridCol w:w="3464"/>
              <w:gridCol w:w="1017"/>
              <w:gridCol w:w="1276"/>
              <w:gridCol w:w="1920"/>
            </w:tblGrid>
            <w:tr w14:paraId="6C4B08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920" w:type="dxa"/>
                  <w:tcBorders>
                    <w:tl2br w:val="nil"/>
                    <w:tr2bl w:val="nil"/>
                  </w:tcBorders>
                  <w:noWrap w:val="0"/>
                  <w:vAlign w:val="center"/>
                </w:tcPr>
                <w:p w14:paraId="7A1F7051">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场所</w:t>
                  </w:r>
                </w:p>
              </w:tc>
              <w:tc>
                <w:tcPr>
                  <w:tcW w:w="3464" w:type="dxa"/>
                  <w:tcBorders>
                    <w:tl2br w:val="nil"/>
                    <w:tr2bl w:val="nil"/>
                  </w:tcBorders>
                  <w:noWrap w:val="0"/>
                  <w:vAlign w:val="center"/>
                </w:tcPr>
                <w:p w14:paraId="5485F0B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A（Bq）</w:t>
                  </w:r>
                </w:p>
              </w:tc>
              <w:tc>
                <w:tcPr>
                  <w:tcW w:w="1017" w:type="dxa"/>
                  <w:tcBorders>
                    <w:tl2br w:val="nil"/>
                    <w:tr2bl w:val="nil"/>
                  </w:tcBorders>
                  <w:noWrap w:val="0"/>
                  <w:vAlign w:val="center"/>
                </w:tcPr>
                <w:p w14:paraId="62CBDBD1">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Z</w:t>
                  </w:r>
                </w:p>
              </w:tc>
              <w:tc>
                <w:tcPr>
                  <w:tcW w:w="1276" w:type="dxa"/>
                  <w:tcBorders>
                    <w:tl2br w:val="nil"/>
                    <w:tr2bl w:val="nil"/>
                  </w:tcBorders>
                  <w:noWrap w:val="0"/>
                  <w:vAlign w:val="center"/>
                </w:tcPr>
                <w:p w14:paraId="693DCEF2">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Eb（MeV）</w:t>
                  </w:r>
                </w:p>
              </w:tc>
              <w:tc>
                <w:tcPr>
                  <w:tcW w:w="1920" w:type="dxa"/>
                  <w:tcBorders>
                    <w:tl2br w:val="nil"/>
                    <w:tr2bl w:val="nil"/>
                  </w:tcBorders>
                  <w:noWrap w:val="0"/>
                  <w:vAlign w:val="center"/>
                </w:tcPr>
                <w:p w14:paraId="3BC9FA6F">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μen/ρ（m</w:t>
                  </w:r>
                  <w:r>
                    <w:rPr>
                      <w:rFonts w:hint="default" w:ascii="Times New Roman" w:hAnsi="Times New Roman" w:eastAsia="宋体" w:cs="Times New Roman"/>
                      <w:color w:val="auto"/>
                      <w:sz w:val="21"/>
                      <w:szCs w:val="20"/>
                      <w:highlight w:val="none"/>
                      <w:vertAlign w:val="superscript"/>
                      <w:lang w:val="en-US" w:eastAsia="zh-CN"/>
                    </w:rPr>
                    <w:t>2</w:t>
                  </w:r>
                  <w:r>
                    <w:rPr>
                      <w:rFonts w:hint="default" w:ascii="Times New Roman" w:hAnsi="Times New Roman" w:eastAsia="宋体" w:cs="Times New Roman"/>
                      <w:color w:val="auto"/>
                      <w:sz w:val="21"/>
                      <w:szCs w:val="20"/>
                      <w:highlight w:val="none"/>
                      <w:lang w:val="en-US" w:eastAsia="zh-CN"/>
                    </w:rPr>
                    <w:t>/kg）</w:t>
                  </w:r>
                </w:p>
              </w:tc>
            </w:tr>
            <w:tr w14:paraId="28EA74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920" w:type="dxa"/>
                  <w:tcBorders>
                    <w:tl2br w:val="nil"/>
                    <w:tr2bl w:val="nil"/>
                  </w:tcBorders>
                  <w:noWrap w:val="0"/>
                  <w:vAlign w:val="center"/>
                </w:tcPr>
                <w:p w14:paraId="7C0B6079">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介入</w:t>
                  </w:r>
                  <w:r>
                    <w:rPr>
                      <w:rFonts w:hint="eastAsia" w:cs="Times New Roman"/>
                      <w:color w:val="auto"/>
                      <w:sz w:val="21"/>
                      <w:szCs w:val="20"/>
                      <w:highlight w:val="none"/>
                      <w:lang w:val="en-US" w:eastAsia="zh-CN"/>
                    </w:rPr>
                    <w:t>手术2</w:t>
                  </w:r>
                  <w:r>
                    <w:rPr>
                      <w:rFonts w:hint="default" w:ascii="Times New Roman" w:hAnsi="Times New Roman" w:eastAsia="宋体" w:cs="Times New Roman"/>
                      <w:color w:val="auto"/>
                      <w:sz w:val="21"/>
                      <w:szCs w:val="20"/>
                      <w:highlight w:val="none"/>
                      <w:lang w:val="en-US" w:eastAsia="zh-CN"/>
                    </w:rPr>
                    <w:t>室</w:t>
                  </w:r>
                </w:p>
              </w:tc>
              <w:tc>
                <w:tcPr>
                  <w:tcW w:w="3464" w:type="dxa"/>
                  <w:tcBorders>
                    <w:tl2br w:val="nil"/>
                    <w:tr2bl w:val="nil"/>
                  </w:tcBorders>
                  <w:noWrap w:val="0"/>
                  <w:vAlign w:val="center"/>
                </w:tcPr>
                <w:p w14:paraId="1634E9E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2.50E+09</w:t>
                  </w:r>
                </w:p>
              </w:tc>
              <w:tc>
                <w:tcPr>
                  <w:tcW w:w="1017" w:type="dxa"/>
                  <w:tcBorders>
                    <w:tl2br w:val="nil"/>
                    <w:tr2bl w:val="nil"/>
                  </w:tcBorders>
                  <w:noWrap w:val="0"/>
                  <w:vAlign w:val="center"/>
                </w:tcPr>
                <w:p w14:paraId="577137B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7.36</w:t>
                  </w:r>
                </w:p>
              </w:tc>
              <w:tc>
                <w:tcPr>
                  <w:tcW w:w="1276" w:type="dxa"/>
                  <w:tcBorders>
                    <w:tl2br w:val="nil"/>
                    <w:tr2bl w:val="nil"/>
                  </w:tcBorders>
                  <w:noWrap w:val="0"/>
                  <w:vAlign w:val="center"/>
                </w:tcPr>
                <w:p w14:paraId="498A88BF">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0.76</w:t>
                  </w:r>
                </w:p>
              </w:tc>
              <w:tc>
                <w:tcPr>
                  <w:tcW w:w="1920" w:type="dxa"/>
                  <w:tcBorders>
                    <w:tl2br w:val="nil"/>
                    <w:tr2bl w:val="nil"/>
                  </w:tcBorders>
                  <w:noWrap w:val="0"/>
                  <w:vAlign w:val="center"/>
                </w:tcPr>
                <w:p w14:paraId="4C05D039">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2.787E-03</w:t>
                  </w:r>
                </w:p>
              </w:tc>
            </w:tr>
          </w:tbl>
          <w:p w14:paraId="7E2C8273">
            <w:pPr>
              <w:keepNext w:val="0"/>
              <w:keepLines w:val="0"/>
              <w:widowControl/>
              <w:suppressLineNumbers w:val="0"/>
              <w:spacing w:before="0" w:beforeAutospacing="0" w:after="0" w:afterAutospacing="0" w:line="360" w:lineRule="auto"/>
              <w:ind w:left="0" w:right="0" w:firstLine="482" w:firstLineChars="200"/>
              <w:jc w:val="center"/>
              <w:rPr>
                <w:rFonts w:hint="default" w:ascii="Times New Roman" w:hAnsi="Times New Roman" w:cs="Times New Roman"/>
                <w:b/>
                <w:color w:val="auto"/>
                <w:sz w:val="24"/>
                <w:szCs w:val="24"/>
                <w:highlight w:val="none"/>
                <w:lang w:val="en-US" w:eastAsia="zh-CN"/>
              </w:rPr>
            </w:pPr>
          </w:p>
          <w:p w14:paraId="3AB11A8E">
            <w:pPr>
              <w:keepNext w:val="0"/>
              <w:keepLines w:val="0"/>
              <w:widowControl/>
              <w:suppressLineNumbers w:val="0"/>
              <w:spacing w:before="0" w:beforeAutospacing="0" w:after="0" w:afterAutospacing="0" w:line="360" w:lineRule="auto"/>
              <w:ind w:left="0" w:right="0" w:firstLine="482" w:firstLineChars="200"/>
              <w:jc w:val="center"/>
              <w:rPr>
                <w:rFonts w:hint="default" w:ascii="Times New Roman" w:hAnsi="Times New Roman" w:cs="Times New Roman"/>
                <w:b/>
                <w:color w:val="auto"/>
                <w:sz w:val="24"/>
                <w:szCs w:val="24"/>
                <w:highlight w:val="none"/>
                <w:lang w:val="en-US" w:eastAsia="zh-CN"/>
              </w:rPr>
            </w:pPr>
          </w:p>
          <w:p w14:paraId="5E448AC8">
            <w:pPr>
              <w:keepNext w:val="0"/>
              <w:keepLines w:val="0"/>
              <w:widowControl/>
              <w:suppressLineNumbers w:val="0"/>
              <w:spacing w:before="0" w:beforeAutospacing="0" w:after="0" w:afterAutospacing="0" w:line="360" w:lineRule="auto"/>
              <w:ind w:left="0" w:right="0" w:firstLine="482" w:firstLineChars="200"/>
              <w:jc w:val="center"/>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lang w:val="en-US" w:eastAsia="zh-CN"/>
              </w:rPr>
              <w:t>表11-</w:t>
            </w:r>
            <w:r>
              <w:rPr>
                <w:rFonts w:hint="eastAsia" w:cs="Times New Roman"/>
                <w:b/>
                <w:color w:val="auto"/>
                <w:sz w:val="24"/>
                <w:szCs w:val="24"/>
                <w:highlight w:val="none"/>
                <w:lang w:val="en-US" w:eastAsia="zh-CN"/>
              </w:rPr>
              <w:t>10</w:t>
            </w:r>
            <w:r>
              <w:rPr>
                <w:rFonts w:hint="default" w:ascii="Times New Roman" w:hAnsi="Times New Roman" w:cs="Times New Roman"/>
                <w:b/>
                <w:color w:val="auto"/>
                <w:sz w:val="24"/>
                <w:szCs w:val="24"/>
                <w:highlight w:val="none"/>
                <w:lang w:val="en-US" w:eastAsia="zh-CN"/>
              </w:rPr>
              <w:t xml:space="preserve">  距Y-90</w:t>
            </w:r>
            <w:r>
              <w:rPr>
                <w:rFonts w:hint="eastAsia" w:ascii="Times New Roman" w:hAnsi="Times New Roman" w:cs="Times New Roman"/>
                <w:b/>
                <w:color w:val="auto"/>
                <w:sz w:val="24"/>
                <w:szCs w:val="24"/>
                <w:highlight w:val="none"/>
                <w:lang w:val="en-US" w:eastAsia="zh-CN"/>
              </w:rPr>
              <w:t>裸源</w:t>
            </w:r>
            <w:r>
              <w:rPr>
                <w:rFonts w:hint="default" w:ascii="Times New Roman" w:hAnsi="Times New Roman" w:cs="Times New Roman"/>
                <w:b/>
                <w:color w:val="auto"/>
                <w:sz w:val="24"/>
                <w:szCs w:val="24"/>
                <w:highlight w:val="none"/>
                <w:lang w:val="en-US" w:eastAsia="zh-CN"/>
              </w:rPr>
              <w:t>不同距离处辐射剂量率</w:t>
            </w:r>
          </w:p>
          <w:tbl>
            <w:tblPr>
              <w:tblStyle w:val="2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 w:type="dxa"/>
                <w:bottom w:w="0" w:type="dxa"/>
                <w:right w:w="10" w:type="dxa"/>
              </w:tblCellMar>
            </w:tblPr>
            <w:tblGrid>
              <w:gridCol w:w="1558"/>
              <w:gridCol w:w="1201"/>
              <w:gridCol w:w="1317"/>
              <w:gridCol w:w="1322"/>
              <w:gridCol w:w="1317"/>
              <w:gridCol w:w="1322"/>
              <w:gridCol w:w="1362"/>
            </w:tblGrid>
            <w:tr w14:paraId="021741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60" w:hRule="exact"/>
                <w:jc w:val="center"/>
              </w:trPr>
              <w:tc>
                <w:tcPr>
                  <w:tcW w:w="1558" w:type="dxa"/>
                  <w:vMerge w:val="restart"/>
                  <w:tcBorders>
                    <w:tl2br w:val="nil"/>
                    <w:tr2bl w:val="nil"/>
                  </w:tcBorders>
                  <w:shd w:val="clear" w:color="auto" w:fill="FFFFFF"/>
                  <w:noWrap w:val="0"/>
                  <w:vAlign w:val="center"/>
                </w:tcPr>
                <w:p w14:paraId="646561EF">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Y-90</w:t>
                  </w:r>
                </w:p>
                <w:p w14:paraId="3185225B">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en-US"/>
                    </w:rPr>
                    <w:t>活度（Bq）</w:t>
                  </w:r>
                </w:p>
              </w:tc>
              <w:tc>
                <w:tcPr>
                  <w:tcW w:w="7841" w:type="dxa"/>
                  <w:gridSpan w:val="6"/>
                  <w:tcBorders>
                    <w:tl2br w:val="nil"/>
                    <w:tr2bl w:val="nil"/>
                  </w:tcBorders>
                  <w:shd w:val="clear" w:color="auto" w:fill="FFFFFF"/>
                  <w:noWrap w:val="0"/>
                  <w:vAlign w:val="center"/>
                </w:tcPr>
                <w:p w14:paraId="4134EA13">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en-US"/>
                    </w:rPr>
                    <w:t>距不同距离处辐射剂量率（</w:t>
                  </w:r>
                  <w:r>
                    <w:rPr>
                      <w:rFonts w:hint="default" w:ascii="Times New Roman" w:hAnsi="Times New Roman" w:eastAsia="宋体" w:cs="Times New Roman"/>
                      <w:color w:val="auto"/>
                      <w:sz w:val="21"/>
                      <w:szCs w:val="20"/>
                      <w:highlight w:val="none"/>
                      <w:lang w:val="en-US" w:eastAsia="zh-CN"/>
                    </w:rPr>
                    <w:t>μ</w:t>
                  </w:r>
                  <w:r>
                    <w:rPr>
                      <w:rFonts w:hint="default" w:ascii="Times New Roman" w:hAnsi="Times New Roman" w:eastAsia="宋体" w:cs="Times New Roman"/>
                      <w:color w:val="auto"/>
                      <w:sz w:val="21"/>
                      <w:szCs w:val="20"/>
                      <w:highlight w:val="none"/>
                      <w:lang w:val="en-US" w:eastAsia="en-US"/>
                    </w:rPr>
                    <w:t>Gy/h）</w:t>
                  </w:r>
                </w:p>
              </w:tc>
            </w:tr>
            <w:tr w14:paraId="51AC00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380" w:hRule="exact"/>
                <w:jc w:val="center"/>
              </w:trPr>
              <w:tc>
                <w:tcPr>
                  <w:tcW w:w="1558" w:type="dxa"/>
                  <w:vMerge w:val="continue"/>
                  <w:tcBorders>
                    <w:tl2br w:val="nil"/>
                    <w:tr2bl w:val="nil"/>
                  </w:tcBorders>
                  <w:shd w:val="clear" w:color="auto" w:fill="FFFFFF"/>
                  <w:noWrap w:val="0"/>
                  <w:vAlign w:val="center"/>
                </w:tcPr>
                <w:p w14:paraId="21E147C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p>
              </w:tc>
              <w:tc>
                <w:tcPr>
                  <w:tcW w:w="1201" w:type="dxa"/>
                  <w:tcBorders>
                    <w:tl2br w:val="nil"/>
                    <w:tr2bl w:val="nil"/>
                  </w:tcBorders>
                  <w:shd w:val="clear" w:color="auto" w:fill="FFFFFF"/>
                  <w:noWrap w:val="0"/>
                  <w:vAlign w:val="center"/>
                </w:tcPr>
                <w:p w14:paraId="2A1B3019">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en-US"/>
                    </w:rPr>
                    <w:t>0.0</w:t>
                  </w:r>
                  <w:r>
                    <w:rPr>
                      <w:rFonts w:hint="default" w:ascii="Times New Roman" w:hAnsi="Times New Roman" w:eastAsia="宋体" w:cs="Times New Roman"/>
                      <w:color w:val="auto"/>
                      <w:sz w:val="21"/>
                      <w:szCs w:val="20"/>
                      <w:highlight w:val="none"/>
                      <w:lang w:val="en-US" w:eastAsia="zh-CN"/>
                    </w:rPr>
                    <w:t>1</w:t>
                  </w:r>
                  <w:r>
                    <w:rPr>
                      <w:rFonts w:hint="default" w:ascii="Times New Roman" w:hAnsi="Times New Roman" w:eastAsia="宋体" w:cs="Times New Roman"/>
                      <w:color w:val="auto"/>
                      <w:sz w:val="21"/>
                      <w:szCs w:val="20"/>
                      <w:highlight w:val="none"/>
                      <w:lang w:val="en-US" w:eastAsia="en-US"/>
                    </w:rPr>
                    <w:t>m</w:t>
                  </w:r>
                </w:p>
              </w:tc>
              <w:tc>
                <w:tcPr>
                  <w:tcW w:w="0" w:type="auto"/>
                  <w:tcBorders>
                    <w:tl2br w:val="nil"/>
                    <w:tr2bl w:val="nil"/>
                  </w:tcBorders>
                  <w:shd w:val="clear" w:color="auto" w:fill="FFFFFF"/>
                  <w:noWrap w:val="0"/>
                  <w:vAlign w:val="center"/>
                </w:tcPr>
                <w:p w14:paraId="67E46D62">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en-US"/>
                    </w:rPr>
                    <w:t>0.</w:t>
                  </w:r>
                  <w:r>
                    <w:rPr>
                      <w:rFonts w:hint="default" w:ascii="Times New Roman" w:hAnsi="Times New Roman" w:eastAsia="宋体" w:cs="Times New Roman"/>
                      <w:color w:val="auto"/>
                      <w:sz w:val="21"/>
                      <w:szCs w:val="20"/>
                      <w:highlight w:val="none"/>
                      <w:lang w:val="en-US" w:eastAsia="zh-CN"/>
                    </w:rPr>
                    <w:t>1</w:t>
                  </w:r>
                  <w:r>
                    <w:rPr>
                      <w:rFonts w:hint="default" w:ascii="Times New Roman" w:hAnsi="Times New Roman" w:eastAsia="宋体" w:cs="Times New Roman"/>
                      <w:color w:val="auto"/>
                      <w:sz w:val="21"/>
                      <w:szCs w:val="20"/>
                      <w:highlight w:val="none"/>
                      <w:lang w:val="en-US" w:eastAsia="en-US"/>
                    </w:rPr>
                    <w:t>m</w:t>
                  </w:r>
                </w:p>
              </w:tc>
              <w:tc>
                <w:tcPr>
                  <w:tcW w:w="0" w:type="auto"/>
                  <w:tcBorders>
                    <w:tl2br w:val="nil"/>
                    <w:tr2bl w:val="nil"/>
                  </w:tcBorders>
                  <w:shd w:val="clear" w:color="auto" w:fill="FFFFFF"/>
                  <w:noWrap w:val="0"/>
                  <w:vAlign w:val="center"/>
                </w:tcPr>
                <w:p w14:paraId="787107C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en-US"/>
                    </w:rPr>
                    <w:t>0.</w:t>
                  </w:r>
                  <w:r>
                    <w:rPr>
                      <w:rFonts w:hint="default" w:ascii="Times New Roman" w:hAnsi="Times New Roman" w:eastAsia="宋体" w:cs="Times New Roman"/>
                      <w:color w:val="auto"/>
                      <w:sz w:val="21"/>
                      <w:szCs w:val="20"/>
                      <w:highlight w:val="none"/>
                      <w:lang w:val="en-US" w:eastAsia="zh-CN"/>
                    </w:rPr>
                    <w:t>3</w:t>
                  </w:r>
                  <w:r>
                    <w:rPr>
                      <w:rFonts w:hint="default" w:ascii="Times New Roman" w:hAnsi="Times New Roman" w:eastAsia="宋体" w:cs="Times New Roman"/>
                      <w:color w:val="auto"/>
                      <w:sz w:val="21"/>
                      <w:szCs w:val="20"/>
                      <w:highlight w:val="none"/>
                      <w:lang w:val="en-US" w:eastAsia="en-US"/>
                    </w:rPr>
                    <w:t>m</w:t>
                  </w:r>
                </w:p>
              </w:tc>
              <w:tc>
                <w:tcPr>
                  <w:tcW w:w="0" w:type="auto"/>
                  <w:tcBorders>
                    <w:tl2br w:val="nil"/>
                    <w:tr2bl w:val="nil"/>
                  </w:tcBorders>
                  <w:shd w:val="clear" w:color="auto" w:fill="FFFFFF"/>
                  <w:noWrap w:val="0"/>
                  <w:vAlign w:val="center"/>
                </w:tcPr>
                <w:p w14:paraId="7ABBE8BA">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zh-CN"/>
                    </w:rPr>
                    <w:t>0.5</w:t>
                  </w:r>
                  <w:r>
                    <w:rPr>
                      <w:rFonts w:hint="default" w:ascii="Times New Roman" w:hAnsi="Times New Roman" w:eastAsia="宋体" w:cs="Times New Roman"/>
                      <w:color w:val="auto"/>
                      <w:sz w:val="21"/>
                      <w:szCs w:val="20"/>
                      <w:highlight w:val="none"/>
                      <w:lang w:val="en-US" w:eastAsia="en-US"/>
                    </w:rPr>
                    <w:t>m</w:t>
                  </w:r>
                </w:p>
              </w:tc>
              <w:tc>
                <w:tcPr>
                  <w:tcW w:w="1322" w:type="dxa"/>
                  <w:tcBorders>
                    <w:tl2br w:val="nil"/>
                    <w:tr2bl w:val="nil"/>
                  </w:tcBorders>
                  <w:shd w:val="clear" w:color="auto" w:fill="FFFFFF"/>
                  <w:noWrap w:val="0"/>
                  <w:vAlign w:val="center"/>
                </w:tcPr>
                <w:p w14:paraId="2ECEE80D">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zh-CN"/>
                    </w:rPr>
                    <w:t>1</w:t>
                  </w:r>
                  <w:r>
                    <w:rPr>
                      <w:rFonts w:hint="default" w:ascii="Times New Roman" w:hAnsi="Times New Roman" w:eastAsia="宋体" w:cs="Times New Roman"/>
                      <w:color w:val="auto"/>
                      <w:sz w:val="21"/>
                      <w:szCs w:val="20"/>
                      <w:highlight w:val="none"/>
                      <w:lang w:val="en-US" w:eastAsia="en-US"/>
                    </w:rPr>
                    <w:t>m</w:t>
                  </w:r>
                </w:p>
              </w:tc>
              <w:tc>
                <w:tcPr>
                  <w:tcW w:w="1362" w:type="dxa"/>
                  <w:tcBorders>
                    <w:tl2br w:val="nil"/>
                    <w:tr2bl w:val="nil"/>
                  </w:tcBorders>
                  <w:shd w:val="clear" w:color="auto" w:fill="FFFFFF"/>
                  <w:noWrap w:val="0"/>
                  <w:vAlign w:val="center"/>
                </w:tcPr>
                <w:p w14:paraId="5D673847">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zh-CN"/>
                    </w:rPr>
                    <w:t>2</w:t>
                  </w:r>
                  <w:r>
                    <w:rPr>
                      <w:rFonts w:hint="default" w:ascii="Times New Roman" w:hAnsi="Times New Roman" w:eastAsia="宋体" w:cs="Times New Roman"/>
                      <w:color w:val="auto"/>
                      <w:sz w:val="21"/>
                      <w:szCs w:val="20"/>
                      <w:highlight w:val="none"/>
                      <w:lang w:val="en-US" w:eastAsia="en-US"/>
                    </w:rPr>
                    <w:t>m</w:t>
                  </w:r>
                </w:p>
              </w:tc>
            </w:tr>
            <w:tr w14:paraId="0F512E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 w:type="dxa"/>
                  <w:bottom w:w="0" w:type="dxa"/>
                  <w:right w:w="10" w:type="dxa"/>
                </w:tblCellMar>
              </w:tblPrEx>
              <w:trPr>
                <w:trHeight w:val="591" w:hRule="exact"/>
                <w:jc w:val="center"/>
              </w:trPr>
              <w:tc>
                <w:tcPr>
                  <w:tcW w:w="1558" w:type="dxa"/>
                  <w:tcBorders>
                    <w:tl2br w:val="nil"/>
                    <w:tr2bl w:val="nil"/>
                  </w:tcBorders>
                  <w:shd w:val="clear" w:color="auto" w:fill="FFFFFF"/>
                  <w:noWrap w:val="0"/>
                  <w:vAlign w:val="center"/>
                </w:tcPr>
                <w:p w14:paraId="7A225CE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en-US"/>
                    </w:rPr>
                    <w:t>2.5E+09</w:t>
                  </w:r>
                </w:p>
              </w:tc>
              <w:tc>
                <w:tcPr>
                  <w:tcW w:w="1201" w:type="dxa"/>
                  <w:tcBorders>
                    <w:tl2br w:val="nil"/>
                    <w:tr2bl w:val="nil"/>
                  </w:tcBorders>
                  <w:shd w:val="clear" w:color="auto" w:fill="FFFFFF"/>
                  <w:noWrap w:val="0"/>
                  <w:vAlign w:val="center"/>
                </w:tcPr>
                <w:p w14:paraId="17F5A79F">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zh-CN"/>
                    </w:rPr>
                    <w:t>2.05E+02</w:t>
                  </w:r>
                </w:p>
              </w:tc>
              <w:tc>
                <w:tcPr>
                  <w:tcW w:w="1317" w:type="dxa"/>
                  <w:tcBorders>
                    <w:tl2br w:val="nil"/>
                    <w:tr2bl w:val="nil"/>
                  </w:tcBorders>
                  <w:shd w:val="clear" w:color="auto" w:fill="FFFFFF"/>
                  <w:noWrap w:val="0"/>
                  <w:vAlign w:val="center"/>
                </w:tcPr>
                <w:p w14:paraId="2B69FC8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zh-CN"/>
                    </w:rPr>
                    <w:t>5.13E+01</w:t>
                  </w:r>
                </w:p>
              </w:tc>
              <w:tc>
                <w:tcPr>
                  <w:tcW w:w="1322" w:type="dxa"/>
                  <w:tcBorders>
                    <w:tl2br w:val="nil"/>
                    <w:tr2bl w:val="nil"/>
                  </w:tcBorders>
                  <w:shd w:val="clear" w:color="auto" w:fill="FFFFFF"/>
                  <w:noWrap w:val="0"/>
                  <w:vAlign w:val="center"/>
                </w:tcPr>
                <w:p w14:paraId="785A0F7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zh-CN"/>
                    </w:rPr>
                    <w:t>2.28E+01</w:t>
                  </w:r>
                </w:p>
              </w:tc>
              <w:tc>
                <w:tcPr>
                  <w:tcW w:w="1317" w:type="dxa"/>
                  <w:tcBorders>
                    <w:tl2br w:val="nil"/>
                    <w:tr2bl w:val="nil"/>
                  </w:tcBorders>
                  <w:shd w:val="clear" w:color="auto" w:fill="FFFFFF"/>
                  <w:noWrap w:val="0"/>
                  <w:vAlign w:val="center"/>
                </w:tcPr>
                <w:p w14:paraId="37BE9584">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zh-CN"/>
                    </w:rPr>
                    <w:t>8.21E+00</w:t>
                  </w:r>
                </w:p>
              </w:tc>
              <w:tc>
                <w:tcPr>
                  <w:tcW w:w="1322" w:type="dxa"/>
                  <w:tcBorders>
                    <w:tl2br w:val="nil"/>
                    <w:tr2bl w:val="nil"/>
                  </w:tcBorders>
                  <w:shd w:val="clear" w:color="auto" w:fill="FFFFFF"/>
                  <w:noWrap w:val="0"/>
                  <w:vAlign w:val="center"/>
                </w:tcPr>
                <w:p w14:paraId="6F9195C1">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zh-CN"/>
                    </w:rPr>
                    <w:t>2.05E+00</w:t>
                  </w:r>
                </w:p>
              </w:tc>
              <w:tc>
                <w:tcPr>
                  <w:tcW w:w="1362" w:type="dxa"/>
                  <w:tcBorders>
                    <w:tl2br w:val="nil"/>
                    <w:tr2bl w:val="nil"/>
                  </w:tcBorders>
                  <w:shd w:val="clear" w:color="auto" w:fill="FFFFFF"/>
                  <w:noWrap w:val="0"/>
                  <w:vAlign w:val="center"/>
                </w:tcPr>
                <w:p w14:paraId="4DDD0B30">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en-US"/>
                    </w:rPr>
                  </w:pPr>
                  <w:r>
                    <w:rPr>
                      <w:rFonts w:hint="default" w:ascii="Times New Roman" w:hAnsi="Times New Roman" w:eastAsia="宋体" w:cs="Times New Roman"/>
                      <w:color w:val="auto"/>
                      <w:sz w:val="21"/>
                      <w:szCs w:val="20"/>
                      <w:highlight w:val="none"/>
                      <w:lang w:val="en-US" w:eastAsia="zh-CN"/>
                    </w:rPr>
                    <w:t>5.13E-01</w:t>
                  </w:r>
                </w:p>
              </w:tc>
            </w:tr>
          </w:tbl>
          <w:p w14:paraId="6F9F7A68">
            <w:pPr>
              <w:keepNext w:val="0"/>
              <w:keepLines w:val="0"/>
              <w:widowControl/>
              <w:suppressLineNumbers w:val="0"/>
              <w:spacing w:before="0" w:beforeAutospacing="0" w:after="0" w:afterAutospacing="0" w:line="360" w:lineRule="auto"/>
              <w:ind w:left="0" w:right="0" w:firstLine="482" w:firstLineChars="200"/>
              <w:jc w:val="center"/>
              <w:rPr>
                <w:rFonts w:hint="default" w:ascii="Times New Roman" w:hAnsi="Times New Roman" w:cs="Times New Roman"/>
                <w:b/>
                <w:color w:val="auto"/>
                <w:sz w:val="24"/>
                <w:szCs w:val="24"/>
                <w:highlight w:val="none"/>
                <w:lang w:val="en-US" w:eastAsia="zh-CN"/>
              </w:rPr>
            </w:pPr>
          </w:p>
          <w:p w14:paraId="1210E19E">
            <w:pPr>
              <w:keepNext w:val="0"/>
              <w:keepLines w:val="0"/>
              <w:widowControl/>
              <w:suppressLineNumbers w:val="0"/>
              <w:spacing w:before="0" w:beforeAutospacing="0" w:after="0" w:afterAutospacing="0" w:line="360" w:lineRule="auto"/>
              <w:ind w:left="0" w:right="0"/>
              <w:jc w:val="center"/>
              <w:rPr>
                <w:rFonts w:hint="default" w:ascii="Times New Roman" w:hAnsi="Times New Roman" w:cs="Times New Roman"/>
                <w:b/>
                <w:color w:val="auto"/>
                <w:sz w:val="24"/>
                <w:szCs w:val="24"/>
                <w:highlight w:val="none"/>
                <w:lang w:val="en-US" w:eastAsia="zh-CN"/>
              </w:rPr>
            </w:pPr>
            <w:bookmarkStart w:id="29" w:name="_GoBack"/>
            <w:bookmarkEnd w:id="29"/>
          </w:p>
          <w:p w14:paraId="5B132868">
            <w:pPr>
              <w:keepNext w:val="0"/>
              <w:keepLines w:val="0"/>
              <w:widowControl/>
              <w:suppressLineNumbers w:val="0"/>
              <w:spacing w:before="0" w:beforeAutospacing="0" w:after="0" w:afterAutospacing="0" w:line="360" w:lineRule="auto"/>
              <w:ind w:left="0" w:right="0"/>
              <w:jc w:val="center"/>
              <w:rPr>
                <w:rFonts w:hint="default" w:ascii="Times New Roman" w:hAnsi="Times New Roman"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t>图10-</w:t>
            </w:r>
            <w:r>
              <w:rPr>
                <w:rFonts w:hint="eastAsia" w:cs="Times New Roman"/>
                <w:b/>
                <w:color w:val="auto"/>
                <w:sz w:val="24"/>
                <w:szCs w:val="24"/>
                <w:highlight w:val="none"/>
                <w:lang w:val="en-US" w:eastAsia="zh-CN"/>
              </w:rPr>
              <w:t>5</w:t>
            </w:r>
            <w:r>
              <w:rPr>
                <w:rFonts w:hint="default" w:ascii="Times New Roman" w:hAnsi="Times New Roman" w:cs="Times New Roman"/>
                <w:b/>
                <w:color w:val="auto"/>
                <w:sz w:val="24"/>
                <w:szCs w:val="24"/>
                <w:highlight w:val="none"/>
                <w:lang w:val="en-US" w:eastAsia="zh-CN"/>
              </w:rPr>
              <w:t xml:space="preserve">  Y-90综合楼一层介入2室</w:t>
            </w:r>
            <w:r>
              <w:rPr>
                <w:rFonts w:hint="eastAsia" w:cs="Times New Roman"/>
                <w:b/>
                <w:color w:val="auto"/>
                <w:sz w:val="24"/>
                <w:szCs w:val="24"/>
                <w:highlight w:val="none"/>
                <w:lang w:val="en-US" w:eastAsia="zh-CN"/>
              </w:rPr>
              <w:t>内</w:t>
            </w:r>
            <w:r>
              <w:rPr>
                <w:rFonts w:hint="default" w:ascii="Times New Roman" w:hAnsi="Times New Roman" w:cs="Times New Roman"/>
                <w:b/>
                <w:color w:val="auto"/>
                <w:sz w:val="24"/>
                <w:szCs w:val="24"/>
                <w:highlight w:val="none"/>
                <w:lang w:val="en-US" w:eastAsia="zh-CN"/>
              </w:rPr>
              <w:t>关注点示意图</w:t>
            </w:r>
          </w:p>
          <w:p w14:paraId="5D955777">
            <w:pPr>
              <w:keepNext w:val="0"/>
              <w:keepLines w:val="0"/>
              <w:suppressLineNumbers w:val="0"/>
              <w:spacing w:before="0" w:beforeLines="0" w:beforeAutospacing="0" w:after="0" w:afterLines="0" w:afterAutospacing="0" w:line="360" w:lineRule="auto"/>
              <w:ind w:left="0" w:right="0" w:firstLine="480" w:firstLineChars="200"/>
              <w:jc w:val="both"/>
              <w:rPr>
                <w:rFonts w:hint="eastAsia" w:cs="Times New Roman"/>
                <w:b w:val="0"/>
                <w:bCs/>
                <w:color w:val="auto"/>
                <w:sz w:val="24"/>
                <w:szCs w:val="24"/>
                <w:highlight w:val="none"/>
                <w:lang w:val="en-US" w:eastAsia="zh-CN"/>
              </w:rPr>
            </w:pPr>
            <w:r>
              <w:rPr>
                <w:rFonts w:hint="eastAsia" w:cs="Times New Roman"/>
                <w:b w:val="0"/>
                <w:bCs/>
                <w:color w:val="auto"/>
                <w:sz w:val="24"/>
                <w:szCs w:val="24"/>
                <w:highlight w:val="none"/>
                <w:lang w:val="en-US" w:eastAsia="zh-CN"/>
              </w:rPr>
              <w:t>（2）计算结果</w:t>
            </w:r>
          </w:p>
          <w:p w14:paraId="3E22A2E1">
            <w:pPr>
              <w:keepNext w:val="0"/>
              <w:keepLines w:val="0"/>
              <w:suppressLineNumbers w:val="0"/>
              <w:spacing w:before="0" w:beforeLines="0" w:beforeAutospacing="0" w:after="0" w:afterLines="0" w:afterAutospacing="0" w:line="360" w:lineRule="auto"/>
              <w:ind w:left="0" w:right="0" w:firstLine="480" w:firstLineChars="200"/>
              <w:jc w:val="both"/>
              <w:rPr>
                <w:rFonts w:hint="default" w:cs="Times New Roman"/>
                <w:b w:val="0"/>
                <w:bCs/>
                <w:color w:val="auto"/>
                <w:sz w:val="24"/>
                <w:szCs w:val="24"/>
                <w:highlight w:val="none"/>
                <w:lang w:val="en-US" w:eastAsia="zh-CN"/>
              </w:rPr>
            </w:pPr>
            <w:r>
              <w:rPr>
                <w:rFonts w:hint="eastAsia" w:cs="Times New Roman"/>
                <w:b w:val="0"/>
                <w:bCs/>
                <w:color w:val="auto"/>
                <w:sz w:val="24"/>
                <w:szCs w:val="24"/>
                <w:highlight w:val="none"/>
                <w:lang w:val="en-US" w:eastAsia="zh-CN"/>
              </w:rPr>
              <w:t>Y-90介入使用时各关注点预测结果如下。</w:t>
            </w:r>
          </w:p>
          <w:p w14:paraId="06C7F223">
            <w:pPr>
              <w:keepNext w:val="0"/>
              <w:keepLines w:val="0"/>
              <w:suppressLineNumbers w:val="0"/>
              <w:spacing w:before="0" w:beforeLines="0" w:beforeAutospacing="0" w:after="0" w:afterLines="0" w:afterAutospacing="0" w:line="360" w:lineRule="auto"/>
              <w:ind w:left="0" w:right="0" w:firstLine="482" w:firstLineChars="200"/>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表1</w:t>
            </w:r>
            <w:r>
              <w:rPr>
                <w:rFonts w:hint="eastAsia" w:cs="Times New Roman"/>
                <w:b/>
                <w:color w:val="auto"/>
                <w:sz w:val="24"/>
                <w:szCs w:val="24"/>
                <w:highlight w:val="none"/>
                <w:lang w:val="en-US" w:eastAsia="zh-CN"/>
              </w:rPr>
              <w:t>1</w:t>
            </w:r>
            <w:r>
              <w:rPr>
                <w:rFonts w:hint="eastAsia" w:ascii="Times New Roman" w:hAnsi="Times New Roman" w:cs="Times New Roman"/>
                <w:b/>
                <w:color w:val="auto"/>
                <w:sz w:val="24"/>
                <w:szCs w:val="24"/>
                <w:highlight w:val="none"/>
                <w:lang w:val="en-US" w:eastAsia="zh-CN"/>
              </w:rPr>
              <w:t>-1</w:t>
            </w:r>
            <w:r>
              <w:rPr>
                <w:rFonts w:hint="eastAsia" w:cs="Times New Roman"/>
                <w:b/>
                <w:color w:val="auto"/>
                <w:sz w:val="24"/>
                <w:szCs w:val="24"/>
                <w:highlight w:val="none"/>
                <w:lang w:val="en-US" w:eastAsia="zh-CN"/>
              </w:rPr>
              <w:t>1</w:t>
            </w:r>
            <w:r>
              <w:rPr>
                <w:rFonts w:hint="eastAsia" w:ascii="Times New Roman" w:hAnsi="Times New Roman" w:cs="Times New Roman"/>
                <w:b/>
                <w:color w:val="auto"/>
                <w:sz w:val="24"/>
                <w:szCs w:val="24"/>
                <w:highlight w:val="none"/>
                <w:lang w:val="en-US" w:eastAsia="zh-CN"/>
              </w:rPr>
              <w:t xml:space="preserve">  </w:t>
            </w:r>
            <w:r>
              <w:rPr>
                <w:rFonts w:hint="default" w:ascii="Times New Roman" w:hAnsi="Times New Roman" w:cs="Times New Roman"/>
                <w:b/>
                <w:color w:val="auto"/>
                <w:sz w:val="24"/>
                <w:szCs w:val="24"/>
                <w:highlight w:val="none"/>
                <w:lang w:val="en-US" w:eastAsia="zh-CN"/>
              </w:rPr>
              <w:t>Y-90手术室屏蔽体外关注点辐射剂量率计算结果</w:t>
            </w:r>
          </w:p>
          <w:tbl>
            <w:tblPr>
              <w:tblStyle w:val="22"/>
              <w:tblW w:w="9613" w:type="dxa"/>
              <w:tblInd w:w="3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3"/>
              <w:gridCol w:w="2611"/>
              <w:gridCol w:w="945"/>
              <w:gridCol w:w="1363"/>
              <w:gridCol w:w="2548"/>
              <w:gridCol w:w="1333"/>
            </w:tblGrid>
            <w:tr w14:paraId="48CF9C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3424" w:type="dxa"/>
                  <w:gridSpan w:val="2"/>
                  <w:tcBorders>
                    <w:tl2br w:val="nil"/>
                    <w:tr2bl w:val="nil"/>
                  </w:tcBorders>
                  <w:noWrap/>
                  <w:vAlign w:val="center"/>
                </w:tcPr>
                <w:p w14:paraId="5BE0C854">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关注点</w:t>
                  </w:r>
                </w:p>
              </w:tc>
              <w:tc>
                <w:tcPr>
                  <w:tcW w:w="945" w:type="dxa"/>
                  <w:tcBorders>
                    <w:tl2br w:val="nil"/>
                    <w:tr2bl w:val="nil"/>
                  </w:tcBorders>
                  <w:noWrap/>
                  <w:vAlign w:val="center"/>
                </w:tcPr>
                <w:p w14:paraId="2310BCA8">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距离</w:t>
                  </w:r>
                </w:p>
                <w:p w14:paraId="6EDC8A0E">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（m）</w:t>
                  </w:r>
                </w:p>
              </w:tc>
              <w:tc>
                <w:tcPr>
                  <w:tcW w:w="1363" w:type="dxa"/>
                  <w:tcBorders>
                    <w:tl2br w:val="nil"/>
                    <w:tr2bl w:val="nil"/>
                  </w:tcBorders>
                  <w:noWrap/>
                  <w:vAlign w:val="center"/>
                </w:tcPr>
                <w:p w14:paraId="55C3DC7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H0 (μGy/h)</w:t>
                  </w:r>
                </w:p>
              </w:tc>
              <w:tc>
                <w:tcPr>
                  <w:tcW w:w="2548" w:type="dxa"/>
                  <w:tcBorders>
                    <w:tl2br w:val="nil"/>
                    <w:tr2bl w:val="nil"/>
                  </w:tcBorders>
                  <w:noWrap w:val="0"/>
                  <w:vAlign w:val="center"/>
                </w:tcPr>
                <w:p w14:paraId="42787910">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屏蔽层dp</w:t>
                  </w:r>
                </w:p>
              </w:tc>
              <w:tc>
                <w:tcPr>
                  <w:tcW w:w="1333" w:type="dxa"/>
                  <w:tcBorders>
                    <w:tl2br w:val="nil"/>
                    <w:tr2bl w:val="nil"/>
                  </w:tcBorders>
                  <w:noWrap/>
                  <w:vAlign w:val="center"/>
                </w:tcPr>
                <w:p w14:paraId="7DA59671">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D(μGy/h)</w:t>
                  </w:r>
                </w:p>
              </w:tc>
            </w:tr>
            <w:tr w14:paraId="6FA4B1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13" w:type="dxa"/>
                  <w:tcBorders>
                    <w:tl2br w:val="nil"/>
                    <w:tr2bl w:val="nil"/>
                  </w:tcBorders>
                  <w:shd w:val="clear" w:color="auto" w:fill="auto"/>
                  <w:noWrap/>
                  <w:vAlign w:val="center"/>
                </w:tcPr>
                <w:p w14:paraId="4960DA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A</w:t>
                  </w:r>
                </w:p>
              </w:tc>
              <w:tc>
                <w:tcPr>
                  <w:tcW w:w="2611" w:type="dxa"/>
                  <w:tcBorders>
                    <w:tl2br w:val="nil"/>
                    <w:tr2bl w:val="nil"/>
                  </w:tcBorders>
                  <w:shd w:val="clear" w:color="auto" w:fill="auto"/>
                  <w:noWrap/>
                  <w:vAlign w:val="center"/>
                </w:tcPr>
                <w:p w14:paraId="0BC5C22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北侧防护墙外30cm 处</w:t>
                  </w:r>
                </w:p>
              </w:tc>
              <w:tc>
                <w:tcPr>
                  <w:tcW w:w="945" w:type="dxa"/>
                  <w:tcBorders>
                    <w:tl2br w:val="nil"/>
                    <w:tr2bl w:val="nil"/>
                  </w:tcBorders>
                  <w:shd w:val="clear" w:color="auto" w:fill="auto"/>
                  <w:noWrap/>
                  <w:vAlign w:val="center"/>
                </w:tcPr>
                <w:p w14:paraId="72F3513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1363" w:type="dxa"/>
                  <w:tcBorders>
                    <w:tl2br w:val="nil"/>
                    <w:tr2bl w:val="nil"/>
                  </w:tcBorders>
                  <w:shd w:val="clear" w:color="auto" w:fill="auto"/>
                  <w:noWrap/>
                  <w:vAlign w:val="center"/>
                </w:tcPr>
                <w:p w14:paraId="53999B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1.16E-01</w:t>
                  </w:r>
                </w:p>
              </w:tc>
              <w:tc>
                <w:tcPr>
                  <w:tcW w:w="2548" w:type="dxa"/>
                  <w:tcBorders>
                    <w:tl2br w:val="nil"/>
                    <w:tr2bl w:val="nil"/>
                  </w:tcBorders>
                  <w:shd w:val="clear" w:color="auto" w:fill="auto"/>
                  <w:noWrap w:val="0"/>
                  <w:vAlign w:val="center"/>
                </w:tcPr>
                <w:p w14:paraId="3F606CB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333" w:type="dxa"/>
                  <w:tcBorders>
                    <w:tl2br w:val="nil"/>
                    <w:tr2bl w:val="nil"/>
                  </w:tcBorders>
                  <w:shd w:val="clear" w:color="auto" w:fill="auto"/>
                  <w:noWrap/>
                  <w:vAlign w:val="center"/>
                </w:tcPr>
                <w:p w14:paraId="305235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6.01E-02</w:t>
                  </w:r>
                </w:p>
              </w:tc>
            </w:tr>
            <w:tr w14:paraId="51BB04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13" w:type="dxa"/>
                  <w:tcBorders>
                    <w:tl2br w:val="nil"/>
                    <w:tr2bl w:val="nil"/>
                  </w:tcBorders>
                  <w:shd w:val="clear" w:color="auto" w:fill="auto"/>
                  <w:noWrap/>
                  <w:vAlign w:val="center"/>
                </w:tcPr>
                <w:p w14:paraId="45A0C30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B</w:t>
                  </w:r>
                </w:p>
              </w:tc>
              <w:tc>
                <w:tcPr>
                  <w:tcW w:w="2611" w:type="dxa"/>
                  <w:tcBorders>
                    <w:tl2br w:val="nil"/>
                    <w:tr2bl w:val="nil"/>
                  </w:tcBorders>
                  <w:shd w:val="clear" w:color="auto" w:fill="auto"/>
                  <w:noWrap/>
                  <w:vAlign w:val="center"/>
                </w:tcPr>
                <w:p w14:paraId="017A3B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东侧控制室铅玻璃外 30cm 处</w:t>
                  </w:r>
                </w:p>
              </w:tc>
              <w:tc>
                <w:tcPr>
                  <w:tcW w:w="945" w:type="dxa"/>
                  <w:tcBorders>
                    <w:tl2br w:val="nil"/>
                    <w:tr2bl w:val="nil"/>
                  </w:tcBorders>
                  <w:shd w:val="clear" w:color="auto" w:fill="auto"/>
                  <w:noWrap/>
                  <w:vAlign w:val="center"/>
                </w:tcPr>
                <w:p w14:paraId="777723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2.88</w:t>
                  </w:r>
                </w:p>
              </w:tc>
              <w:tc>
                <w:tcPr>
                  <w:tcW w:w="1363" w:type="dxa"/>
                  <w:tcBorders>
                    <w:tl2br w:val="nil"/>
                    <w:tr2bl w:val="nil"/>
                  </w:tcBorders>
                  <w:shd w:val="clear" w:color="auto" w:fill="auto"/>
                  <w:noWrap/>
                  <w:vAlign w:val="center"/>
                </w:tcPr>
                <w:p w14:paraId="0CF8BA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2.47E-01</w:t>
                  </w:r>
                </w:p>
              </w:tc>
              <w:tc>
                <w:tcPr>
                  <w:tcW w:w="2548" w:type="dxa"/>
                  <w:tcBorders>
                    <w:tl2br w:val="nil"/>
                    <w:tr2bl w:val="nil"/>
                  </w:tcBorders>
                  <w:shd w:val="clear" w:color="auto" w:fill="auto"/>
                  <w:noWrap w:val="0"/>
                  <w:vAlign w:val="center"/>
                </w:tcPr>
                <w:p w14:paraId="73582C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3mmPb铅玻璃+5mmPb注射器保护套</w:t>
                  </w:r>
                </w:p>
              </w:tc>
              <w:tc>
                <w:tcPr>
                  <w:tcW w:w="1333" w:type="dxa"/>
                  <w:tcBorders>
                    <w:tl2br w:val="nil"/>
                    <w:tr2bl w:val="nil"/>
                  </w:tcBorders>
                  <w:shd w:val="clear" w:color="auto" w:fill="auto"/>
                  <w:noWrap/>
                  <w:vAlign w:val="center"/>
                </w:tcPr>
                <w:p w14:paraId="30C437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1.28E-01</w:t>
                  </w:r>
                </w:p>
              </w:tc>
            </w:tr>
            <w:tr w14:paraId="5BC6B7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813" w:type="dxa"/>
                  <w:tcBorders>
                    <w:tl2br w:val="nil"/>
                    <w:tr2bl w:val="nil"/>
                  </w:tcBorders>
                  <w:shd w:val="clear" w:color="auto" w:fill="auto"/>
                  <w:noWrap/>
                  <w:vAlign w:val="center"/>
                </w:tcPr>
                <w:p w14:paraId="0E6E9F7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C</w:t>
                  </w:r>
                </w:p>
              </w:tc>
              <w:tc>
                <w:tcPr>
                  <w:tcW w:w="2611" w:type="dxa"/>
                  <w:tcBorders>
                    <w:tl2br w:val="nil"/>
                    <w:tr2bl w:val="nil"/>
                  </w:tcBorders>
                  <w:shd w:val="clear" w:color="auto" w:fill="auto"/>
                  <w:noWrap/>
                  <w:vAlign w:val="center"/>
                </w:tcPr>
                <w:p w14:paraId="64A676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4#南侧防护墙外30cm 处</w:t>
                  </w:r>
                </w:p>
              </w:tc>
              <w:tc>
                <w:tcPr>
                  <w:tcW w:w="945" w:type="dxa"/>
                  <w:tcBorders>
                    <w:tl2br w:val="nil"/>
                    <w:tr2bl w:val="nil"/>
                  </w:tcBorders>
                  <w:shd w:val="clear" w:color="auto" w:fill="auto"/>
                  <w:noWrap/>
                  <w:vAlign w:val="center"/>
                </w:tcPr>
                <w:p w14:paraId="33A66F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1363" w:type="dxa"/>
                  <w:tcBorders>
                    <w:tl2br w:val="nil"/>
                    <w:tr2bl w:val="nil"/>
                  </w:tcBorders>
                  <w:shd w:val="clear" w:color="auto" w:fill="auto"/>
                  <w:noWrap/>
                  <w:vAlign w:val="center"/>
                </w:tcPr>
                <w:p w14:paraId="5DDF8E1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1.16E-01</w:t>
                  </w:r>
                </w:p>
              </w:tc>
              <w:tc>
                <w:tcPr>
                  <w:tcW w:w="2548" w:type="dxa"/>
                  <w:tcBorders>
                    <w:tl2br w:val="nil"/>
                    <w:tr2bl w:val="nil"/>
                  </w:tcBorders>
                  <w:shd w:val="clear" w:color="auto" w:fill="auto"/>
                  <w:noWrap/>
                  <w:vAlign w:val="center"/>
                </w:tcPr>
                <w:p w14:paraId="5286D02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333" w:type="dxa"/>
                  <w:tcBorders>
                    <w:tl2br w:val="nil"/>
                    <w:tr2bl w:val="nil"/>
                  </w:tcBorders>
                  <w:shd w:val="clear" w:color="auto" w:fill="auto"/>
                  <w:noWrap/>
                  <w:vAlign w:val="center"/>
                </w:tcPr>
                <w:p w14:paraId="29F8473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6.01E-02</w:t>
                  </w:r>
                </w:p>
              </w:tc>
            </w:tr>
            <w:tr w14:paraId="3BACA5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13" w:type="dxa"/>
                  <w:tcBorders>
                    <w:tl2br w:val="nil"/>
                    <w:tr2bl w:val="nil"/>
                  </w:tcBorders>
                  <w:shd w:val="clear" w:color="auto" w:fill="auto"/>
                  <w:noWrap/>
                  <w:vAlign w:val="center"/>
                </w:tcPr>
                <w:p w14:paraId="31ECDCF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D</w:t>
                  </w:r>
                </w:p>
              </w:tc>
              <w:tc>
                <w:tcPr>
                  <w:tcW w:w="2611" w:type="dxa"/>
                  <w:tcBorders>
                    <w:tl2br w:val="nil"/>
                    <w:tr2bl w:val="nil"/>
                  </w:tcBorders>
                  <w:shd w:val="clear" w:color="auto" w:fill="auto"/>
                  <w:noWrap/>
                  <w:vAlign w:val="center"/>
                </w:tcPr>
                <w:p w14:paraId="0F3AA3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5#西侧防护墙外30cm 处</w:t>
                  </w:r>
                </w:p>
              </w:tc>
              <w:tc>
                <w:tcPr>
                  <w:tcW w:w="945" w:type="dxa"/>
                  <w:tcBorders>
                    <w:tl2br w:val="nil"/>
                    <w:tr2bl w:val="nil"/>
                  </w:tcBorders>
                  <w:shd w:val="clear" w:color="auto" w:fill="auto"/>
                  <w:noWrap/>
                  <w:vAlign w:val="center"/>
                </w:tcPr>
                <w:p w14:paraId="0B883B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2.88</w:t>
                  </w:r>
                </w:p>
              </w:tc>
              <w:tc>
                <w:tcPr>
                  <w:tcW w:w="1363" w:type="dxa"/>
                  <w:tcBorders>
                    <w:tl2br w:val="nil"/>
                    <w:tr2bl w:val="nil"/>
                  </w:tcBorders>
                  <w:shd w:val="clear" w:color="auto" w:fill="auto"/>
                  <w:noWrap/>
                  <w:vAlign w:val="center"/>
                </w:tcPr>
                <w:p w14:paraId="41350F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2.47E-01</w:t>
                  </w:r>
                </w:p>
              </w:tc>
              <w:tc>
                <w:tcPr>
                  <w:tcW w:w="2548" w:type="dxa"/>
                  <w:tcBorders>
                    <w:tl2br w:val="nil"/>
                    <w:tr2bl w:val="nil"/>
                  </w:tcBorders>
                  <w:shd w:val="clear" w:color="auto" w:fill="auto"/>
                  <w:noWrap/>
                  <w:vAlign w:val="center"/>
                </w:tcPr>
                <w:p w14:paraId="5EE1A4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333" w:type="dxa"/>
                  <w:tcBorders>
                    <w:tl2br w:val="nil"/>
                    <w:tr2bl w:val="nil"/>
                  </w:tcBorders>
                  <w:shd w:val="clear" w:color="auto" w:fill="auto"/>
                  <w:noWrap/>
                  <w:vAlign w:val="center"/>
                </w:tcPr>
                <w:p w14:paraId="1A5C598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1.28E-01</w:t>
                  </w:r>
                </w:p>
              </w:tc>
            </w:tr>
            <w:tr w14:paraId="2856F4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13" w:type="dxa"/>
                  <w:tcBorders>
                    <w:tl2br w:val="nil"/>
                    <w:tr2bl w:val="nil"/>
                  </w:tcBorders>
                  <w:shd w:val="clear" w:color="auto" w:fill="auto"/>
                  <w:noWrap/>
                  <w:vAlign w:val="center"/>
                </w:tcPr>
                <w:p w14:paraId="3206F0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E</w:t>
                  </w:r>
                </w:p>
              </w:tc>
              <w:tc>
                <w:tcPr>
                  <w:tcW w:w="2611" w:type="dxa"/>
                  <w:tcBorders>
                    <w:tl2br w:val="nil"/>
                    <w:tr2bl w:val="nil"/>
                  </w:tcBorders>
                  <w:shd w:val="clear" w:color="auto" w:fill="auto"/>
                  <w:noWrap/>
                  <w:vAlign w:val="center"/>
                </w:tcPr>
                <w:p w14:paraId="6F3BB2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6#西侧防护门外30cm 处</w:t>
                  </w:r>
                </w:p>
              </w:tc>
              <w:tc>
                <w:tcPr>
                  <w:tcW w:w="945" w:type="dxa"/>
                  <w:tcBorders>
                    <w:tl2br w:val="nil"/>
                    <w:tr2bl w:val="nil"/>
                  </w:tcBorders>
                  <w:shd w:val="clear" w:color="auto" w:fill="auto"/>
                  <w:noWrap/>
                  <w:vAlign w:val="center"/>
                </w:tcPr>
                <w:p w14:paraId="3C2ADD8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2.88</w:t>
                  </w:r>
                </w:p>
              </w:tc>
              <w:tc>
                <w:tcPr>
                  <w:tcW w:w="1363" w:type="dxa"/>
                  <w:tcBorders>
                    <w:tl2br w:val="nil"/>
                    <w:tr2bl w:val="nil"/>
                  </w:tcBorders>
                  <w:shd w:val="clear" w:color="auto" w:fill="auto"/>
                  <w:noWrap/>
                  <w:vAlign w:val="center"/>
                </w:tcPr>
                <w:p w14:paraId="3E0C86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2.47E-01</w:t>
                  </w:r>
                </w:p>
              </w:tc>
              <w:tc>
                <w:tcPr>
                  <w:tcW w:w="2548" w:type="dxa"/>
                  <w:tcBorders>
                    <w:tl2br w:val="nil"/>
                    <w:tr2bl w:val="nil"/>
                  </w:tcBorders>
                  <w:shd w:val="clear" w:color="auto" w:fill="auto"/>
                  <w:noWrap/>
                  <w:vAlign w:val="center"/>
                </w:tcPr>
                <w:p w14:paraId="7AF463D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333" w:type="dxa"/>
                  <w:tcBorders>
                    <w:tl2br w:val="nil"/>
                    <w:tr2bl w:val="nil"/>
                  </w:tcBorders>
                  <w:shd w:val="clear" w:color="auto" w:fill="auto"/>
                  <w:noWrap/>
                  <w:vAlign w:val="center"/>
                </w:tcPr>
                <w:p w14:paraId="5CA352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1.28E-01</w:t>
                  </w:r>
                </w:p>
              </w:tc>
            </w:tr>
            <w:tr w14:paraId="1BA9D4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13" w:type="dxa"/>
                  <w:tcBorders>
                    <w:tl2br w:val="nil"/>
                    <w:tr2bl w:val="nil"/>
                  </w:tcBorders>
                  <w:shd w:val="clear" w:color="auto" w:fill="auto"/>
                  <w:noWrap/>
                  <w:vAlign w:val="center"/>
                </w:tcPr>
                <w:p w14:paraId="596AD6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F</w:t>
                  </w:r>
                </w:p>
              </w:tc>
              <w:tc>
                <w:tcPr>
                  <w:tcW w:w="2611" w:type="dxa"/>
                  <w:tcBorders>
                    <w:tl2br w:val="nil"/>
                    <w:tr2bl w:val="nil"/>
                  </w:tcBorders>
                  <w:shd w:val="clear" w:color="auto" w:fill="auto"/>
                  <w:noWrap/>
                  <w:vAlign w:val="center"/>
                </w:tcPr>
                <w:p w14:paraId="2B42EAF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术者位1</w:t>
                  </w:r>
                </w:p>
              </w:tc>
              <w:tc>
                <w:tcPr>
                  <w:tcW w:w="945" w:type="dxa"/>
                  <w:tcBorders>
                    <w:tl2br w:val="nil"/>
                    <w:tr2bl w:val="nil"/>
                  </w:tcBorders>
                  <w:shd w:val="clear" w:color="auto" w:fill="auto"/>
                  <w:noWrap/>
                  <w:vAlign w:val="center"/>
                </w:tcPr>
                <w:p w14:paraId="6F7457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0.3</w:t>
                  </w:r>
                </w:p>
              </w:tc>
              <w:tc>
                <w:tcPr>
                  <w:tcW w:w="1363" w:type="dxa"/>
                  <w:tcBorders>
                    <w:tl2br w:val="nil"/>
                    <w:tr2bl w:val="nil"/>
                  </w:tcBorders>
                  <w:shd w:val="clear" w:color="auto" w:fill="auto"/>
                  <w:noWrap/>
                  <w:vAlign w:val="center"/>
                </w:tcPr>
                <w:p w14:paraId="2625366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2.28E+01</w:t>
                  </w:r>
                </w:p>
              </w:tc>
              <w:tc>
                <w:tcPr>
                  <w:tcW w:w="2548" w:type="dxa"/>
                  <w:tcBorders>
                    <w:tl2br w:val="nil"/>
                    <w:tr2bl w:val="nil"/>
                  </w:tcBorders>
                  <w:shd w:val="clear" w:color="auto" w:fill="auto"/>
                  <w:noWrap/>
                  <w:vAlign w:val="center"/>
                </w:tcPr>
                <w:p w14:paraId="6D4926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3mmPb铅板+5mmPb注射器保护套+1mmPb铅防护用品</w:t>
                  </w:r>
                </w:p>
              </w:tc>
              <w:tc>
                <w:tcPr>
                  <w:tcW w:w="1333" w:type="dxa"/>
                  <w:tcBorders>
                    <w:tl2br w:val="nil"/>
                    <w:tr2bl w:val="nil"/>
                  </w:tcBorders>
                  <w:shd w:val="clear" w:color="auto" w:fill="auto"/>
                  <w:noWrap/>
                  <w:vAlign w:val="center"/>
                </w:tcPr>
                <w:p w14:paraId="697F46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1.09E+01</w:t>
                  </w:r>
                </w:p>
              </w:tc>
            </w:tr>
            <w:tr w14:paraId="614E94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3" w:type="dxa"/>
                  <w:tcBorders>
                    <w:tl2br w:val="nil"/>
                    <w:tr2bl w:val="nil"/>
                  </w:tcBorders>
                  <w:shd w:val="clear" w:color="auto" w:fill="auto"/>
                  <w:noWrap/>
                  <w:vAlign w:val="center"/>
                </w:tcPr>
                <w:p w14:paraId="29E20AB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G</w:t>
                  </w:r>
                </w:p>
              </w:tc>
              <w:tc>
                <w:tcPr>
                  <w:tcW w:w="2611" w:type="dxa"/>
                  <w:tcBorders>
                    <w:tl2br w:val="nil"/>
                    <w:tr2bl w:val="nil"/>
                  </w:tcBorders>
                  <w:shd w:val="clear" w:color="auto" w:fill="auto"/>
                  <w:noWrap/>
                  <w:vAlign w:val="center"/>
                </w:tcPr>
                <w:p w14:paraId="12CBFE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术者位2</w:t>
                  </w:r>
                </w:p>
              </w:tc>
              <w:tc>
                <w:tcPr>
                  <w:tcW w:w="945" w:type="dxa"/>
                  <w:tcBorders>
                    <w:tl2br w:val="nil"/>
                    <w:tr2bl w:val="nil"/>
                  </w:tcBorders>
                  <w:shd w:val="clear" w:color="auto" w:fill="auto"/>
                  <w:noWrap/>
                  <w:vAlign w:val="center"/>
                </w:tcPr>
                <w:p w14:paraId="1CFA3E2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0.8</w:t>
                  </w:r>
                </w:p>
              </w:tc>
              <w:tc>
                <w:tcPr>
                  <w:tcW w:w="1363" w:type="dxa"/>
                  <w:tcBorders>
                    <w:tl2br w:val="nil"/>
                    <w:tr2bl w:val="nil"/>
                  </w:tcBorders>
                  <w:shd w:val="clear" w:color="auto" w:fill="auto"/>
                  <w:noWrap/>
                  <w:vAlign w:val="center"/>
                </w:tcPr>
                <w:p w14:paraId="35345F7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3.21E+00</w:t>
                  </w:r>
                </w:p>
              </w:tc>
              <w:tc>
                <w:tcPr>
                  <w:tcW w:w="2548" w:type="dxa"/>
                  <w:tcBorders>
                    <w:tl2br w:val="nil"/>
                    <w:tr2bl w:val="nil"/>
                  </w:tcBorders>
                  <w:shd w:val="clear" w:color="auto" w:fill="auto"/>
                  <w:noWrap/>
                  <w:vAlign w:val="center"/>
                </w:tcPr>
                <w:p w14:paraId="46822AA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3mmPb铅板+5mmPb注射器保护套+1mmPb铅防护用品</w:t>
                  </w:r>
                </w:p>
              </w:tc>
              <w:tc>
                <w:tcPr>
                  <w:tcW w:w="1333" w:type="dxa"/>
                  <w:tcBorders>
                    <w:tl2br w:val="nil"/>
                    <w:tr2bl w:val="nil"/>
                  </w:tcBorders>
                  <w:shd w:val="clear" w:color="auto" w:fill="auto"/>
                  <w:noWrap/>
                  <w:vAlign w:val="center"/>
                </w:tcPr>
                <w:p w14:paraId="0181F4A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1.53E+00</w:t>
                  </w:r>
                </w:p>
              </w:tc>
            </w:tr>
            <w:tr w14:paraId="709518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3" w:type="dxa"/>
                  <w:shd w:val="clear" w:color="auto" w:fill="auto"/>
                  <w:vAlign w:val="center"/>
                </w:tcPr>
                <w:p w14:paraId="4C15B0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H</w:t>
                  </w:r>
                </w:p>
              </w:tc>
              <w:tc>
                <w:tcPr>
                  <w:tcW w:w="2611" w:type="dxa"/>
                  <w:shd w:val="clear" w:color="auto" w:fill="auto"/>
                  <w:vAlign w:val="center"/>
                </w:tcPr>
                <w:p w14:paraId="3FA9BC4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顶棚上方距顶棚地面 100cm 处</w:t>
                  </w:r>
                </w:p>
              </w:tc>
              <w:tc>
                <w:tcPr>
                  <w:tcW w:w="945" w:type="dxa"/>
                  <w:shd w:val="clear" w:color="auto" w:fill="auto"/>
                  <w:vAlign w:val="center"/>
                </w:tcPr>
                <w:p w14:paraId="3459A46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4.45</w:t>
                  </w:r>
                </w:p>
              </w:tc>
              <w:tc>
                <w:tcPr>
                  <w:tcW w:w="1363" w:type="dxa"/>
                  <w:shd w:val="clear" w:color="auto" w:fill="auto"/>
                  <w:vAlign w:val="center"/>
                </w:tcPr>
                <w:p w14:paraId="39EB602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1.04E-01</w:t>
                  </w:r>
                </w:p>
              </w:tc>
              <w:tc>
                <w:tcPr>
                  <w:tcW w:w="2548" w:type="dxa"/>
                  <w:shd w:val="clear" w:color="auto" w:fill="auto"/>
                  <w:vAlign w:val="center"/>
                </w:tcPr>
                <w:p w14:paraId="03AE8AD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333" w:type="dxa"/>
                  <w:shd w:val="clear" w:color="auto" w:fill="auto"/>
                  <w:vAlign w:val="center"/>
                </w:tcPr>
                <w:p w14:paraId="3B43A27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5.36E-02</w:t>
                  </w:r>
                </w:p>
              </w:tc>
            </w:tr>
            <w:tr w14:paraId="339E6D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3" w:type="dxa"/>
                  <w:shd w:val="clear" w:color="auto" w:fill="auto"/>
                  <w:vAlign w:val="center"/>
                </w:tcPr>
                <w:p w14:paraId="7DC06F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I</w:t>
                  </w:r>
                </w:p>
              </w:tc>
              <w:tc>
                <w:tcPr>
                  <w:tcW w:w="2611" w:type="dxa"/>
                  <w:shd w:val="clear" w:color="auto" w:fill="auto"/>
                  <w:vAlign w:val="center"/>
                </w:tcPr>
                <w:p w14:paraId="2A508E0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地面下方距楼下地面 170cm 处</w:t>
                  </w:r>
                </w:p>
              </w:tc>
              <w:tc>
                <w:tcPr>
                  <w:tcW w:w="945" w:type="dxa"/>
                  <w:shd w:val="clear" w:color="auto" w:fill="auto"/>
                  <w:vAlign w:val="center"/>
                </w:tcPr>
                <w:p w14:paraId="18496D3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2.85</w:t>
                  </w:r>
                </w:p>
              </w:tc>
              <w:tc>
                <w:tcPr>
                  <w:tcW w:w="1363" w:type="dxa"/>
                  <w:shd w:val="clear" w:color="auto" w:fill="auto"/>
                  <w:vAlign w:val="center"/>
                </w:tcPr>
                <w:p w14:paraId="7644C5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2.53E-01</w:t>
                  </w:r>
                </w:p>
              </w:tc>
              <w:tc>
                <w:tcPr>
                  <w:tcW w:w="2548" w:type="dxa"/>
                  <w:shd w:val="clear" w:color="auto" w:fill="auto"/>
                  <w:vAlign w:val="center"/>
                </w:tcPr>
                <w:p w14:paraId="42DC373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333" w:type="dxa"/>
                  <w:shd w:val="clear" w:color="auto" w:fill="auto"/>
                  <w:vAlign w:val="center"/>
                </w:tcPr>
                <w:p w14:paraId="761877D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1.31E-01</w:t>
                  </w:r>
                </w:p>
              </w:tc>
            </w:tr>
            <w:tr w14:paraId="01E44D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13" w:type="dxa"/>
                  <w:shd w:val="clear" w:color="auto" w:fill="auto"/>
                  <w:vAlign w:val="center"/>
                </w:tcPr>
                <w:p w14:paraId="78686D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J</w:t>
                  </w:r>
                </w:p>
              </w:tc>
              <w:tc>
                <w:tcPr>
                  <w:tcW w:w="2611" w:type="dxa"/>
                  <w:shd w:val="clear" w:color="auto" w:fill="auto"/>
                  <w:vAlign w:val="center"/>
                </w:tcPr>
                <w:p w14:paraId="0F431C0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Y-90运输铅罐表面30cm</w:t>
                  </w:r>
                </w:p>
              </w:tc>
              <w:tc>
                <w:tcPr>
                  <w:tcW w:w="945" w:type="dxa"/>
                  <w:shd w:val="clear" w:color="auto" w:fill="auto"/>
                  <w:vAlign w:val="center"/>
                </w:tcPr>
                <w:p w14:paraId="1497340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0.3</w:t>
                  </w:r>
                </w:p>
              </w:tc>
              <w:tc>
                <w:tcPr>
                  <w:tcW w:w="1363" w:type="dxa"/>
                  <w:shd w:val="clear" w:color="auto" w:fill="auto"/>
                  <w:vAlign w:val="center"/>
                </w:tcPr>
                <w:p w14:paraId="314AD1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8.21E+00</w:t>
                  </w:r>
                </w:p>
              </w:tc>
              <w:tc>
                <w:tcPr>
                  <w:tcW w:w="2548" w:type="dxa"/>
                  <w:shd w:val="clear" w:color="auto" w:fill="auto"/>
                  <w:vAlign w:val="center"/>
                </w:tcPr>
                <w:p w14:paraId="57BE234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20mmPb</w:t>
                  </w:r>
                </w:p>
              </w:tc>
              <w:tc>
                <w:tcPr>
                  <w:tcW w:w="1333" w:type="dxa"/>
                  <w:shd w:val="clear" w:color="auto" w:fill="auto"/>
                  <w:vAlign w:val="center"/>
                </w:tcPr>
                <w:p w14:paraId="466B357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1.58E+00</w:t>
                  </w:r>
                </w:p>
              </w:tc>
            </w:tr>
          </w:tbl>
          <w:p w14:paraId="3C6AD85E">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（3）</w:t>
            </w:r>
            <w:r>
              <w:rPr>
                <w:rFonts w:hint="default" w:ascii="Times New Roman" w:hAnsi="Times New Roman" w:cs="Times New Roman"/>
                <w:color w:val="auto"/>
                <w:sz w:val="24"/>
                <w:szCs w:val="24"/>
                <w:highlight w:val="none"/>
                <w:lang w:val="en-US" w:eastAsia="zh-CN"/>
              </w:rPr>
              <w:t>术前Tc-99m模拟治疗</w:t>
            </w:r>
            <w:r>
              <w:rPr>
                <w:rFonts w:hint="eastAsia" w:cs="Times New Roman"/>
                <w:color w:val="auto"/>
                <w:sz w:val="24"/>
                <w:szCs w:val="24"/>
                <w:highlight w:val="none"/>
                <w:lang w:val="en-US" w:eastAsia="zh-CN"/>
              </w:rPr>
              <w:t>环境影响分析</w:t>
            </w:r>
          </w:p>
          <w:p w14:paraId="28347382">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术前Tc-99m模拟治疗</w:t>
            </w:r>
            <w:r>
              <w:rPr>
                <w:rFonts w:hint="eastAsia" w:cs="Times New Roman"/>
                <w:color w:val="auto"/>
                <w:sz w:val="24"/>
                <w:szCs w:val="24"/>
                <w:highlight w:val="none"/>
                <w:lang w:val="en-US" w:eastAsia="zh-CN"/>
              </w:rPr>
              <w:t>使用4mCi的Tc-99m，将机房防护情况，预测点位距离代入</w:t>
            </w:r>
            <w:r>
              <w:rPr>
                <w:rFonts w:hint="default" w:ascii="Times New Roman" w:hAnsi="Times New Roman" w:cs="Times New Roman"/>
                <w:color w:val="auto"/>
                <w:sz w:val="24"/>
                <w:szCs w:val="24"/>
                <w:highlight w:val="none"/>
                <w:lang w:val="en-US" w:eastAsia="zh-CN"/>
              </w:rPr>
              <w:t>公式11-2</w:t>
            </w:r>
            <w:r>
              <w:rPr>
                <w:rFonts w:hint="eastAsia" w:cs="Times New Roman"/>
                <w:color w:val="auto"/>
                <w:sz w:val="24"/>
                <w:szCs w:val="24"/>
                <w:highlight w:val="none"/>
                <w:lang w:val="en-US" w:eastAsia="zh-CN"/>
              </w:rPr>
              <w:t>，可预测出术前Tc-99m模拟治疗时各关注点预测结果。</w:t>
            </w:r>
          </w:p>
          <w:p w14:paraId="345FE238">
            <w:pPr>
              <w:keepNext w:val="0"/>
              <w:keepLines w:val="0"/>
              <w:suppressLineNumbers w:val="0"/>
              <w:spacing w:before="0" w:beforeLines="0" w:beforeAutospacing="0" w:after="0" w:afterLines="0" w:afterAutospacing="0" w:line="360" w:lineRule="auto"/>
              <w:ind w:left="0" w:right="0" w:firstLine="482" w:firstLineChars="200"/>
              <w:jc w:val="center"/>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表1</w:t>
            </w:r>
            <w:r>
              <w:rPr>
                <w:rFonts w:hint="eastAsia" w:cs="Times New Roman"/>
                <w:b/>
                <w:color w:val="auto"/>
                <w:sz w:val="24"/>
                <w:szCs w:val="24"/>
                <w:highlight w:val="none"/>
                <w:lang w:val="en-US" w:eastAsia="zh-CN"/>
              </w:rPr>
              <w:t>1</w:t>
            </w:r>
            <w:r>
              <w:rPr>
                <w:rFonts w:hint="eastAsia" w:ascii="Times New Roman" w:hAnsi="Times New Roman" w:cs="Times New Roman"/>
                <w:b/>
                <w:color w:val="auto"/>
                <w:sz w:val="24"/>
                <w:szCs w:val="24"/>
                <w:highlight w:val="none"/>
                <w:lang w:val="en-US" w:eastAsia="zh-CN"/>
              </w:rPr>
              <w:t>-1</w:t>
            </w:r>
            <w:r>
              <w:rPr>
                <w:rFonts w:hint="eastAsia" w:cs="Times New Roman"/>
                <w:b/>
                <w:color w:val="auto"/>
                <w:sz w:val="24"/>
                <w:szCs w:val="24"/>
                <w:highlight w:val="none"/>
                <w:lang w:val="en-US" w:eastAsia="zh-CN"/>
              </w:rPr>
              <w:t>1</w:t>
            </w:r>
            <w:r>
              <w:rPr>
                <w:rFonts w:hint="eastAsia" w:ascii="Times New Roman" w:hAnsi="Times New Roman" w:cs="Times New Roman"/>
                <w:b/>
                <w:color w:val="auto"/>
                <w:sz w:val="24"/>
                <w:szCs w:val="24"/>
                <w:highlight w:val="none"/>
                <w:lang w:val="en-US" w:eastAsia="zh-CN"/>
              </w:rPr>
              <w:t xml:space="preserve">  </w:t>
            </w:r>
            <w:r>
              <w:rPr>
                <w:rFonts w:hint="eastAsia" w:cs="Times New Roman"/>
                <w:b/>
                <w:color w:val="auto"/>
                <w:sz w:val="24"/>
                <w:szCs w:val="24"/>
                <w:highlight w:val="none"/>
                <w:lang w:val="en-US" w:eastAsia="zh-CN"/>
              </w:rPr>
              <w:t>Tc-99m模拟治疗</w:t>
            </w:r>
            <w:r>
              <w:rPr>
                <w:rFonts w:hint="default" w:ascii="Times New Roman" w:hAnsi="Times New Roman" w:cs="Times New Roman"/>
                <w:b/>
                <w:color w:val="auto"/>
                <w:sz w:val="24"/>
                <w:szCs w:val="24"/>
                <w:highlight w:val="none"/>
                <w:lang w:val="en-US" w:eastAsia="zh-CN"/>
              </w:rPr>
              <w:t>手术室屏蔽体外关注点辐射剂量率计算结果</w:t>
            </w:r>
          </w:p>
          <w:tbl>
            <w:tblPr>
              <w:tblStyle w:val="22"/>
              <w:tblW w:w="9457" w:type="dxa"/>
              <w:tblInd w:w="3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82"/>
              <w:gridCol w:w="2114"/>
              <w:gridCol w:w="1422"/>
              <w:gridCol w:w="2728"/>
              <w:gridCol w:w="1611"/>
            </w:tblGrid>
            <w:tr w14:paraId="50A280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3696" w:type="dxa"/>
                  <w:gridSpan w:val="2"/>
                  <w:tcBorders>
                    <w:tl2br w:val="nil"/>
                    <w:tr2bl w:val="nil"/>
                  </w:tcBorders>
                  <w:noWrap/>
                  <w:vAlign w:val="center"/>
                </w:tcPr>
                <w:p w14:paraId="50774370">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关注点</w:t>
                  </w:r>
                </w:p>
              </w:tc>
              <w:tc>
                <w:tcPr>
                  <w:tcW w:w="1422" w:type="dxa"/>
                  <w:tcBorders>
                    <w:tl2br w:val="nil"/>
                    <w:tr2bl w:val="nil"/>
                  </w:tcBorders>
                  <w:noWrap/>
                  <w:vAlign w:val="center"/>
                </w:tcPr>
                <w:p w14:paraId="78BB3767">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距离</w:t>
                  </w:r>
                </w:p>
                <w:p w14:paraId="1FEFBE3D">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（m）</w:t>
                  </w:r>
                </w:p>
              </w:tc>
              <w:tc>
                <w:tcPr>
                  <w:tcW w:w="2728" w:type="dxa"/>
                  <w:tcBorders>
                    <w:tl2br w:val="nil"/>
                    <w:tr2bl w:val="nil"/>
                  </w:tcBorders>
                  <w:noWrap w:val="0"/>
                  <w:vAlign w:val="center"/>
                </w:tcPr>
                <w:p w14:paraId="7C47D2AC">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屏蔽层dp</w:t>
                  </w:r>
                </w:p>
              </w:tc>
              <w:tc>
                <w:tcPr>
                  <w:tcW w:w="1611" w:type="dxa"/>
                  <w:tcBorders>
                    <w:tl2br w:val="nil"/>
                    <w:tr2bl w:val="nil"/>
                  </w:tcBorders>
                  <w:noWrap/>
                  <w:vAlign w:val="center"/>
                </w:tcPr>
                <w:p w14:paraId="4F231E57">
                  <w:pPr>
                    <w:keepNext w:val="0"/>
                    <w:keepLines w:val="0"/>
                    <w:suppressLineNumbers w:val="0"/>
                    <w:spacing w:before="0" w:beforeLines="0" w:beforeAutospacing="0" w:after="0" w:afterLines="0" w:afterAutospacing="0"/>
                    <w:ind w:left="0" w:right="0"/>
                    <w:jc w:val="center"/>
                    <w:rPr>
                      <w:rFonts w:hint="default" w:ascii="Times New Roman" w:hAnsi="Times New Roman" w:eastAsia="宋体" w:cs="Times New Roman"/>
                      <w:color w:val="auto"/>
                      <w:sz w:val="21"/>
                      <w:szCs w:val="20"/>
                      <w:highlight w:val="none"/>
                      <w:lang w:val="en-US" w:eastAsia="zh-CN"/>
                    </w:rPr>
                  </w:pPr>
                  <w:r>
                    <w:rPr>
                      <w:rFonts w:hint="default" w:ascii="Times New Roman" w:hAnsi="Times New Roman" w:eastAsia="宋体" w:cs="Times New Roman"/>
                      <w:color w:val="auto"/>
                      <w:sz w:val="21"/>
                      <w:szCs w:val="20"/>
                      <w:highlight w:val="none"/>
                      <w:lang w:val="en-US" w:eastAsia="zh-CN"/>
                    </w:rPr>
                    <w:t>D(μGy/h)</w:t>
                  </w:r>
                </w:p>
              </w:tc>
            </w:tr>
            <w:tr w14:paraId="3B8F4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582" w:type="dxa"/>
                  <w:tcBorders>
                    <w:tl2br w:val="nil"/>
                    <w:tr2bl w:val="nil"/>
                  </w:tcBorders>
                  <w:shd w:val="clear" w:color="auto" w:fill="auto"/>
                  <w:noWrap/>
                  <w:vAlign w:val="center"/>
                </w:tcPr>
                <w:p w14:paraId="2CC01C2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A</w:t>
                  </w:r>
                </w:p>
              </w:tc>
              <w:tc>
                <w:tcPr>
                  <w:tcW w:w="2114" w:type="dxa"/>
                  <w:tcBorders>
                    <w:tl2br w:val="nil"/>
                    <w:tr2bl w:val="nil"/>
                  </w:tcBorders>
                  <w:shd w:val="clear" w:color="auto" w:fill="auto"/>
                  <w:noWrap/>
                  <w:vAlign w:val="center"/>
                </w:tcPr>
                <w:p w14:paraId="3CAF0B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北侧防护墙外30cm 处</w:t>
                  </w:r>
                </w:p>
              </w:tc>
              <w:tc>
                <w:tcPr>
                  <w:tcW w:w="1422" w:type="dxa"/>
                  <w:tcBorders>
                    <w:tl2br w:val="nil"/>
                    <w:tr2bl w:val="nil"/>
                  </w:tcBorders>
                  <w:shd w:val="clear" w:color="auto" w:fill="auto"/>
                  <w:noWrap/>
                  <w:vAlign w:val="center"/>
                </w:tcPr>
                <w:p w14:paraId="55DFF7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2728" w:type="dxa"/>
                  <w:tcBorders>
                    <w:tl2br w:val="nil"/>
                    <w:tr2bl w:val="nil"/>
                  </w:tcBorders>
                  <w:shd w:val="clear" w:color="auto" w:fill="auto"/>
                  <w:noWrap w:val="0"/>
                  <w:vAlign w:val="center"/>
                </w:tcPr>
                <w:p w14:paraId="2BAE46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611" w:type="dxa"/>
                  <w:tcBorders>
                    <w:tl2br w:val="nil"/>
                    <w:tr2bl w:val="nil"/>
                  </w:tcBorders>
                  <w:shd w:val="clear" w:color="auto" w:fill="auto"/>
                  <w:noWrap/>
                  <w:vAlign w:val="center"/>
                </w:tcPr>
                <w:p w14:paraId="52231F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2.54E-09</w:t>
                  </w:r>
                </w:p>
              </w:tc>
            </w:tr>
            <w:tr w14:paraId="78F3B4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582" w:type="dxa"/>
                  <w:tcBorders>
                    <w:tl2br w:val="nil"/>
                    <w:tr2bl w:val="nil"/>
                  </w:tcBorders>
                  <w:shd w:val="clear" w:color="auto" w:fill="auto"/>
                  <w:noWrap/>
                  <w:vAlign w:val="center"/>
                </w:tcPr>
                <w:p w14:paraId="78A424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B</w:t>
                  </w:r>
                </w:p>
              </w:tc>
              <w:tc>
                <w:tcPr>
                  <w:tcW w:w="2114" w:type="dxa"/>
                  <w:tcBorders>
                    <w:tl2br w:val="nil"/>
                    <w:tr2bl w:val="nil"/>
                  </w:tcBorders>
                  <w:shd w:val="clear" w:color="auto" w:fill="auto"/>
                  <w:noWrap/>
                  <w:vAlign w:val="center"/>
                </w:tcPr>
                <w:p w14:paraId="40CBF8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东侧控制室铅玻璃外 30cm 处</w:t>
                  </w:r>
                </w:p>
              </w:tc>
              <w:tc>
                <w:tcPr>
                  <w:tcW w:w="1422" w:type="dxa"/>
                  <w:tcBorders>
                    <w:tl2br w:val="nil"/>
                    <w:tr2bl w:val="nil"/>
                  </w:tcBorders>
                  <w:shd w:val="clear" w:color="auto" w:fill="auto"/>
                  <w:noWrap/>
                  <w:vAlign w:val="center"/>
                </w:tcPr>
                <w:p w14:paraId="796A17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2.88</w:t>
                  </w:r>
                </w:p>
              </w:tc>
              <w:tc>
                <w:tcPr>
                  <w:tcW w:w="2728" w:type="dxa"/>
                  <w:tcBorders>
                    <w:tl2br w:val="nil"/>
                    <w:tr2bl w:val="nil"/>
                  </w:tcBorders>
                  <w:shd w:val="clear" w:color="auto" w:fill="auto"/>
                  <w:noWrap w:val="0"/>
                  <w:vAlign w:val="center"/>
                </w:tcPr>
                <w:p w14:paraId="282362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3mmPb铅玻璃+5mmPb注射器保护套</w:t>
                  </w:r>
                </w:p>
              </w:tc>
              <w:tc>
                <w:tcPr>
                  <w:tcW w:w="1611" w:type="dxa"/>
                  <w:tcBorders>
                    <w:tl2br w:val="nil"/>
                    <w:tr2bl w:val="nil"/>
                  </w:tcBorders>
                  <w:shd w:val="clear" w:color="auto" w:fill="auto"/>
                  <w:noWrap/>
                  <w:vAlign w:val="center"/>
                </w:tcPr>
                <w:p w14:paraId="578F37B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5.41E-09</w:t>
                  </w:r>
                </w:p>
              </w:tc>
            </w:tr>
            <w:tr w14:paraId="429EB2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582" w:type="dxa"/>
                  <w:tcBorders>
                    <w:tl2br w:val="nil"/>
                    <w:tr2bl w:val="nil"/>
                  </w:tcBorders>
                  <w:shd w:val="clear" w:color="auto" w:fill="auto"/>
                  <w:noWrap/>
                  <w:vAlign w:val="center"/>
                </w:tcPr>
                <w:p w14:paraId="6B2F683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C</w:t>
                  </w:r>
                </w:p>
              </w:tc>
              <w:tc>
                <w:tcPr>
                  <w:tcW w:w="2114" w:type="dxa"/>
                  <w:tcBorders>
                    <w:tl2br w:val="nil"/>
                    <w:tr2bl w:val="nil"/>
                  </w:tcBorders>
                  <w:shd w:val="clear" w:color="auto" w:fill="auto"/>
                  <w:noWrap/>
                  <w:vAlign w:val="center"/>
                </w:tcPr>
                <w:p w14:paraId="7C2B39F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4#南侧防护墙外30cm 处</w:t>
                  </w:r>
                </w:p>
              </w:tc>
              <w:tc>
                <w:tcPr>
                  <w:tcW w:w="1422" w:type="dxa"/>
                  <w:tcBorders>
                    <w:tl2br w:val="nil"/>
                    <w:tr2bl w:val="nil"/>
                  </w:tcBorders>
                  <w:shd w:val="clear" w:color="auto" w:fill="auto"/>
                  <w:noWrap/>
                  <w:vAlign w:val="center"/>
                </w:tcPr>
                <w:p w14:paraId="10F82F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2728" w:type="dxa"/>
                  <w:tcBorders>
                    <w:tl2br w:val="nil"/>
                    <w:tr2bl w:val="nil"/>
                  </w:tcBorders>
                  <w:shd w:val="clear" w:color="auto" w:fill="auto"/>
                  <w:noWrap/>
                  <w:vAlign w:val="center"/>
                </w:tcPr>
                <w:p w14:paraId="1E2863D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611" w:type="dxa"/>
                  <w:tcBorders>
                    <w:tl2br w:val="nil"/>
                    <w:tr2bl w:val="nil"/>
                  </w:tcBorders>
                  <w:shd w:val="clear" w:color="auto" w:fill="auto"/>
                  <w:noWrap/>
                  <w:vAlign w:val="center"/>
                </w:tcPr>
                <w:p w14:paraId="1B1A7F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2.54E-09</w:t>
                  </w:r>
                </w:p>
              </w:tc>
            </w:tr>
            <w:tr w14:paraId="7D2AC7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582" w:type="dxa"/>
                  <w:tcBorders>
                    <w:tl2br w:val="nil"/>
                    <w:tr2bl w:val="nil"/>
                  </w:tcBorders>
                  <w:shd w:val="clear" w:color="auto" w:fill="auto"/>
                  <w:noWrap/>
                  <w:vAlign w:val="center"/>
                </w:tcPr>
                <w:p w14:paraId="5E2A4B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D</w:t>
                  </w:r>
                </w:p>
              </w:tc>
              <w:tc>
                <w:tcPr>
                  <w:tcW w:w="2114" w:type="dxa"/>
                  <w:tcBorders>
                    <w:tl2br w:val="nil"/>
                    <w:tr2bl w:val="nil"/>
                  </w:tcBorders>
                  <w:shd w:val="clear" w:color="auto" w:fill="auto"/>
                  <w:noWrap/>
                  <w:vAlign w:val="center"/>
                </w:tcPr>
                <w:p w14:paraId="5C229B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5#西侧防护墙外30cm 处</w:t>
                  </w:r>
                </w:p>
              </w:tc>
              <w:tc>
                <w:tcPr>
                  <w:tcW w:w="1422" w:type="dxa"/>
                  <w:tcBorders>
                    <w:tl2br w:val="nil"/>
                    <w:tr2bl w:val="nil"/>
                  </w:tcBorders>
                  <w:shd w:val="clear" w:color="auto" w:fill="auto"/>
                  <w:noWrap/>
                  <w:vAlign w:val="center"/>
                </w:tcPr>
                <w:p w14:paraId="684AC8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2.88</w:t>
                  </w:r>
                </w:p>
              </w:tc>
              <w:tc>
                <w:tcPr>
                  <w:tcW w:w="2728" w:type="dxa"/>
                  <w:tcBorders>
                    <w:tl2br w:val="nil"/>
                    <w:tr2bl w:val="nil"/>
                  </w:tcBorders>
                  <w:shd w:val="clear" w:color="auto" w:fill="auto"/>
                  <w:noWrap/>
                  <w:vAlign w:val="center"/>
                </w:tcPr>
                <w:p w14:paraId="3EBB58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611" w:type="dxa"/>
                  <w:tcBorders>
                    <w:tl2br w:val="nil"/>
                    <w:tr2bl w:val="nil"/>
                  </w:tcBorders>
                  <w:shd w:val="clear" w:color="auto" w:fill="auto"/>
                  <w:noWrap/>
                  <w:vAlign w:val="center"/>
                </w:tcPr>
                <w:p w14:paraId="12D73C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5.41E-09</w:t>
                  </w:r>
                </w:p>
              </w:tc>
            </w:tr>
            <w:tr w14:paraId="540329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582" w:type="dxa"/>
                  <w:tcBorders>
                    <w:tl2br w:val="nil"/>
                    <w:tr2bl w:val="nil"/>
                  </w:tcBorders>
                  <w:shd w:val="clear" w:color="auto" w:fill="auto"/>
                  <w:noWrap/>
                  <w:vAlign w:val="center"/>
                </w:tcPr>
                <w:p w14:paraId="50A31FC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E</w:t>
                  </w:r>
                </w:p>
              </w:tc>
              <w:tc>
                <w:tcPr>
                  <w:tcW w:w="2114" w:type="dxa"/>
                  <w:tcBorders>
                    <w:tl2br w:val="nil"/>
                    <w:tr2bl w:val="nil"/>
                  </w:tcBorders>
                  <w:shd w:val="clear" w:color="auto" w:fill="auto"/>
                  <w:noWrap/>
                  <w:vAlign w:val="center"/>
                </w:tcPr>
                <w:p w14:paraId="52A500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6#西侧防护门外30cm 处</w:t>
                  </w:r>
                </w:p>
              </w:tc>
              <w:tc>
                <w:tcPr>
                  <w:tcW w:w="1422" w:type="dxa"/>
                  <w:tcBorders>
                    <w:tl2br w:val="nil"/>
                    <w:tr2bl w:val="nil"/>
                  </w:tcBorders>
                  <w:shd w:val="clear" w:color="auto" w:fill="auto"/>
                  <w:noWrap/>
                  <w:vAlign w:val="center"/>
                </w:tcPr>
                <w:p w14:paraId="5DB6C9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2.88</w:t>
                  </w:r>
                </w:p>
              </w:tc>
              <w:tc>
                <w:tcPr>
                  <w:tcW w:w="2728" w:type="dxa"/>
                  <w:tcBorders>
                    <w:tl2br w:val="nil"/>
                    <w:tr2bl w:val="nil"/>
                  </w:tcBorders>
                  <w:shd w:val="clear" w:color="auto" w:fill="auto"/>
                  <w:noWrap/>
                  <w:vAlign w:val="center"/>
                </w:tcPr>
                <w:p w14:paraId="1DAF7E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611" w:type="dxa"/>
                  <w:tcBorders>
                    <w:tl2br w:val="nil"/>
                    <w:tr2bl w:val="nil"/>
                  </w:tcBorders>
                  <w:shd w:val="clear" w:color="auto" w:fill="auto"/>
                  <w:noWrap/>
                  <w:vAlign w:val="center"/>
                </w:tcPr>
                <w:p w14:paraId="2DE20E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5.41E-09</w:t>
                  </w:r>
                </w:p>
              </w:tc>
            </w:tr>
            <w:tr w14:paraId="31E168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582" w:type="dxa"/>
                  <w:tcBorders>
                    <w:tl2br w:val="nil"/>
                    <w:tr2bl w:val="nil"/>
                  </w:tcBorders>
                  <w:shd w:val="clear" w:color="auto" w:fill="auto"/>
                  <w:noWrap/>
                  <w:vAlign w:val="center"/>
                </w:tcPr>
                <w:p w14:paraId="2545BE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F</w:t>
                  </w:r>
                </w:p>
              </w:tc>
              <w:tc>
                <w:tcPr>
                  <w:tcW w:w="2114" w:type="dxa"/>
                  <w:tcBorders>
                    <w:tl2br w:val="nil"/>
                    <w:tr2bl w:val="nil"/>
                  </w:tcBorders>
                  <w:shd w:val="clear" w:color="auto" w:fill="auto"/>
                  <w:noWrap/>
                  <w:vAlign w:val="center"/>
                </w:tcPr>
                <w:p w14:paraId="59FCBA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术者位1</w:t>
                  </w:r>
                </w:p>
              </w:tc>
              <w:tc>
                <w:tcPr>
                  <w:tcW w:w="1422" w:type="dxa"/>
                  <w:tcBorders>
                    <w:tl2br w:val="nil"/>
                    <w:tr2bl w:val="nil"/>
                  </w:tcBorders>
                  <w:shd w:val="clear" w:color="auto" w:fill="auto"/>
                  <w:noWrap/>
                  <w:vAlign w:val="center"/>
                </w:tcPr>
                <w:p w14:paraId="059F0D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0.3</w:t>
                  </w:r>
                </w:p>
              </w:tc>
              <w:tc>
                <w:tcPr>
                  <w:tcW w:w="2728" w:type="dxa"/>
                  <w:tcBorders>
                    <w:tl2br w:val="nil"/>
                    <w:tr2bl w:val="nil"/>
                  </w:tcBorders>
                  <w:shd w:val="clear" w:color="auto" w:fill="auto"/>
                  <w:noWrap/>
                  <w:vAlign w:val="center"/>
                </w:tcPr>
                <w:p w14:paraId="0B6EC66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3mmPb铅板+5mmPb注射器保护套+1mmPb铅防护用品</w:t>
                  </w:r>
                </w:p>
              </w:tc>
              <w:tc>
                <w:tcPr>
                  <w:tcW w:w="1611" w:type="dxa"/>
                  <w:tcBorders>
                    <w:tl2br w:val="nil"/>
                    <w:tr2bl w:val="nil"/>
                  </w:tcBorders>
                  <w:shd w:val="clear" w:color="auto" w:fill="auto"/>
                  <w:noWrap/>
                  <w:vAlign w:val="center"/>
                </w:tcPr>
                <w:p w14:paraId="61A4FD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4.98E-08</w:t>
                  </w:r>
                </w:p>
              </w:tc>
            </w:tr>
            <w:tr w14:paraId="11D26E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582" w:type="dxa"/>
                  <w:tcBorders>
                    <w:tl2br w:val="nil"/>
                    <w:tr2bl w:val="nil"/>
                  </w:tcBorders>
                  <w:shd w:val="clear" w:color="auto" w:fill="auto"/>
                  <w:noWrap/>
                  <w:vAlign w:val="center"/>
                </w:tcPr>
                <w:p w14:paraId="440368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G</w:t>
                  </w:r>
                </w:p>
              </w:tc>
              <w:tc>
                <w:tcPr>
                  <w:tcW w:w="2114" w:type="dxa"/>
                  <w:tcBorders>
                    <w:tl2br w:val="nil"/>
                    <w:tr2bl w:val="nil"/>
                  </w:tcBorders>
                  <w:shd w:val="clear" w:color="auto" w:fill="auto"/>
                  <w:noWrap/>
                  <w:vAlign w:val="center"/>
                </w:tcPr>
                <w:p w14:paraId="21571B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术者位2</w:t>
                  </w:r>
                </w:p>
              </w:tc>
              <w:tc>
                <w:tcPr>
                  <w:tcW w:w="1422" w:type="dxa"/>
                  <w:tcBorders>
                    <w:tl2br w:val="nil"/>
                    <w:tr2bl w:val="nil"/>
                  </w:tcBorders>
                  <w:shd w:val="clear" w:color="auto" w:fill="auto"/>
                  <w:noWrap/>
                  <w:vAlign w:val="center"/>
                </w:tcPr>
                <w:p w14:paraId="6C6BB3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0.8</w:t>
                  </w:r>
                </w:p>
              </w:tc>
              <w:tc>
                <w:tcPr>
                  <w:tcW w:w="2728" w:type="dxa"/>
                  <w:tcBorders>
                    <w:tl2br w:val="nil"/>
                    <w:tr2bl w:val="nil"/>
                  </w:tcBorders>
                  <w:shd w:val="clear" w:color="auto" w:fill="auto"/>
                  <w:noWrap/>
                  <w:vAlign w:val="center"/>
                </w:tcPr>
                <w:p w14:paraId="4DE3B70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3mmPb铅板+5mmPb注射器保护套+1mmPb铅防护用品</w:t>
                  </w:r>
                </w:p>
              </w:tc>
              <w:tc>
                <w:tcPr>
                  <w:tcW w:w="1611" w:type="dxa"/>
                  <w:tcBorders>
                    <w:tl2br w:val="nil"/>
                    <w:tr2bl w:val="nil"/>
                  </w:tcBorders>
                  <w:shd w:val="clear" w:color="auto" w:fill="auto"/>
                  <w:noWrap/>
                  <w:vAlign w:val="center"/>
                </w:tcPr>
                <w:p w14:paraId="19B536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7.01E-09</w:t>
                  </w:r>
                </w:p>
              </w:tc>
            </w:tr>
            <w:tr w14:paraId="0ED6E5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0" w:type="auto"/>
                  <w:shd w:val="clear" w:color="auto" w:fill="auto"/>
                  <w:vAlign w:val="center"/>
                </w:tcPr>
                <w:p w14:paraId="615F1E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H</w:t>
                  </w:r>
                </w:p>
              </w:tc>
              <w:tc>
                <w:tcPr>
                  <w:tcW w:w="0" w:type="auto"/>
                  <w:shd w:val="clear" w:color="auto" w:fill="auto"/>
                  <w:vAlign w:val="center"/>
                </w:tcPr>
                <w:p w14:paraId="30F2A3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顶棚上方距顶棚地面 100cm 处</w:t>
                  </w:r>
                </w:p>
              </w:tc>
              <w:tc>
                <w:tcPr>
                  <w:tcW w:w="0" w:type="auto"/>
                  <w:shd w:val="clear" w:color="auto" w:fill="auto"/>
                  <w:vAlign w:val="center"/>
                </w:tcPr>
                <w:p w14:paraId="0DEEC22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4.45</w:t>
                  </w:r>
                </w:p>
              </w:tc>
              <w:tc>
                <w:tcPr>
                  <w:tcW w:w="2728" w:type="dxa"/>
                  <w:shd w:val="clear" w:color="auto" w:fill="auto"/>
                  <w:vAlign w:val="center"/>
                </w:tcPr>
                <w:p w14:paraId="110433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611" w:type="dxa"/>
                  <w:shd w:val="clear" w:color="auto" w:fill="auto"/>
                  <w:vAlign w:val="center"/>
                </w:tcPr>
                <w:p w14:paraId="5A689B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2.26E-09</w:t>
                  </w:r>
                </w:p>
              </w:tc>
            </w:tr>
            <w:tr w14:paraId="041588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0" w:type="auto"/>
                  <w:shd w:val="clear" w:color="auto" w:fill="auto"/>
                  <w:vAlign w:val="center"/>
                </w:tcPr>
                <w:p w14:paraId="319A19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I</w:t>
                  </w:r>
                </w:p>
              </w:tc>
              <w:tc>
                <w:tcPr>
                  <w:tcW w:w="0" w:type="auto"/>
                  <w:shd w:val="clear" w:color="auto" w:fill="auto"/>
                  <w:vAlign w:val="center"/>
                </w:tcPr>
                <w:p w14:paraId="6F9B8FE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地面下方距楼下地面 170cm 处</w:t>
                  </w:r>
                </w:p>
              </w:tc>
              <w:tc>
                <w:tcPr>
                  <w:tcW w:w="0" w:type="auto"/>
                  <w:shd w:val="clear" w:color="auto" w:fill="auto"/>
                  <w:vAlign w:val="center"/>
                </w:tcPr>
                <w:p w14:paraId="574CAFC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2.85</w:t>
                  </w:r>
                </w:p>
              </w:tc>
              <w:tc>
                <w:tcPr>
                  <w:tcW w:w="2728" w:type="dxa"/>
                  <w:shd w:val="clear" w:color="auto" w:fill="auto"/>
                  <w:vAlign w:val="center"/>
                </w:tcPr>
                <w:p w14:paraId="0F22EF8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3mmPb铅板+5mmPb注射器保护套</w:t>
                  </w:r>
                </w:p>
              </w:tc>
              <w:tc>
                <w:tcPr>
                  <w:tcW w:w="1611" w:type="dxa"/>
                  <w:shd w:val="clear" w:color="auto" w:fill="auto"/>
                  <w:vAlign w:val="center"/>
                </w:tcPr>
                <w:p w14:paraId="7F23FC1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5.52E-09</w:t>
                  </w:r>
                </w:p>
              </w:tc>
            </w:tr>
            <w:tr w14:paraId="21BF49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0" w:type="auto"/>
                  <w:shd w:val="clear" w:color="auto" w:fill="auto"/>
                  <w:vAlign w:val="center"/>
                </w:tcPr>
                <w:p w14:paraId="64C9DC9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J</w:t>
                  </w:r>
                </w:p>
              </w:tc>
              <w:tc>
                <w:tcPr>
                  <w:tcW w:w="0" w:type="auto"/>
                  <w:shd w:val="clear" w:color="auto" w:fill="auto"/>
                  <w:vAlign w:val="center"/>
                </w:tcPr>
                <w:p w14:paraId="63B21D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运输铅罐表面30cm</w:t>
                  </w:r>
                </w:p>
              </w:tc>
              <w:tc>
                <w:tcPr>
                  <w:tcW w:w="0" w:type="auto"/>
                  <w:shd w:val="clear" w:color="auto" w:fill="auto"/>
                  <w:vAlign w:val="center"/>
                </w:tcPr>
                <w:p w14:paraId="6837B80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0.3</w:t>
                  </w:r>
                </w:p>
              </w:tc>
              <w:tc>
                <w:tcPr>
                  <w:tcW w:w="2728" w:type="dxa"/>
                  <w:shd w:val="clear" w:color="auto" w:fill="auto"/>
                  <w:vAlign w:val="center"/>
                </w:tcPr>
                <w:p w14:paraId="41C444B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20mmPb</w:t>
                  </w:r>
                </w:p>
              </w:tc>
              <w:tc>
                <w:tcPr>
                  <w:tcW w:w="1611" w:type="dxa"/>
                  <w:shd w:val="clear" w:color="auto" w:fill="auto"/>
                  <w:vAlign w:val="center"/>
                </w:tcPr>
                <w:p w14:paraId="2256A2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4.98E-19</w:t>
                  </w:r>
                </w:p>
              </w:tc>
            </w:tr>
          </w:tbl>
          <w:p w14:paraId="06563550">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b/>
                <w:color w:val="auto"/>
                <w:sz w:val="24"/>
                <w:szCs w:val="22"/>
                <w:highlight w:val="none"/>
              </w:rPr>
            </w:pPr>
            <w:r>
              <w:rPr>
                <w:rFonts w:hint="default" w:ascii="Times New Roman" w:hAnsi="Times New Roman" w:cs="Times New Roman"/>
                <w:color w:val="auto"/>
                <w:sz w:val="24"/>
                <w:szCs w:val="24"/>
                <w:highlight w:val="none"/>
                <w:lang w:val="en-US" w:eastAsia="zh-CN"/>
              </w:rPr>
              <w:t>由上表关注点辐射剂量率计算结果可知，各关注点辐射剂量均低于2.5μSv/h 剂量率限值，符合《核医学辐射防护与安全要求》（HJ1188-2021）的要求。</w:t>
            </w:r>
          </w:p>
          <w:p w14:paraId="08ED1475">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color w:val="auto"/>
                <w:sz w:val="24"/>
                <w:szCs w:val="22"/>
                <w:highlight w:val="none"/>
                <w:lang w:val="en-US" w:eastAsia="zh-CN"/>
              </w:rPr>
            </w:pPr>
            <w:r>
              <w:rPr>
                <w:rFonts w:hint="default" w:ascii="Times New Roman" w:hAnsi="Times New Roman" w:eastAsia="宋体" w:cs="Times New Roman"/>
                <w:b w:val="0"/>
                <w:bCs/>
                <w:color w:val="auto"/>
                <w:sz w:val="24"/>
                <w:szCs w:val="22"/>
                <w:highlight w:val="none"/>
                <w:lang w:val="en-US" w:eastAsia="zh-CN"/>
              </w:rPr>
              <w:t>根据《新疆医科大学附属肿瘤医院新增数字减影血管造影机（DSA）项目环境影响报告表》中的结论：减影工况下，机房外辐射剂量率最大</w:t>
            </w:r>
            <w:r>
              <w:rPr>
                <w:rFonts w:hint="default" w:ascii="Times New Roman" w:hAnsi="Times New Roman" w:cs="Times New Roman"/>
                <w:b w:val="0"/>
                <w:bCs/>
                <w:color w:val="auto"/>
                <w:sz w:val="24"/>
                <w:szCs w:val="22"/>
                <w:highlight w:val="none"/>
                <w:lang w:val="en-US" w:eastAsia="zh-CN"/>
              </w:rPr>
              <w:t>为1.18×10</w:t>
            </w:r>
            <w:r>
              <w:rPr>
                <w:rFonts w:hint="default" w:ascii="Times New Roman" w:hAnsi="Times New Roman" w:cs="Times New Roman"/>
                <w:b w:val="0"/>
                <w:bCs/>
                <w:color w:val="auto"/>
                <w:sz w:val="24"/>
                <w:szCs w:val="22"/>
                <w:highlight w:val="none"/>
                <w:vertAlign w:val="superscript"/>
                <w:lang w:val="en-US" w:eastAsia="zh-CN"/>
              </w:rPr>
              <w:t>-1</w:t>
            </w:r>
            <w:r>
              <w:rPr>
                <w:rFonts w:hint="default" w:ascii="Times New Roman" w:hAnsi="Times New Roman" w:cs="Times New Roman"/>
                <w:b w:val="0"/>
                <w:bCs/>
                <w:color w:val="auto"/>
                <w:sz w:val="24"/>
                <w:szCs w:val="22"/>
                <w:highlight w:val="none"/>
                <w:vertAlign w:val="baseline"/>
                <w:lang w:val="en-US" w:eastAsia="zh-CN"/>
              </w:rPr>
              <w:t>μGy/h</w:t>
            </w:r>
            <w:r>
              <w:rPr>
                <w:rFonts w:hint="eastAsia" w:ascii="Times New Roman" w:hAnsi="Times New Roman" w:cs="Times New Roman"/>
                <w:b w:val="0"/>
                <w:bCs/>
                <w:color w:val="auto"/>
                <w:sz w:val="24"/>
                <w:szCs w:val="22"/>
                <w:highlight w:val="none"/>
                <w:vertAlign w:val="baseline"/>
                <w:lang w:val="en-US" w:eastAsia="zh-CN"/>
              </w:rPr>
              <w:t>。介入手术2室机房屏蔽体满足《放射诊断放射防护要求》（GBZ130-2020）中的防护要求。叠加上表中的预测结果可知，在同时开展DSA联合Tc-99m模拟治疗以及DSA联合Y-90微球介入手术的工况下，介入手术2室机房外各关注点辐射剂量也不会超过2.5μSv/h，符合《核医学辐射防护与安全要求》（HJ1188-2021）的要求。</w:t>
            </w:r>
          </w:p>
          <w:p w14:paraId="2C1505A0">
            <w:pPr>
              <w:keepNext w:val="0"/>
              <w:keepLines w:val="0"/>
              <w:suppressLineNumbers w:val="0"/>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color w:val="auto"/>
                <w:sz w:val="24"/>
                <w:szCs w:val="22"/>
                <w:highlight w:val="none"/>
                <w:lang w:val="en-US" w:eastAsia="zh-CN"/>
              </w:rPr>
            </w:pPr>
            <w:r>
              <w:rPr>
                <w:rFonts w:hint="default" w:ascii="Times New Roman" w:hAnsi="Times New Roman" w:eastAsia="宋体" w:cs="Times New Roman"/>
                <w:b/>
                <w:color w:val="auto"/>
                <w:sz w:val="24"/>
                <w:szCs w:val="22"/>
                <w:highlight w:val="none"/>
                <w:lang w:val="en-US" w:eastAsia="zh-CN"/>
              </w:rPr>
              <w:t>11.</w:t>
            </w:r>
            <w:r>
              <w:rPr>
                <w:rFonts w:hint="eastAsia" w:ascii="Times New Roman" w:hAnsi="Times New Roman" w:eastAsia="宋体" w:cs="Times New Roman"/>
                <w:b/>
                <w:color w:val="auto"/>
                <w:sz w:val="24"/>
                <w:szCs w:val="22"/>
                <w:highlight w:val="none"/>
                <w:lang w:val="en-US" w:eastAsia="zh-CN"/>
              </w:rPr>
              <w:t>2</w:t>
            </w:r>
            <w:r>
              <w:rPr>
                <w:rFonts w:hint="eastAsia" w:cs="Times New Roman"/>
                <w:b/>
                <w:color w:val="auto"/>
                <w:sz w:val="24"/>
                <w:szCs w:val="22"/>
                <w:highlight w:val="none"/>
                <w:lang w:val="en-US" w:eastAsia="zh-CN"/>
              </w:rPr>
              <w:t>.2</w:t>
            </w:r>
            <w:r>
              <w:rPr>
                <w:rFonts w:hint="default" w:ascii="Times New Roman" w:hAnsi="Times New Roman" w:eastAsia="宋体" w:cs="Times New Roman"/>
                <w:b/>
                <w:color w:val="auto"/>
                <w:sz w:val="24"/>
                <w:szCs w:val="22"/>
                <w:highlight w:val="none"/>
                <w:lang w:val="en-US" w:eastAsia="zh-CN"/>
              </w:rPr>
              <w:t>年有效剂量估算</w:t>
            </w:r>
          </w:p>
          <w:p w14:paraId="442974D6">
            <w:pPr>
              <w:keepNext w:val="0"/>
              <w:keepLines w:val="0"/>
              <w:suppressLineNumbers w:val="0"/>
              <w:autoSpaceDE w:val="0"/>
              <w:autoSpaceDN w:val="0"/>
              <w:adjustRightInd w:val="0"/>
              <w:snapToGrid w:val="0"/>
              <w:spacing w:before="0" w:beforeAutospacing="0" w:after="0" w:afterAutospacing="0" w:line="360" w:lineRule="auto"/>
              <w:ind w:left="0" w:right="0" w:firstLine="480"/>
              <w:jc w:val="both"/>
              <w:textAlignment w:val="baseline"/>
              <w:rPr>
                <w:rFonts w:hint="eastAsia"/>
                <w:color w:val="auto"/>
                <w:kern w:val="0"/>
                <w:sz w:val="24"/>
                <w:szCs w:val="22"/>
                <w:highlight w:val="none"/>
                <w:lang w:val="en-GB"/>
              </w:rPr>
            </w:pPr>
            <w:r>
              <w:rPr>
                <w:rFonts w:hint="eastAsia" w:eastAsia="宋体"/>
                <w:color w:val="auto"/>
                <w:kern w:val="0"/>
                <w:sz w:val="24"/>
                <w:szCs w:val="22"/>
                <w:highlight w:val="none"/>
                <w:lang w:val="en-GB"/>
              </w:rPr>
              <w:t>按照联合国原子辐射效应科学委员会（UNSCEAR）－</w:t>
            </w:r>
            <w:r>
              <w:rPr>
                <w:rFonts w:hint="eastAsia"/>
                <w:color w:val="auto"/>
                <w:kern w:val="0"/>
                <w:sz w:val="24"/>
                <w:szCs w:val="22"/>
                <w:highlight w:val="none"/>
              </w:rPr>
              <w:t>2</w:t>
            </w:r>
            <w:r>
              <w:rPr>
                <w:rFonts w:hint="eastAsia"/>
                <w:color w:val="auto"/>
                <w:kern w:val="0"/>
                <w:sz w:val="24"/>
                <w:szCs w:val="22"/>
                <w:highlight w:val="none"/>
                <w:lang w:val="en-GB"/>
              </w:rPr>
              <w:t>000</w:t>
            </w:r>
            <w:r>
              <w:rPr>
                <w:rFonts w:hint="eastAsia" w:eastAsia="宋体"/>
                <w:color w:val="auto"/>
                <w:kern w:val="0"/>
                <w:sz w:val="24"/>
                <w:szCs w:val="22"/>
                <w:highlight w:val="none"/>
                <w:lang w:val="en-GB"/>
              </w:rPr>
              <w:t>年报告附录A公式</w:t>
            </w:r>
            <w:r>
              <w:rPr>
                <w:rFonts w:hint="eastAsia" w:eastAsia="宋体"/>
                <w:color w:val="auto"/>
                <w:kern w:val="0"/>
                <w:sz w:val="24"/>
                <w:szCs w:val="22"/>
                <w:highlight w:val="none"/>
              </w:rPr>
              <w:t>演变</w:t>
            </w:r>
            <w:r>
              <w:rPr>
                <w:rFonts w:hint="eastAsia" w:eastAsia="宋体"/>
                <w:color w:val="auto"/>
                <w:kern w:val="0"/>
                <w:sz w:val="24"/>
                <w:szCs w:val="22"/>
                <w:highlight w:val="none"/>
                <w:lang w:val="en-GB"/>
              </w:rPr>
              <w:t>计算：</w:t>
            </w:r>
          </w:p>
          <w:p w14:paraId="57520C77">
            <w:pPr>
              <w:keepNext w:val="0"/>
              <w:keepLines w:val="0"/>
              <w:suppressLineNumbers w:val="0"/>
              <w:autoSpaceDE w:val="0"/>
              <w:autoSpaceDN w:val="0"/>
              <w:spacing w:before="0" w:beforeLines="0" w:beforeAutospacing="0" w:after="0" w:afterLines="0" w:afterAutospacing="0" w:line="360" w:lineRule="auto"/>
              <w:ind w:left="2943" w:right="0" w:firstLine="0" w:firstLineChars="0"/>
              <w:jc w:val="both"/>
              <w:rPr>
                <w:rFonts w:hint="eastAsia"/>
                <w:color w:val="auto"/>
                <w:kern w:val="0"/>
                <w:sz w:val="24"/>
                <w:szCs w:val="24"/>
                <w:highlight w:val="none"/>
              </w:rPr>
            </w:pPr>
            <w:r>
              <w:rPr>
                <w:rFonts w:hint="eastAsia"/>
                <w:i/>
                <w:color w:val="auto"/>
                <w:spacing w:val="-2"/>
                <w:kern w:val="0"/>
                <w:position w:val="1"/>
                <w:sz w:val="24"/>
                <w:szCs w:val="24"/>
                <w:highlight w:val="none"/>
              </w:rPr>
              <w:t>Hr=H×t×T×10</w:t>
            </w:r>
            <w:r>
              <w:rPr>
                <w:rFonts w:hint="eastAsia"/>
                <w:i/>
                <w:color w:val="auto"/>
                <w:spacing w:val="-2"/>
                <w:kern w:val="0"/>
                <w:position w:val="7"/>
                <w:sz w:val="13"/>
                <w:szCs w:val="13"/>
                <w:highlight w:val="none"/>
              </w:rPr>
              <w:t>3</w:t>
            </w:r>
            <w:r>
              <w:rPr>
                <w:rFonts w:hint="eastAsia"/>
                <w:i/>
                <w:color w:val="auto"/>
                <w:spacing w:val="1"/>
                <w:kern w:val="0"/>
                <w:position w:val="7"/>
                <w:sz w:val="13"/>
                <w:szCs w:val="13"/>
                <w:highlight w:val="none"/>
              </w:rPr>
              <w:t xml:space="preserve"> </w:t>
            </w:r>
            <w:r>
              <w:rPr>
                <w:rFonts w:hint="eastAsia"/>
                <w:b/>
                <w:i/>
                <w:color w:val="auto"/>
                <w:spacing w:val="-2"/>
                <w:kern w:val="0"/>
                <w:position w:val="1"/>
                <w:sz w:val="24"/>
                <w:szCs w:val="24"/>
                <w:highlight w:val="none"/>
              </w:rPr>
              <w:t>·</w:t>
            </w:r>
            <w:r>
              <w:rPr>
                <w:rFonts w:hint="eastAsia"/>
                <w:b/>
                <w:color w:val="auto"/>
                <w:spacing w:val="-2"/>
                <w:kern w:val="0"/>
                <w:position w:val="1"/>
                <w:sz w:val="24"/>
                <w:szCs w:val="24"/>
                <w:highlight w:val="none"/>
              </w:rPr>
              <w:t>····</w:t>
            </w:r>
            <w:r>
              <w:rPr>
                <w:rFonts w:hint="eastAsia" w:eastAsia="宋体"/>
                <w:color w:val="auto"/>
                <w:kern w:val="0"/>
                <w:sz w:val="24"/>
                <w:szCs w:val="24"/>
                <w:highlight w:val="none"/>
              </w:rPr>
              <w:t>（公式</w:t>
            </w:r>
            <w:r>
              <w:rPr>
                <w:rFonts w:hint="eastAsia"/>
                <w:color w:val="auto"/>
                <w:kern w:val="0"/>
                <w:sz w:val="24"/>
                <w:szCs w:val="24"/>
                <w:highlight w:val="none"/>
              </w:rPr>
              <w:t>11-</w:t>
            </w:r>
            <w:r>
              <w:rPr>
                <w:rFonts w:hint="eastAsia"/>
                <w:color w:val="auto"/>
                <w:kern w:val="0"/>
                <w:sz w:val="24"/>
                <w:szCs w:val="24"/>
                <w:highlight w:val="none"/>
                <w:lang w:val="en-US" w:eastAsia="zh-CN"/>
              </w:rPr>
              <w:t>8</w:t>
            </w:r>
            <w:r>
              <w:rPr>
                <w:rFonts w:hint="eastAsia" w:eastAsia="宋体"/>
                <w:color w:val="auto"/>
                <w:kern w:val="0"/>
                <w:sz w:val="24"/>
                <w:szCs w:val="24"/>
                <w:highlight w:val="none"/>
              </w:rPr>
              <w:t>）</w:t>
            </w:r>
          </w:p>
          <w:p w14:paraId="14C31F2C">
            <w:pPr>
              <w:keepNext w:val="0"/>
              <w:keepLines w:val="0"/>
              <w:suppressLineNumbers w:val="0"/>
              <w:autoSpaceDE w:val="0"/>
              <w:autoSpaceDN w:val="0"/>
              <w:spacing w:before="188" w:beforeLines="0" w:beforeAutospacing="0" w:after="0" w:afterLines="0" w:afterAutospacing="0" w:line="360" w:lineRule="auto"/>
              <w:ind w:left="592" w:right="0" w:firstLine="460"/>
              <w:jc w:val="both"/>
              <w:rPr>
                <w:rFonts w:hint="eastAsia"/>
                <w:color w:val="auto"/>
                <w:kern w:val="0"/>
                <w:sz w:val="24"/>
                <w:szCs w:val="24"/>
                <w:highlight w:val="none"/>
              </w:rPr>
            </w:pPr>
            <w:r>
              <w:rPr>
                <w:rFonts w:hint="eastAsia" w:eastAsia="宋体"/>
                <w:color w:val="auto"/>
                <w:spacing w:val="-5"/>
                <w:kern w:val="0"/>
                <w:sz w:val="24"/>
                <w:szCs w:val="24"/>
                <w:highlight w:val="none"/>
              </w:rPr>
              <w:t>式中：</w:t>
            </w:r>
          </w:p>
          <w:p w14:paraId="4A24D710">
            <w:pPr>
              <w:keepNext w:val="0"/>
              <w:keepLines w:val="0"/>
              <w:suppressLineNumbers w:val="0"/>
              <w:autoSpaceDE w:val="0"/>
              <w:autoSpaceDN w:val="0"/>
              <w:spacing w:before="179" w:beforeLines="0" w:beforeAutospacing="0" w:after="0" w:afterLines="0" w:afterAutospacing="0" w:line="360" w:lineRule="auto"/>
              <w:ind w:left="582" w:right="0" w:firstLine="476"/>
              <w:jc w:val="both"/>
              <w:rPr>
                <w:rFonts w:hint="eastAsia"/>
                <w:color w:val="auto"/>
                <w:kern w:val="0"/>
                <w:sz w:val="24"/>
                <w:szCs w:val="24"/>
                <w:highlight w:val="none"/>
              </w:rPr>
            </w:pPr>
            <w:r>
              <w:rPr>
                <w:rFonts w:hint="eastAsia"/>
                <w:color w:val="auto"/>
                <w:spacing w:val="-1"/>
                <w:kern w:val="0"/>
                <w:sz w:val="24"/>
                <w:szCs w:val="24"/>
                <w:highlight w:val="none"/>
              </w:rPr>
              <w:t>Hr—</w:t>
            </w:r>
            <w:r>
              <w:rPr>
                <w:rFonts w:hint="eastAsia" w:eastAsia="宋体"/>
                <w:color w:val="auto"/>
                <w:spacing w:val="-1"/>
                <w:kern w:val="0"/>
                <w:sz w:val="24"/>
                <w:szCs w:val="24"/>
                <w:highlight w:val="none"/>
              </w:rPr>
              <w:t>辐射外照射人均年有效剂量，</w:t>
            </w:r>
            <w:r>
              <w:rPr>
                <w:rFonts w:hint="eastAsia"/>
                <w:color w:val="auto"/>
                <w:spacing w:val="-1"/>
                <w:kern w:val="0"/>
                <w:sz w:val="24"/>
                <w:szCs w:val="24"/>
                <w:highlight w:val="none"/>
              </w:rPr>
              <w:t>mSv</w:t>
            </w:r>
            <w:r>
              <w:rPr>
                <w:rFonts w:hint="eastAsia" w:eastAsia="宋体"/>
                <w:color w:val="auto"/>
                <w:spacing w:val="-1"/>
                <w:kern w:val="0"/>
                <w:sz w:val="24"/>
                <w:szCs w:val="24"/>
                <w:highlight w:val="none"/>
              </w:rPr>
              <w:t>；</w:t>
            </w:r>
          </w:p>
          <w:p w14:paraId="23C2FB63">
            <w:pPr>
              <w:keepNext w:val="0"/>
              <w:keepLines w:val="0"/>
              <w:suppressLineNumbers w:val="0"/>
              <w:autoSpaceDE w:val="0"/>
              <w:autoSpaceDN w:val="0"/>
              <w:spacing w:before="184" w:beforeLines="0" w:beforeAutospacing="0" w:after="0" w:afterLines="0" w:afterAutospacing="0" w:line="360" w:lineRule="auto"/>
              <w:ind w:left="582" w:right="0" w:firstLine="476"/>
              <w:jc w:val="both"/>
              <w:rPr>
                <w:rFonts w:hint="eastAsia"/>
                <w:color w:val="auto"/>
                <w:kern w:val="0"/>
                <w:sz w:val="24"/>
                <w:szCs w:val="24"/>
                <w:highlight w:val="none"/>
              </w:rPr>
            </w:pPr>
            <w:r>
              <w:rPr>
                <w:rFonts w:hint="eastAsia"/>
                <w:color w:val="auto"/>
                <w:spacing w:val="-1"/>
                <w:kern w:val="0"/>
                <w:sz w:val="24"/>
                <w:szCs w:val="24"/>
                <w:highlight w:val="none"/>
              </w:rPr>
              <w:t>H—</w:t>
            </w:r>
            <w:r>
              <w:rPr>
                <w:rFonts w:hint="eastAsia" w:eastAsia="宋体"/>
                <w:color w:val="auto"/>
                <w:spacing w:val="-1"/>
                <w:kern w:val="0"/>
                <w:sz w:val="24"/>
                <w:szCs w:val="24"/>
                <w:highlight w:val="none"/>
              </w:rPr>
              <w:t>辐射剂量率，</w:t>
            </w:r>
            <w:r>
              <w:rPr>
                <w:rFonts w:hint="eastAsia"/>
                <w:color w:val="auto"/>
                <w:spacing w:val="-1"/>
                <w:kern w:val="0"/>
                <w:sz w:val="24"/>
                <w:szCs w:val="24"/>
                <w:highlight w:val="none"/>
              </w:rPr>
              <w:t>μSv/h</w:t>
            </w:r>
            <w:r>
              <w:rPr>
                <w:rFonts w:hint="eastAsia" w:eastAsia="宋体"/>
                <w:color w:val="auto"/>
                <w:spacing w:val="-1"/>
                <w:kern w:val="0"/>
                <w:sz w:val="24"/>
                <w:szCs w:val="24"/>
                <w:highlight w:val="none"/>
              </w:rPr>
              <w:t>；</w:t>
            </w:r>
          </w:p>
          <w:p w14:paraId="3FF01B1F">
            <w:pPr>
              <w:keepNext w:val="0"/>
              <w:keepLines w:val="0"/>
              <w:suppressLineNumbers w:val="0"/>
              <w:autoSpaceDE w:val="0"/>
              <w:autoSpaceDN w:val="0"/>
              <w:spacing w:before="192" w:beforeLines="0" w:beforeAutospacing="0" w:after="0" w:afterLines="0" w:afterAutospacing="0" w:line="360" w:lineRule="auto"/>
              <w:ind w:left="580" w:right="0" w:firstLine="476"/>
              <w:jc w:val="both"/>
              <w:rPr>
                <w:rFonts w:hint="eastAsia"/>
                <w:color w:val="auto"/>
                <w:kern w:val="0"/>
                <w:sz w:val="24"/>
                <w:szCs w:val="24"/>
                <w:highlight w:val="none"/>
              </w:rPr>
            </w:pPr>
            <w:r>
              <w:rPr>
                <w:rFonts w:hint="eastAsia"/>
                <w:color w:val="auto"/>
                <w:spacing w:val="-1"/>
                <w:kern w:val="0"/>
                <w:sz w:val="24"/>
                <w:szCs w:val="24"/>
                <w:highlight w:val="none"/>
              </w:rPr>
              <w:t>t—</w:t>
            </w:r>
            <w:r>
              <w:rPr>
                <w:rFonts w:hint="eastAsia" w:eastAsia="宋体"/>
                <w:color w:val="auto"/>
                <w:spacing w:val="-1"/>
                <w:kern w:val="0"/>
                <w:sz w:val="24"/>
                <w:szCs w:val="24"/>
                <w:highlight w:val="none"/>
              </w:rPr>
              <w:t>年工作时间，</w:t>
            </w:r>
            <w:r>
              <w:rPr>
                <w:rFonts w:hint="eastAsia"/>
                <w:color w:val="auto"/>
                <w:spacing w:val="-1"/>
                <w:kern w:val="0"/>
                <w:sz w:val="24"/>
                <w:szCs w:val="24"/>
                <w:highlight w:val="none"/>
              </w:rPr>
              <w:t>h</w:t>
            </w:r>
            <w:r>
              <w:rPr>
                <w:rFonts w:hint="eastAsia" w:eastAsia="宋体"/>
                <w:color w:val="auto"/>
                <w:spacing w:val="-1"/>
                <w:kern w:val="0"/>
                <w:sz w:val="24"/>
                <w:szCs w:val="24"/>
                <w:highlight w:val="none"/>
              </w:rPr>
              <w:t>；</w:t>
            </w:r>
          </w:p>
          <w:p w14:paraId="75083138">
            <w:pPr>
              <w:keepNext w:val="0"/>
              <w:keepLines w:val="0"/>
              <w:suppressLineNumbers w:val="0"/>
              <w:autoSpaceDE w:val="0"/>
              <w:autoSpaceDN w:val="0"/>
              <w:spacing w:before="182" w:beforeLines="0" w:beforeAutospacing="0" w:after="0" w:afterLines="0" w:afterAutospacing="0" w:line="360" w:lineRule="auto"/>
              <w:ind w:left="585" w:right="0" w:firstLine="468"/>
              <w:jc w:val="both"/>
              <w:rPr>
                <w:rFonts w:hint="eastAsia"/>
                <w:color w:val="auto"/>
                <w:kern w:val="0"/>
                <w:sz w:val="24"/>
                <w:szCs w:val="24"/>
                <w:highlight w:val="none"/>
              </w:rPr>
            </w:pPr>
            <w:r>
              <w:rPr>
                <w:rFonts w:hint="eastAsia"/>
                <w:color w:val="auto"/>
                <w:spacing w:val="-3"/>
                <w:kern w:val="0"/>
                <w:sz w:val="24"/>
                <w:szCs w:val="24"/>
                <w:highlight w:val="none"/>
              </w:rPr>
              <w:t>T—</w:t>
            </w:r>
            <w:r>
              <w:rPr>
                <w:rFonts w:hint="eastAsia" w:eastAsia="宋体"/>
                <w:color w:val="auto"/>
                <w:spacing w:val="-3"/>
                <w:kern w:val="0"/>
                <w:sz w:val="24"/>
                <w:szCs w:val="24"/>
                <w:highlight w:val="none"/>
              </w:rPr>
              <w:t>居留因子。</w:t>
            </w:r>
          </w:p>
          <w:p w14:paraId="481C41B0">
            <w:pPr>
              <w:keepNext w:val="0"/>
              <w:keepLines w:val="0"/>
              <w:suppressLineNumbers w:val="0"/>
              <w:autoSpaceDE w:val="0"/>
              <w:autoSpaceDN w:val="0"/>
              <w:spacing w:before="0" w:beforeAutospacing="0" w:after="0" w:afterAutospacing="0" w:line="360" w:lineRule="auto"/>
              <w:ind w:left="0" w:right="0" w:firstLine="480"/>
              <w:jc w:val="both"/>
              <w:rPr>
                <w:rFonts w:hint="default"/>
                <w:color w:val="auto"/>
                <w:kern w:val="0"/>
                <w:sz w:val="24"/>
                <w:szCs w:val="22"/>
                <w:highlight w:val="none"/>
                <w:lang w:val="en-US"/>
              </w:rPr>
            </w:pPr>
            <w:r>
              <w:rPr>
                <w:rFonts w:hint="eastAsia" w:eastAsia="宋体"/>
                <w:color w:val="auto"/>
                <w:kern w:val="0"/>
                <w:sz w:val="24"/>
                <w:szCs w:val="22"/>
                <w:highlight w:val="none"/>
              </w:rPr>
              <w:t>根据医院提供的资料</w:t>
            </w:r>
            <w:r>
              <w:rPr>
                <w:rFonts w:hint="eastAsia" w:eastAsia="宋体"/>
                <w:color w:val="auto"/>
                <w:kern w:val="0"/>
                <w:sz w:val="24"/>
                <w:szCs w:val="22"/>
                <w:highlight w:val="none"/>
                <w:lang w:eastAsia="zh-CN"/>
              </w:rPr>
              <w:t>：</w:t>
            </w:r>
            <w:r>
              <w:rPr>
                <w:rFonts w:hint="default"/>
                <w:color w:val="auto"/>
                <w:kern w:val="0"/>
                <w:sz w:val="24"/>
                <w:szCs w:val="22"/>
                <w:highlight w:val="none"/>
                <w:lang w:val="en-US"/>
              </w:rPr>
              <w:t>单光子药物</w:t>
            </w:r>
            <w:r>
              <w:rPr>
                <w:rFonts w:hint="default"/>
                <w:color w:val="auto"/>
                <w:kern w:val="0"/>
                <w:sz w:val="24"/>
                <w:szCs w:val="22"/>
                <w:highlight w:val="none"/>
                <w:lang w:val="en-US" w:eastAsia="zh-CN"/>
              </w:rPr>
              <w:t>Tc-99m</w:t>
            </w:r>
            <w:r>
              <w:rPr>
                <w:rFonts w:hint="default"/>
                <w:color w:val="auto"/>
                <w:kern w:val="0"/>
                <w:sz w:val="24"/>
                <w:szCs w:val="22"/>
                <w:highlight w:val="none"/>
                <w:lang w:val="en-US"/>
              </w:rPr>
              <w:t>及正电子药物（</w:t>
            </w:r>
            <w:r>
              <w:rPr>
                <w:rFonts w:hint="default"/>
                <w:color w:val="auto"/>
                <w:kern w:val="0"/>
                <w:sz w:val="24"/>
                <w:szCs w:val="22"/>
                <w:highlight w:val="none"/>
                <w:lang w:val="en-US" w:eastAsia="zh-CN"/>
              </w:rPr>
              <w:t>F-18</w:t>
            </w:r>
            <w:r>
              <w:rPr>
                <w:rFonts w:hint="default"/>
                <w:color w:val="auto"/>
                <w:kern w:val="0"/>
                <w:sz w:val="24"/>
                <w:szCs w:val="22"/>
                <w:highlight w:val="none"/>
                <w:lang w:val="en-US"/>
              </w:rPr>
              <w:t>、</w:t>
            </w:r>
            <w:r>
              <w:rPr>
                <w:rFonts w:hint="default"/>
                <w:color w:val="auto"/>
                <w:kern w:val="0"/>
                <w:sz w:val="24"/>
                <w:szCs w:val="22"/>
                <w:highlight w:val="none"/>
                <w:lang w:val="en-US" w:eastAsia="zh-CN"/>
              </w:rPr>
              <w:t>Ga-68</w:t>
            </w:r>
            <w:r>
              <w:rPr>
                <w:rFonts w:hint="default"/>
                <w:color w:val="auto"/>
                <w:kern w:val="0"/>
                <w:sz w:val="24"/>
                <w:szCs w:val="22"/>
                <w:highlight w:val="none"/>
                <w:lang w:val="en-US"/>
              </w:rPr>
              <w:t>、C</w:t>
            </w:r>
            <w:r>
              <w:rPr>
                <w:rFonts w:hint="default"/>
                <w:color w:val="auto"/>
                <w:kern w:val="0"/>
                <w:sz w:val="24"/>
                <w:szCs w:val="22"/>
                <w:highlight w:val="none"/>
                <w:lang w:val="en-US" w:eastAsia="zh-CN"/>
              </w:rPr>
              <w:t>-11</w:t>
            </w:r>
            <w:r>
              <w:rPr>
                <w:rFonts w:hint="default"/>
                <w:color w:val="auto"/>
                <w:kern w:val="0"/>
                <w:sz w:val="24"/>
                <w:szCs w:val="22"/>
                <w:highlight w:val="none"/>
                <w:lang w:val="en-US"/>
              </w:rPr>
              <w:t>、N</w:t>
            </w:r>
            <w:r>
              <w:rPr>
                <w:rFonts w:hint="default"/>
                <w:color w:val="auto"/>
                <w:kern w:val="0"/>
                <w:sz w:val="24"/>
                <w:szCs w:val="22"/>
                <w:highlight w:val="none"/>
                <w:lang w:val="en-US" w:eastAsia="zh-CN"/>
              </w:rPr>
              <w:t>-13</w:t>
            </w:r>
            <w:r>
              <w:rPr>
                <w:rFonts w:hint="default"/>
                <w:color w:val="auto"/>
                <w:kern w:val="0"/>
                <w:sz w:val="24"/>
                <w:szCs w:val="22"/>
                <w:highlight w:val="none"/>
                <w:lang w:val="en-US"/>
              </w:rPr>
              <w:t>）全年生产天数250d，正电子药物每日仅安排生产1种；SPECT诊断（</w:t>
            </w:r>
            <w:r>
              <w:rPr>
                <w:rFonts w:hint="default"/>
                <w:color w:val="auto"/>
                <w:kern w:val="0"/>
                <w:sz w:val="24"/>
                <w:szCs w:val="22"/>
                <w:highlight w:val="none"/>
                <w:lang w:val="en-US" w:eastAsia="zh-CN"/>
              </w:rPr>
              <w:t>Tc-99m</w:t>
            </w:r>
            <w:r>
              <w:rPr>
                <w:rFonts w:hint="default"/>
                <w:color w:val="auto"/>
                <w:kern w:val="0"/>
                <w:sz w:val="24"/>
                <w:szCs w:val="22"/>
                <w:highlight w:val="none"/>
                <w:lang w:val="en-US"/>
              </w:rPr>
              <w:t>、</w:t>
            </w:r>
            <w:r>
              <w:rPr>
                <w:rFonts w:hint="default"/>
                <w:color w:val="auto"/>
                <w:kern w:val="0"/>
                <w:sz w:val="24"/>
                <w:szCs w:val="22"/>
                <w:highlight w:val="none"/>
                <w:lang w:val="en-US" w:eastAsia="zh-CN"/>
              </w:rPr>
              <w:t>I-131</w:t>
            </w:r>
            <w:r>
              <w:rPr>
                <w:rFonts w:hint="default"/>
                <w:color w:val="auto"/>
                <w:kern w:val="0"/>
                <w:sz w:val="24"/>
                <w:szCs w:val="22"/>
                <w:highlight w:val="none"/>
                <w:lang w:val="en-US"/>
              </w:rPr>
              <w:t>）、PET诊断（</w:t>
            </w:r>
            <w:r>
              <w:rPr>
                <w:rFonts w:hint="default"/>
                <w:color w:val="auto"/>
                <w:kern w:val="0"/>
                <w:sz w:val="24"/>
                <w:szCs w:val="22"/>
                <w:highlight w:val="none"/>
                <w:lang w:val="en-US" w:eastAsia="zh-CN"/>
              </w:rPr>
              <w:t>F-18</w:t>
            </w:r>
            <w:r>
              <w:rPr>
                <w:rFonts w:hint="default"/>
                <w:color w:val="auto"/>
                <w:kern w:val="0"/>
                <w:sz w:val="24"/>
                <w:szCs w:val="22"/>
                <w:highlight w:val="none"/>
                <w:lang w:val="en-US"/>
              </w:rPr>
              <w:t>、</w:t>
            </w:r>
            <w:r>
              <w:rPr>
                <w:rFonts w:hint="default"/>
                <w:color w:val="auto"/>
                <w:kern w:val="0"/>
                <w:sz w:val="24"/>
                <w:szCs w:val="22"/>
                <w:highlight w:val="none"/>
                <w:lang w:val="en-US" w:eastAsia="zh-CN"/>
              </w:rPr>
              <w:t>Ga-68</w:t>
            </w:r>
            <w:r>
              <w:rPr>
                <w:rFonts w:hint="default"/>
                <w:color w:val="auto"/>
                <w:kern w:val="0"/>
                <w:sz w:val="24"/>
                <w:szCs w:val="22"/>
                <w:highlight w:val="none"/>
                <w:lang w:val="en-US"/>
              </w:rPr>
              <w:t>、C</w:t>
            </w:r>
            <w:r>
              <w:rPr>
                <w:rFonts w:hint="default"/>
                <w:color w:val="auto"/>
                <w:kern w:val="0"/>
                <w:sz w:val="24"/>
                <w:szCs w:val="22"/>
                <w:highlight w:val="none"/>
                <w:lang w:val="en-US" w:eastAsia="zh-CN"/>
              </w:rPr>
              <w:t>-11</w:t>
            </w:r>
            <w:r>
              <w:rPr>
                <w:rFonts w:hint="default"/>
                <w:color w:val="auto"/>
                <w:kern w:val="0"/>
                <w:sz w:val="24"/>
                <w:szCs w:val="22"/>
                <w:highlight w:val="none"/>
                <w:lang w:val="en-US"/>
              </w:rPr>
              <w:t>、N</w:t>
            </w:r>
            <w:r>
              <w:rPr>
                <w:rFonts w:hint="default"/>
                <w:color w:val="auto"/>
                <w:kern w:val="0"/>
                <w:sz w:val="24"/>
                <w:szCs w:val="22"/>
                <w:highlight w:val="none"/>
                <w:lang w:val="en-US" w:eastAsia="zh-CN"/>
              </w:rPr>
              <w:t>-13</w:t>
            </w:r>
            <w:r>
              <w:rPr>
                <w:rFonts w:hint="default"/>
                <w:color w:val="auto"/>
                <w:kern w:val="0"/>
                <w:sz w:val="24"/>
                <w:szCs w:val="22"/>
                <w:highlight w:val="none"/>
                <w:lang w:val="en-US"/>
              </w:rPr>
              <w:t>）全年工作天数250d；</w:t>
            </w:r>
            <w:r>
              <w:rPr>
                <w:rFonts w:hint="default"/>
                <w:color w:val="auto"/>
                <w:kern w:val="0"/>
                <w:sz w:val="24"/>
                <w:szCs w:val="22"/>
                <w:highlight w:val="none"/>
                <w:lang w:val="en-US" w:eastAsia="zh-CN"/>
              </w:rPr>
              <w:t>I-131</w:t>
            </w:r>
            <w:r>
              <w:rPr>
                <w:rFonts w:hint="default"/>
                <w:color w:val="auto"/>
                <w:kern w:val="0"/>
                <w:sz w:val="24"/>
                <w:szCs w:val="22"/>
                <w:highlight w:val="none"/>
                <w:lang w:val="en-US"/>
              </w:rPr>
              <w:t>（胶囊）、</w:t>
            </w:r>
            <w:r>
              <w:rPr>
                <w:rFonts w:hint="default"/>
                <w:color w:val="auto"/>
                <w:kern w:val="0"/>
                <w:sz w:val="24"/>
                <w:szCs w:val="22"/>
                <w:highlight w:val="none"/>
                <w:vertAlign w:val="baseline"/>
                <w:lang w:val="en-US" w:eastAsia="zh-CN"/>
              </w:rPr>
              <w:t>Lu-177</w:t>
            </w:r>
            <w:r>
              <w:rPr>
                <w:rFonts w:hint="default"/>
                <w:color w:val="auto"/>
                <w:kern w:val="0"/>
                <w:sz w:val="24"/>
                <w:szCs w:val="22"/>
                <w:highlight w:val="none"/>
                <w:lang w:val="en-US"/>
              </w:rPr>
              <w:t>核素治疗全年工作天数250d；Ra</w:t>
            </w:r>
            <w:r>
              <w:rPr>
                <w:rFonts w:hint="eastAsia"/>
                <w:color w:val="auto"/>
                <w:kern w:val="0"/>
                <w:sz w:val="24"/>
                <w:szCs w:val="22"/>
                <w:highlight w:val="none"/>
                <w:lang w:val="en-US" w:eastAsia="zh-CN"/>
              </w:rPr>
              <w:t>-223</w:t>
            </w:r>
            <w:r>
              <w:rPr>
                <w:rFonts w:hint="default"/>
                <w:color w:val="auto"/>
                <w:kern w:val="0"/>
                <w:sz w:val="24"/>
                <w:szCs w:val="22"/>
                <w:highlight w:val="none"/>
                <w:lang w:val="en-US"/>
              </w:rPr>
              <w:t>、Ac</w:t>
            </w:r>
            <w:r>
              <w:rPr>
                <w:rFonts w:hint="eastAsia"/>
                <w:color w:val="auto"/>
                <w:kern w:val="0"/>
                <w:sz w:val="24"/>
                <w:szCs w:val="22"/>
                <w:highlight w:val="none"/>
                <w:lang w:val="en-US" w:eastAsia="zh-CN"/>
              </w:rPr>
              <w:t>-225</w:t>
            </w:r>
            <w:r>
              <w:rPr>
                <w:rFonts w:hint="default"/>
                <w:color w:val="auto"/>
                <w:kern w:val="0"/>
                <w:sz w:val="24"/>
                <w:szCs w:val="22"/>
                <w:highlight w:val="none"/>
                <w:lang w:val="en-US"/>
              </w:rPr>
              <w:t>、Y</w:t>
            </w:r>
            <w:r>
              <w:rPr>
                <w:rFonts w:hint="eastAsia"/>
                <w:color w:val="auto"/>
                <w:kern w:val="0"/>
                <w:sz w:val="24"/>
                <w:szCs w:val="22"/>
                <w:highlight w:val="none"/>
                <w:lang w:val="en-US" w:eastAsia="zh-CN"/>
              </w:rPr>
              <w:t>-90</w:t>
            </w:r>
            <w:r>
              <w:rPr>
                <w:rFonts w:hint="default"/>
                <w:color w:val="auto"/>
                <w:kern w:val="0"/>
                <w:sz w:val="24"/>
                <w:szCs w:val="22"/>
                <w:highlight w:val="none"/>
                <w:lang w:val="en-US"/>
              </w:rPr>
              <w:t>核素治疗全年工作天数30d。</w:t>
            </w:r>
          </w:p>
          <w:p w14:paraId="49523447">
            <w:pPr>
              <w:keepNext w:val="0"/>
              <w:keepLines w:val="0"/>
              <w:suppressLineNumbers w:val="0"/>
              <w:autoSpaceDE w:val="0"/>
              <w:autoSpaceDN w:val="0"/>
              <w:spacing w:before="0" w:beforeAutospacing="0" w:after="0" w:afterAutospacing="0" w:line="360" w:lineRule="auto"/>
              <w:ind w:left="0" w:right="0" w:firstLine="480"/>
              <w:jc w:val="both"/>
              <w:rPr>
                <w:rFonts w:hint="default"/>
                <w:color w:val="auto"/>
                <w:kern w:val="0"/>
                <w:sz w:val="24"/>
                <w:szCs w:val="22"/>
                <w:highlight w:val="none"/>
                <w:lang w:val="en-US"/>
              </w:rPr>
            </w:pPr>
            <w:r>
              <w:rPr>
                <w:rFonts w:hint="default"/>
                <w:color w:val="auto"/>
                <w:kern w:val="0"/>
                <w:sz w:val="24"/>
                <w:szCs w:val="22"/>
                <w:highlight w:val="none"/>
                <w:lang w:val="en-US"/>
              </w:rPr>
              <w:t>负一层单光子药物生产车间、正电子药物生产车间每日工作时长2h，</w:t>
            </w:r>
            <w:r>
              <w:rPr>
                <w:rFonts w:hint="eastAsia"/>
                <w:color w:val="auto"/>
                <w:kern w:val="0"/>
                <w:sz w:val="24"/>
                <w:szCs w:val="22"/>
                <w:highlight w:val="none"/>
                <w:lang w:val="en-US" w:eastAsia="zh-CN"/>
              </w:rPr>
              <w:t>辐射</w:t>
            </w:r>
            <w:r>
              <w:rPr>
                <w:rFonts w:hint="default"/>
                <w:color w:val="auto"/>
                <w:kern w:val="0"/>
                <w:sz w:val="24"/>
                <w:szCs w:val="22"/>
                <w:highlight w:val="none"/>
                <w:lang w:val="en-US"/>
              </w:rPr>
              <w:t>工作人员每日受照时间按2h计。</w:t>
            </w:r>
          </w:p>
          <w:p w14:paraId="41B0F6DC">
            <w:pPr>
              <w:keepNext w:val="0"/>
              <w:keepLines w:val="0"/>
              <w:suppressLineNumbers w:val="0"/>
              <w:autoSpaceDE w:val="0"/>
              <w:autoSpaceDN w:val="0"/>
              <w:spacing w:before="0" w:beforeAutospacing="0" w:after="0" w:afterAutospacing="0" w:line="360" w:lineRule="auto"/>
              <w:ind w:left="0" w:right="0" w:firstLine="480"/>
              <w:jc w:val="both"/>
              <w:rPr>
                <w:rFonts w:hint="default"/>
                <w:color w:val="auto"/>
                <w:kern w:val="0"/>
                <w:sz w:val="24"/>
                <w:szCs w:val="22"/>
                <w:highlight w:val="none"/>
                <w:lang w:val="en-US"/>
              </w:rPr>
            </w:pPr>
            <w:r>
              <w:rPr>
                <w:rFonts w:hint="default"/>
                <w:color w:val="auto"/>
                <w:kern w:val="0"/>
                <w:sz w:val="24"/>
                <w:szCs w:val="22"/>
                <w:highlight w:val="none"/>
                <w:lang w:val="en-US"/>
              </w:rPr>
              <w:t>SPECT门诊以</w:t>
            </w:r>
            <w:r>
              <w:rPr>
                <w:rFonts w:hint="default"/>
                <w:color w:val="auto"/>
                <w:kern w:val="0"/>
                <w:sz w:val="24"/>
                <w:szCs w:val="22"/>
                <w:highlight w:val="none"/>
                <w:lang w:val="en-US" w:eastAsia="zh-CN"/>
              </w:rPr>
              <w:t>Tc-99m</w:t>
            </w:r>
            <w:r>
              <w:rPr>
                <w:rFonts w:hint="default"/>
                <w:color w:val="auto"/>
                <w:kern w:val="0"/>
                <w:sz w:val="24"/>
                <w:szCs w:val="22"/>
                <w:highlight w:val="none"/>
                <w:lang w:val="en-US"/>
              </w:rPr>
              <w:t>检查人次最高，最大接诊量100人次/d；PET门诊以</w:t>
            </w:r>
            <w:r>
              <w:rPr>
                <w:rFonts w:hint="default"/>
                <w:color w:val="auto"/>
                <w:kern w:val="0"/>
                <w:sz w:val="24"/>
                <w:szCs w:val="22"/>
                <w:highlight w:val="none"/>
                <w:lang w:val="en-US" w:eastAsia="zh-CN"/>
              </w:rPr>
              <w:t>F-18</w:t>
            </w:r>
            <w:r>
              <w:rPr>
                <w:rFonts w:hint="default"/>
                <w:color w:val="auto"/>
                <w:kern w:val="0"/>
                <w:sz w:val="24"/>
                <w:szCs w:val="22"/>
                <w:highlight w:val="none"/>
                <w:lang w:val="en-US"/>
              </w:rPr>
              <w:t>检查人次最高，最大接诊量50人次/d。单例患者配药、注射操作时间按3min计，则SPECT门诊每日总操作时长300min（5h），PET门诊每日总操作时长150min（1.25h）。SPECT诊断区配置4名护士</w:t>
            </w:r>
            <w:r>
              <w:rPr>
                <w:rFonts w:hint="eastAsia"/>
                <w:color w:val="auto"/>
                <w:kern w:val="0"/>
                <w:sz w:val="24"/>
                <w:szCs w:val="22"/>
                <w:highlight w:val="none"/>
                <w:lang w:val="en-US" w:eastAsia="zh-CN"/>
              </w:rPr>
              <w:t>，PET</w:t>
            </w:r>
            <w:r>
              <w:rPr>
                <w:rFonts w:hint="default"/>
                <w:color w:val="auto"/>
                <w:kern w:val="0"/>
                <w:sz w:val="24"/>
                <w:szCs w:val="22"/>
                <w:highlight w:val="none"/>
                <w:lang w:val="en-US"/>
              </w:rPr>
              <w:t>诊断区配置</w:t>
            </w:r>
            <w:r>
              <w:rPr>
                <w:rFonts w:hint="eastAsia"/>
                <w:color w:val="auto"/>
                <w:kern w:val="0"/>
                <w:sz w:val="24"/>
                <w:szCs w:val="22"/>
                <w:highlight w:val="none"/>
                <w:lang w:val="en-US" w:eastAsia="zh-CN"/>
              </w:rPr>
              <w:t>3</w:t>
            </w:r>
            <w:r>
              <w:rPr>
                <w:rFonts w:hint="default"/>
                <w:color w:val="auto"/>
                <w:kern w:val="0"/>
                <w:sz w:val="24"/>
                <w:szCs w:val="22"/>
                <w:highlight w:val="none"/>
                <w:lang w:val="en-US"/>
              </w:rPr>
              <w:t>名护士，</w:t>
            </w:r>
            <w:r>
              <w:rPr>
                <w:rFonts w:hint="eastAsia"/>
                <w:color w:val="auto"/>
                <w:kern w:val="0"/>
                <w:sz w:val="24"/>
                <w:szCs w:val="22"/>
                <w:highlight w:val="none"/>
                <w:lang w:val="en-US" w:eastAsia="zh-CN"/>
              </w:rPr>
              <w:t>均</w:t>
            </w:r>
            <w:r>
              <w:rPr>
                <w:rFonts w:hint="default"/>
                <w:color w:val="auto"/>
                <w:kern w:val="0"/>
                <w:sz w:val="24"/>
                <w:szCs w:val="22"/>
                <w:highlight w:val="none"/>
                <w:lang w:val="en-US"/>
              </w:rPr>
              <w:t>分为2组轮班作业，SPECT诊断区工作人员每日受照时间按2.5h计；PET诊断区工作人员每日受照时间按</w:t>
            </w:r>
            <w:r>
              <w:rPr>
                <w:rFonts w:hint="eastAsia"/>
                <w:color w:val="auto"/>
                <w:kern w:val="0"/>
                <w:sz w:val="24"/>
                <w:szCs w:val="22"/>
                <w:highlight w:val="none"/>
                <w:lang w:val="en-US" w:eastAsia="zh-CN"/>
              </w:rPr>
              <w:t>0.625</w:t>
            </w:r>
            <w:r>
              <w:rPr>
                <w:rFonts w:hint="default"/>
                <w:color w:val="auto"/>
                <w:kern w:val="0"/>
                <w:sz w:val="24"/>
                <w:szCs w:val="22"/>
                <w:highlight w:val="none"/>
                <w:lang w:val="en-US"/>
              </w:rPr>
              <w:t>h计。</w:t>
            </w:r>
          </w:p>
          <w:p w14:paraId="3CA3BD14">
            <w:pPr>
              <w:keepNext w:val="0"/>
              <w:keepLines w:val="0"/>
              <w:suppressLineNumbers w:val="0"/>
              <w:autoSpaceDE w:val="0"/>
              <w:autoSpaceDN w:val="0"/>
              <w:spacing w:before="0" w:beforeAutospacing="0" w:after="0" w:afterAutospacing="0" w:line="360" w:lineRule="auto"/>
              <w:ind w:left="0" w:right="0" w:firstLine="480"/>
              <w:jc w:val="both"/>
              <w:rPr>
                <w:rFonts w:hint="default"/>
                <w:color w:val="auto"/>
                <w:kern w:val="0"/>
                <w:sz w:val="24"/>
                <w:szCs w:val="22"/>
                <w:highlight w:val="none"/>
                <w:lang w:val="en-US"/>
              </w:rPr>
            </w:pPr>
            <w:r>
              <w:rPr>
                <w:rFonts w:hint="default"/>
                <w:color w:val="auto"/>
                <w:kern w:val="0"/>
                <w:sz w:val="24"/>
                <w:szCs w:val="22"/>
                <w:highlight w:val="none"/>
                <w:lang w:val="en-US" w:eastAsia="zh-CN"/>
              </w:rPr>
              <w:t>I-131</w:t>
            </w:r>
            <w:r>
              <w:rPr>
                <w:rFonts w:hint="default"/>
                <w:color w:val="auto"/>
                <w:kern w:val="0"/>
                <w:sz w:val="24"/>
                <w:szCs w:val="22"/>
                <w:highlight w:val="none"/>
                <w:lang w:val="en-US"/>
              </w:rPr>
              <w:t>（胶囊）、</w:t>
            </w:r>
            <w:r>
              <w:rPr>
                <w:rFonts w:hint="default"/>
                <w:color w:val="auto"/>
                <w:kern w:val="0"/>
                <w:sz w:val="24"/>
                <w:szCs w:val="22"/>
                <w:highlight w:val="none"/>
                <w:vertAlign w:val="baseline"/>
                <w:lang w:val="en-US" w:eastAsia="zh-CN"/>
              </w:rPr>
              <w:t>Lu-177</w:t>
            </w:r>
            <w:r>
              <w:rPr>
                <w:rFonts w:hint="default"/>
                <w:color w:val="auto"/>
                <w:kern w:val="0"/>
                <w:sz w:val="24"/>
                <w:szCs w:val="22"/>
                <w:highlight w:val="none"/>
                <w:lang w:val="en-US"/>
              </w:rPr>
              <w:t>核素治疗全年工作天数250d，单日最多治疗患者18例，单例患者配药、注射操作时间按</w:t>
            </w:r>
            <w:r>
              <w:rPr>
                <w:rFonts w:hint="eastAsia"/>
                <w:color w:val="auto"/>
                <w:kern w:val="0"/>
                <w:sz w:val="24"/>
                <w:szCs w:val="22"/>
                <w:highlight w:val="none"/>
                <w:lang w:val="en-US" w:eastAsia="zh-CN"/>
              </w:rPr>
              <w:t>2</w:t>
            </w:r>
            <w:r>
              <w:rPr>
                <w:rFonts w:hint="default"/>
                <w:color w:val="auto"/>
                <w:kern w:val="0"/>
                <w:sz w:val="24"/>
                <w:szCs w:val="22"/>
                <w:highlight w:val="none"/>
                <w:lang w:val="en-US"/>
              </w:rPr>
              <w:t>min计，则</w:t>
            </w:r>
            <w:r>
              <w:rPr>
                <w:rFonts w:hint="eastAsia"/>
                <w:color w:val="auto"/>
                <w:kern w:val="0"/>
                <w:sz w:val="24"/>
                <w:szCs w:val="22"/>
                <w:highlight w:val="none"/>
                <w:lang w:val="en-US" w:eastAsia="zh-CN"/>
              </w:rPr>
              <w:t>核素治疗区</w:t>
            </w:r>
            <w:r>
              <w:rPr>
                <w:rFonts w:hint="default"/>
                <w:color w:val="auto"/>
                <w:kern w:val="0"/>
                <w:sz w:val="24"/>
                <w:szCs w:val="22"/>
                <w:highlight w:val="none"/>
                <w:lang w:val="en-US"/>
              </w:rPr>
              <w:t>每日总操作时长</w:t>
            </w:r>
            <w:r>
              <w:rPr>
                <w:rFonts w:hint="eastAsia"/>
                <w:color w:val="auto"/>
                <w:kern w:val="0"/>
                <w:sz w:val="24"/>
                <w:szCs w:val="22"/>
                <w:highlight w:val="none"/>
                <w:lang w:val="en-US" w:eastAsia="zh-CN"/>
              </w:rPr>
              <w:t>36</w:t>
            </w:r>
            <w:r>
              <w:rPr>
                <w:rFonts w:hint="default"/>
                <w:color w:val="auto"/>
                <w:kern w:val="0"/>
                <w:sz w:val="24"/>
                <w:szCs w:val="22"/>
                <w:highlight w:val="none"/>
                <w:lang w:val="en-US"/>
              </w:rPr>
              <w:t>min（</w:t>
            </w:r>
            <w:r>
              <w:rPr>
                <w:rFonts w:hint="eastAsia"/>
                <w:color w:val="auto"/>
                <w:kern w:val="0"/>
                <w:sz w:val="24"/>
                <w:szCs w:val="22"/>
                <w:highlight w:val="none"/>
                <w:lang w:val="en-US" w:eastAsia="zh-CN"/>
              </w:rPr>
              <w:t>0.6</w:t>
            </w:r>
            <w:r>
              <w:rPr>
                <w:rFonts w:hint="default"/>
                <w:color w:val="auto"/>
                <w:kern w:val="0"/>
                <w:sz w:val="24"/>
                <w:szCs w:val="22"/>
                <w:highlight w:val="none"/>
                <w:lang w:val="en-US"/>
              </w:rPr>
              <w:t>h）</w:t>
            </w:r>
            <w:r>
              <w:rPr>
                <w:rFonts w:hint="eastAsia"/>
                <w:color w:val="auto"/>
                <w:kern w:val="0"/>
                <w:sz w:val="24"/>
                <w:szCs w:val="22"/>
                <w:highlight w:val="none"/>
                <w:lang w:val="en-US" w:eastAsia="zh-CN"/>
              </w:rPr>
              <w:t>，核素治疗区配置3名护士分为2组轮班作业。则核素治疗区工作人员每日受照时间按0.3h计</w:t>
            </w:r>
            <w:r>
              <w:rPr>
                <w:rFonts w:hint="default"/>
                <w:color w:val="auto"/>
                <w:kern w:val="0"/>
                <w:sz w:val="24"/>
                <w:szCs w:val="22"/>
                <w:highlight w:val="none"/>
                <w:lang w:val="en-US"/>
              </w:rPr>
              <w:t>。此外，核素治疗住院患者会对核素治疗区内其他辐射工作人员、院内普通工作人员形成持续性外照射，核素治疗区院内工作人员全年受照时间按6000h计。</w:t>
            </w:r>
          </w:p>
          <w:p w14:paraId="7300B173">
            <w:pPr>
              <w:keepNext w:val="0"/>
              <w:keepLines w:val="0"/>
              <w:suppressLineNumbers w:val="0"/>
              <w:autoSpaceDE w:val="0"/>
              <w:autoSpaceDN w:val="0"/>
              <w:spacing w:before="0" w:beforeAutospacing="0" w:after="0" w:afterAutospacing="0" w:line="360" w:lineRule="auto"/>
              <w:ind w:left="0" w:right="0" w:firstLine="480"/>
              <w:jc w:val="both"/>
              <w:rPr>
                <w:rFonts w:hint="default"/>
                <w:color w:val="auto"/>
                <w:kern w:val="0"/>
                <w:sz w:val="24"/>
                <w:szCs w:val="22"/>
                <w:highlight w:val="none"/>
                <w:lang w:val="en-US"/>
              </w:rPr>
            </w:pPr>
            <w:r>
              <w:rPr>
                <w:rFonts w:hint="default"/>
                <w:color w:val="auto"/>
                <w:kern w:val="0"/>
                <w:sz w:val="24"/>
                <w:szCs w:val="22"/>
                <w:highlight w:val="none"/>
                <w:lang w:val="en-US"/>
              </w:rPr>
              <w:t>Ra</w:t>
            </w:r>
            <w:r>
              <w:rPr>
                <w:rFonts w:hint="default"/>
                <w:color w:val="auto"/>
                <w:kern w:val="0"/>
                <w:sz w:val="24"/>
                <w:szCs w:val="22"/>
                <w:highlight w:val="none"/>
                <w:lang w:val="en-US" w:eastAsia="zh-CN"/>
              </w:rPr>
              <w:t>-223</w:t>
            </w:r>
            <w:r>
              <w:rPr>
                <w:rFonts w:hint="default"/>
                <w:color w:val="auto"/>
                <w:kern w:val="0"/>
                <w:sz w:val="24"/>
                <w:szCs w:val="22"/>
                <w:highlight w:val="none"/>
                <w:lang w:val="en-US"/>
              </w:rPr>
              <w:t>、Ac</w:t>
            </w:r>
            <w:r>
              <w:rPr>
                <w:rFonts w:hint="default"/>
                <w:color w:val="auto"/>
                <w:kern w:val="0"/>
                <w:sz w:val="24"/>
                <w:szCs w:val="22"/>
                <w:highlight w:val="none"/>
                <w:lang w:val="en-US" w:eastAsia="zh-CN"/>
              </w:rPr>
              <w:t>-225</w:t>
            </w:r>
            <w:r>
              <w:rPr>
                <w:rFonts w:hint="default"/>
                <w:color w:val="auto"/>
                <w:kern w:val="0"/>
                <w:sz w:val="24"/>
                <w:szCs w:val="22"/>
                <w:highlight w:val="none"/>
                <w:lang w:val="en-US"/>
              </w:rPr>
              <w:t>核素治疗全年工作天数30d，单次治疗最多各1例患者，单例患者配药、注射操作时间按</w:t>
            </w:r>
            <w:r>
              <w:rPr>
                <w:rFonts w:hint="eastAsia"/>
                <w:color w:val="auto"/>
                <w:kern w:val="0"/>
                <w:sz w:val="24"/>
                <w:szCs w:val="22"/>
                <w:highlight w:val="none"/>
                <w:lang w:val="en-US" w:eastAsia="zh-CN"/>
              </w:rPr>
              <w:t>2</w:t>
            </w:r>
            <w:r>
              <w:rPr>
                <w:rFonts w:hint="default"/>
                <w:color w:val="auto"/>
                <w:kern w:val="0"/>
                <w:sz w:val="24"/>
                <w:szCs w:val="22"/>
                <w:highlight w:val="none"/>
                <w:lang w:val="en-US"/>
              </w:rPr>
              <w:t>min计；该部分职业人员受照时间纳入</w:t>
            </w:r>
            <w:r>
              <w:rPr>
                <w:rFonts w:hint="default"/>
                <w:color w:val="auto"/>
                <w:kern w:val="0"/>
                <w:sz w:val="24"/>
                <w:szCs w:val="22"/>
                <w:highlight w:val="none"/>
                <w:lang w:val="en-US" w:eastAsia="zh-CN"/>
              </w:rPr>
              <w:t>I-131</w:t>
            </w:r>
            <w:r>
              <w:rPr>
                <w:rFonts w:hint="default"/>
                <w:color w:val="auto"/>
                <w:kern w:val="0"/>
                <w:sz w:val="24"/>
                <w:szCs w:val="22"/>
                <w:highlight w:val="none"/>
                <w:lang w:val="en-US"/>
              </w:rPr>
              <w:t>（胶囊）、</w:t>
            </w:r>
            <w:r>
              <w:rPr>
                <w:rFonts w:hint="default"/>
                <w:color w:val="auto"/>
                <w:kern w:val="0"/>
                <w:sz w:val="24"/>
                <w:szCs w:val="22"/>
                <w:highlight w:val="none"/>
                <w:vertAlign w:val="baseline"/>
                <w:lang w:val="en-US" w:eastAsia="zh-CN"/>
              </w:rPr>
              <w:t>Lu-177</w:t>
            </w:r>
            <w:r>
              <w:rPr>
                <w:rFonts w:hint="default"/>
                <w:color w:val="auto"/>
                <w:kern w:val="0"/>
                <w:sz w:val="24"/>
                <w:szCs w:val="22"/>
                <w:highlight w:val="none"/>
                <w:lang w:val="en-US"/>
              </w:rPr>
              <w:t>辐射工作时间，不再重复核算。</w:t>
            </w:r>
          </w:p>
          <w:p w14:paraId="380E766B">
            <w:pPr>
              <w:keepNext w:val="0"/>
              <w:keepLines w:val="0"/>
              <w:suppressLineNumbers w:val="0"/>
              <w:autoSpaceDE w:val="0"/>
              <w:autoSpaceDN w:val="0"/>
              <w:spacing w:before="0" w:beforeAutospacing="0" w:after="0" w:afterAutospacing="0" w:line="360" w:lineRule="auto"/>
              <w:ind w:left="0" w:right="0" w:firstLine="480"/>
              <w:jc w:val="both"/>
              <w:rPr>
                <w:rFonts w:hint="default"/>
                <w:color w:val="auto"/>
                <w:kern w:val="0"/>
                <w:sz w:val="24"/>
                <w:szCs w:val="22"/>
                <w:highlight w:val="none"/>
                <w:lang w:val="en-US"/>
              </w:rPr>
            </w:pPr>
            <w:r>
              <w:rPr>
                <w:rFonts w:hint="default"/>
                <w:color w:val="auto"/>
                <w:kern w:val="0"/>
                <w:sz w:val="24"/>
                <w:szCs w:val="22"/>
                <w:highlight w:val="none"/>
                <w:lang w:val="en-US"/>
              </w:rPr>
              <w:t>Y</w:t>
            </w:r>
            <w:r>
              <w:rPr>
                <w:rFonts w:hint="default"/>
                <w:color w:val="auto"/>
                <w:kern w:val="0"/>
                <w:sz w:val="24"/>
                <w:szCs w:val="22"/>
                <w:highlight w:val="none"/>
                <w:lang w:val="en-US" w:eastAsia="zh-CN"/>
              </w:rPr>
              <w:t>-90</w:t>
            </w:r>
            <w:r>
              <w:rPr>
                <w:rFonts w:hint="default"/>
                <w:color w:val="auto"/>
                <w:kern w:val="0"/>
                <w:sz w:val="24"/>
                <w:szCs w:val="22"/>
                <w:highlight w:val="none"/>
                <w:lang w:val="en-US"/>
              </w:rPr>
              <w:t>核素治疗全年工作天数30d，单次治疗最多1例患者，自接收放射性药品至手术完成期间，职业人员单次受照时间按1h计。</w:t>
            </w:r>
          </w:p>
          <w:p w14:paraId="431615F3">
            <w:pPr>
              <w:keepNext w:val="0"/>
              <w:keepLines w:val="0"/>
              <w:suppressLineNumbers w:val="0"/>
              <w:autoSpaceDE w:val="0"/>
              <w:autoSpaceDN w:val="0"/>
              <w:spacing w:before="0" w:beforeAutospacing="0" w:after="0" w:afterAutospacing="0" w:line="360" w:lineRule="auto"/>
              <w:ind w:left="0" w:right="0" w:firstLine="480"/>
              <w:jc w:val="both"/>
              <w:rPr>
                <w:rFonts w:hint="default" w:ascii="Times New Roman" w:hAnsi="Times New Roman" w:eastAsia="宋体" w:cs="宋体"/>
                <w:color w:val="auto"/>
                <w:kern w:val="0"/>
                <w:sz w:val="24"/>
                <w:szCs w:val="22"/>
                <w:highlight w:val="none"/>
                <w:lang w:val="en-US"/>
              </w:rPr>
            </w:pPr>
            <w:r>
              <w:rPr>
                <w:rFonts w:hint="eastAsia" w:ascii="Times New Roman" w:hAnsi="Times New Roman" w:eastAsia="宋体" w:cs="宋体"/>
                <w:color w:val="auto"/>
                <w:kern w:val="0"/>
                <w:sz w:val="24"/>
                <w:szCs w:val="22"/>
                <w:highlight w:val="none"/>
                <w:lang w:val="en-US" w:eastAsia="zh-CN"/>
              </w:rPr>
              <w:t xml:space="preserve">根据各关注点处估算的辐射剂量率，结合工作时间、辐射工作人员和公众停留概率，按照公式 </w:t>
            </w:r>
            <w:r>
              <w:rPr>
                <w:rFonts w:hint="default" w:ascii="Times New Roman" w:hAnsi="Times New Roman" w:eastAsia="宋体" w:cs="宋体"/>
                <w:color w:val="auto"/>
                <w:kern w:val="0"/>
                <w:sz w:val="24"/>
                <w:szCs w:val="22"/>
                <w:highlight w:val="none"/>
                <w:lang w:val="en-US" w:eastAsia="zh-CN"/>
              </w:rPr>
              <w:t>11-</w:t>
            </w:r>
            <w:r>
              <w:rPr>
                <w:rFonts w:hint="eastAsia" w:ascii="Times New Roman" w:hAnsi="Times New Roman" w:eastAsia="宋体" w:cs="宋体"/>
                <w:color w:val="auto"/>
                <w:kern w:val="0"/>
                <w:sz w:val="24"/>
                <w:szCs w:val="22"/>
                <w:highlight w:val="none"/>
                <w:lang w:val="en-US" w:eastAsia="zh-CN"/>
              </w:rPr>
              <w:t>8</w:t>
            </w:r>
            <w:r>
              <w:rPr>
                <w:rFonts w:hint="default" w:ascii="Times New Roman" w:hAnsi="Times New Roman" w:eastAsia="宋体" w:cs="宋体"/>
                <w:color w:val="auto"/>
                <w:kern w:val="0"/>
                <w:sz w:val="24"/>
                <w:szCs w:val="22"/>
                <w:highlight w:val="none"/>
                <w:lang w:val="en-US" w:eastAsia="zh-CN"/>
              </w:rPr>
              <w:t xml:space="preserve"> </w:t>
            </w:r>
            <w:r>
              <w:rPr>
                <w:rFonts w:hint="eastAsia" w:ascii="Times New Roman" w:hAnsi="Times New Roman" w:eastAsia="宋体" w:cs="宋体"/>
                <w:color w:val="auto"/>
                <w:kern w:val="0"/>
                <w:sz w:val="24"/>
                <w:szCs w:val="22"/>
                <w:highlight w:val="none"/>
                <w:lang w:val="en-US" w:eastAsia="zh-CN"/>
              </w:rPr>
              <w:t>核算各关注点处辐射工作人员及公众的年受照剂量，见下表。</w:t>
            </w:r>
          </w:p>
          <w:p w14:paraId="33CFA8BE">
            <w:pPr>
              <w:keepNext w:val="0"/>
              <w:keepLines w:val="0"/>
              <w:widowControl w:val="0"/>
              <w:suppressLineNumbers w:val="0"/>
              <w:autoSpaceDE w:val="0"/>
              <w:autoSpaceDN w:val="0"/>
              <w:spacing w:before="0" w:beforeLines="0" w:beforeAutospacing="0" w:after="0" w:afterLines="0" w:afterAutospacing="0" w:line="360" w:lineRule="auto"/>
              <w:ind w:left="0" w:right="0" w:firstLine="361" w:firstLineChars="150"/>
              <w:jc w:val="center"/>
              <w:rPr>
                <w:rFonts w:hint="default" w:ascii="Times New Roman" w:hAnsi="Times New Roman" w:eastAsia="宋体" w:cs="Times New Roman"/>
                <w:b/>
                <w:color w:val="auto"/>
                <w:sz w:val="24"/>
                <w:szCs w:val="24"/>
                <w:highlight w:val="none"/>
                <w:lang w:val="en-US" w:eastAsia="zh-CN" w:bidi="ar-SA"/>
              </w:rPr>
            </w:pPr>
          </w:p>
          <w:p w14:paraId="7783DD6C">
            <w:pPr>
              <w:keepNext w:val="0"/>
              <w:keepLines w:val="0"/>
              <w:widowControl w:val="0"/>
              <w:suppressLineNumbers w:val="0"/>
              <w:autoSpaceDE w:val="0"/>
              <w:autoSpaceDN w:val="0"/>
              <w:spacing w:before="0" w:beforeLines="0" w:beforeAutospacing="0" w:after="0" w:afterLines="0" w:afterAutospacing="0" w:line="360" w:lineRule="auto"/>
              <w:ind w:left="0" w:right="0" w:firstLine="361" w:firstLineChars="150"/>
              <w:jc w:val="center"/>
              <w:rPr>
                <w:rFonts w:hint="default" w:ascii="Times New Roman" w:hAnsi="Times New Roman" w:eastAsia="宋体" w:cs="Times New Roman"/>
                <w:b/>
                <w:color w:val="auto"/>
                <w:sz w:val="24"/>
                <w:szCs w:val="24"/>
                <w:highlight w:val="none"/>
                <w:lang w:val="en-US" w:eastAsia="zh-CN" w:bidi="ar-SA"/>
              </w:rPr>
            </w:pPr>
            <w:r>
              <w:rPr>
                <w:rFonts w:hint="default" w:ascii="Times New Roman" w:hAnsi="Times New Roman" w:eastAsia="宋体" w:cs="Times New Roman"/>
                <w:b/>
                <w:color w:val="auto"/>
                <w:sz w:val="24"/>
                <w:szCs w:val="24"/>
                <w:highlight w:val="none"/>
                <w:lang w:val="en-US" w:eastAsia="zh-CN" w:bidi="ar-SA"/>
              </w:rPr>
              <w:t>表11-</w:t>
            </w:r>
            <w:r>
              <w:rPr>
                <w:rFonts w:hint="eastAsia" w:ascii="Times New Roman" w:hAnsi="Times New Roman" w:eastAsia="宋体" w:cs="Times New Roman"/>
                <w:b/>
                <w:color w:val="auto"/>
                <w:sz w:val="24"/>
                <w:szCs w:val="24"/>
                <w:highlight w:val="none"/>
                <w:lang w:val="en-US" w:eastAsia="zh-CN" w:bidi="ar-SA"/>
              </w:rPr>
              <w:t xml:space="preserve">12 </w:t>
            </w:r>
            <w:r>
              <w:rPr>
                <w:rFonts w:hint="default" w:ascii="Times New Roman" w:hAnsi="Times New Roman" w:eastAsia="宋体" w:cs="Times New Roman"/>
                <w:b/>
                <w:color w:val="auto"/>
                <w:sz w:val="24"/>
                <w:szCs w:val="24"/>
                <w:highlight w:val="none"/>
                <w:lang w:val="en-US" w:eastAsia="zh-CN" w:bidi="ar-SA"/>
              </w:rPr>
              <w:t xml:space="preserve"> 回旋加速器室周围人员剂量计算结果</w:t>
            </w:r>
          </w:p>
          <w:tbl>
            <w:tblPr>
              <w:tblStyle w:val="22"/>
              <w:tblW w:w="907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00"/>
              <w:gridCol w:w="2806"/>
              <w:gridCol w:w="1062"/>
              <w:gridCol w:w="1417"/>
              <w:gridCol w:w="922"/>
              <w:gridCol w:w="1043"/>
              <w:gridCol w:w="1128"/>
            </w:tblGrid>
            <w:tr w14:paraId="263A9E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30" w:hRule="atLeast"/>
                <w:jc w:val="center"/>
              </w:trPr>
              <w:tc>
                <w:tcPr>
                  <w:tcW w:w="700" w:type="dxa"/>
                  <w:tcBorders>
                    <w:tl2br w:val="nil"/>
                    <w:tr2bl w:val="nil"/>
                  </w:tcBorders>
                  <w:noWrap w:val="0"/>
                  <w:vAlign w:val="center"/>
                </w:tcPr>
                <w:p w14:paraId="54718A32">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目标点位</w:t>
                  </w:r>
                </w:p>
              </w:tc>
              <w:tc>
                <w:tcPr>
                  <w:tcW w:w="2806" w:type="dxa"/>
                  <w:tcBorders>
                    <w:tl2br w:val="nil"/>
                    <w:tr2bl w:val="nil"/>
                  </w:tcBorders>
                  <w:noWrap w:val="0"/>
                  <w:vAlign w:val="center"/>
                </w:tcPr>
                <w:p w14:paraId="1BFA0C06">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与机房关系</w:t>
                  </w:r>
                </w:p>
              </w:tc>
              <w:tc>
                <w:tcPr>
                  <w:tcW w:w="1062" w:type="dxa"/>
                  <w:tcBorders>
                    <w:tl2br w:val="nil"/>
                    <w:tr2bl w:val="nil"/>
                  </w:tcBorders>
                  <w:noWrap w:val="0"/>
                  <w:vAlign w:val="center"/>
                </w:tcPr>
                <w:p w14:paraId="6DFC5C1C">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照射类型</w:t>
                  </w:r>
                </w:p>
              </w:tc>
              <w:tc>
                <w:tcPr>
                  <w:tcW w:w="1417" w:type="dxa"/>
                  <w:tcBorders>
                    <w:tl2br w:val="nil"/>
                    <w:tr2bl w:val="nil"/>
                  </w:tcBorders>
                  <w:noWrap w:val="0"/>
                  <w:vAlign w:val="center"/>
                </w:tcPr>
                <w:p w14:paraId="4B213D9A">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剂量</w:t>
                  </w:r>
                  <w:r>
                    <w:rPr>
                      <w:rFonts w:hint="default" w:ascii="Times New Roman" w:hAnsi="Times New Roman" w:eastAsia="宋体" w:cs="Times New Roman"/>
                      <w:color w:val="auto"/>
                      <w:kern w:val="0"/>
                      <w:sz w:val="18"/>
                      <w:szCs w:val="18"/>
                      <w:highlight w:val="none"/>
                      <w:lang w:val="en-US" w:eastAsia="zh-CN"/>
                    </w:rPr>
                    <w:t>率</w:t>
                  </w:r>
                  <w:r>
                    <w:rPr>
                      <w:rFonts w:hint="default" w:ascii="Times New Roman" w:hAnsi="Times New Roman" w:eastAsia="宋体" w:cs="Times New Roman"/>
                      <w:color w:val="auto"/>
                      <w:kern w:val="0"/>
                      <w:sz w:val="18"/>
                      <w:szCs w:val="18"/>
                      <w:highlight w:val="none"/>
                    </w:rPr>
                    <w:t>(μSv/h)</w:t>
                  </w:r>
                </w:p>
              </w:tc>
              <w:tc>
                <w:tcPr>
                  <w:tcW w:w="922" w:type="dxa"/>
                  <w:tcBorders>
                    <w:tl2br w:val="nil"/>
                    <w:tr2bl w:val="nil"/>
                  </w:tcBorders>
                  <w:noWrap w:val="0"/>
                  <w:vAlign w:val="center"/>
                </w:tcPr>
                <w:p w14:paraId="5930FCE2">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年受照时间，h</w:t>
                  </w:r>
                </w:p>
              </w:tc>
              <w:tc>
                <w:tcPr>
                  <w:tcW w:w="1043" w:type="dxa"/>
                  <w:tcBorders>
                    <w:tl2br w:val="nil"/>
                    <w:tr2bl w:val="nil"/>
                  </w:tcBorders>
                  <w:noWrap w:val="0"/>
                  <w:vAlign w:val="center"/>
                </w:tcPr>
                <w:p w14:paraId="54BF5D74">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居留因子</w:t>
                  </w:r>
                </w:p>
              </w:tc>
              <w:tc>
                <w:tcPr>
                  <w:tcW w:w="1128" w:type="dxa"/>
                  <w:tcBorders>
                    <w:tl2br w:val="nil"/>
                    <w:tr2bl w:val="nil"/>
                  </w:tcBorders>
                  <w:noWrap w:val="0"/>
                  <w:vAlign w:val="center"/>
                </w:tcPr>
                <w:p w14:paraId="452A1334">
                  <w:pPr>
                    <w:keepNext w:val="0"/>
                    <w:keepLines w:val="0"/>
                    <w:suppressLineNumbers w:val="0"/>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18"/>
                      <w:szCs w:val="18"/>
                      <w:highlight w:val="none"/>
                      <w:lang w:eastAsia="zh-CN"/>
                    </w:rPr>
                  </w:pPr>
                  <w:r>
                    <w:rPr>
                      <w:rFonts w:hint="eastAsia" w:ascii="Times New Roman" w:hAnsi="Times New Roman" w:eastAsia="宋体" w:cs="Times New Roman"/>
                      <w:color w:val="auto"/>
                      <w:kern w:val="0"/>
                      <w:sz w:val="18"/>
                      <w:szCs w:val="18"/>
                      <w:highlight w:val="none"/>
                      <w:lang w:val="en-US" w:eastAsia="zh-CN"/>
                    </w:rPr>
                    <w:t>年</w:t>
                  </w:r>
                  <w:r>
                    <w:rPr>
                      <w:rFonts w:hint="eastAsia" w:cs="Times New Roman"/>
                      <w:color w:val="auto"/>
                      <w:kern w:val="0"/>
                      <w:sz w:val="18"/>
                      <w:szCs w:val="18"/>
                      <w:highlight w:val="none"/>
                      <w:lang w:eastAsia="zh-CN"/>
                    </w:rPr>
                    <w:t>年有效剂量mSv/a</w:t>
                  </w:r>
                </w:p>
              </w:tc>
            </w:tr>
            <w:tr w14:paraId="650917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1" w:hRule="atLeast"/>
                <w:jc w:val="center"/>
              </w:trPr>
              <w:tc>
                <w:tcPr>
                  <w:tcW w:w="700" w:type="dxa"/>
                  <w:tcBorders>
                    <w:tl2br w:val="nil"/>
                    <w:tr2bl w:val="nil"/>
                  </w:tcBorders>
                  <w:noWrap w:val="0"/>
                  <w:vAlign w:val="center"/>
                </w:tcPr>
                <w:p w14:paraId="727E4604">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a</w:t>
                  </w:r>
                </w:p>
              </w:tc>
              <w:tc>
                <w:tcPr>
                  <w:tcW w:w="2806" w:type="dxa"/>
                  <w:tcBorders>
                    <w:tl2br w:val="nil"/>
                    <w:tr2bl w:val="nil"/>
                  </w:tcBorders>
                  <w:shd w:val="clear" w:color="auto" w:fill="auto"/>
                  <w:noWrap w:val="0"/>
                  <w:vAlign w:val="center"/>
                </w:tcPr>
                <w:p w14:paraId="4274EAF5">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en-US" w:bidi="ar"/>
                    </w:rPr>
                  </w:pPr>
                  <w:r>
                    <w:rPr>
                      <w:rFonts w:hint="default" w:ascii="Times New Roman" w:hAnsi="Times New Roman" w:eastAsia="宋体" w:cs="Times New Roman"/>
                      <w:i w:val="0"/>
                      <w:iCs w:val="0"/>
                      <w:color w:val="auto"/>
                      <w:kern w:val="0"/>
                      <w:sz w:val="18"/>
                      <w:szCs w:val="18"/>
                      <w:highlight w:val="none"/>
                      <w:u w:val="none"/>
                      <w:lang w:val="en-US" w:eastAsia="zh-CN" w:bidi="ar"/>
                    </w:rPr>
                    <w:t>北墙外30cm处</w:t>
                  </w:r>
                </w:p>
              </w:tc>
              <w:tc>
                <w:tcPr>
                  <w:tcW w:w="1062" w:type="dxa"/>
                  <w:tcBorders>
                    <w:tl2br w:val="nil"/>
                    <w:tr2bl w:val="nil"/>
                  </w:tcBorders>
                  <w:noWrap w:val="0"/>
                  <w:vAlign w:val="center"/>
                </w:tcPr>
                <w:p w14:paraId="22D97087">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职业</w:t>
                  </w:r>
                </w:p>
              </w:tc>
              <w:tc>
                <w:tcPr>
                  <w:tcW w:w="1417" w:type="dxa"/>
                  <w:tcBorders>
                    <w:tl2br w:val="nil"/>
                    <w:tr2bl w:val="nil"/>
                  </w:tcBorders>
                  <w:noWrap w:val="0"/>
                  <w:vAlign w:val="center"/>
                </w:tcPr>
                <w:p w14:paraId="159D77C1">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en-US" w:bidi="ar"/>
                    </w:rPr>
                  </w:pPr>
                  <w:r>
                    <w:rPr>
                      <w:rFonts w:hint="default" w:ascii="Times New Roman" w:hAnsi="Times New Roman" w:eastAsia="宋体" w:cs="Times New Roman"/>
                      <w:i w:val="0"/>
                      <w:iCs w:val="0"/>
                      <w:color w:val="auto"/>
                      <w:kern w:val="0"/>
                      <w:sz w:val="18"/>
                      <w:szCs w:val="18"/>
                      <w:highlight w:val="none"/>
                      <w:u w:val="none"/>
                      <w:lang w:val="en-US" w:eastAsia="zh-CN" w:bidi="ar"/>
                    </w:rPr>
                    <w:t>6.15E-02</w:t>
                  </w:r>
                </w:p>
              </w:tc>
              <w:tc>
                <w:tcPr>
                  <w:tcW w:w="922" w:type="dxa"/>
                  <w:tcBorders>
                    <w:tl2br w:val="nil"/>
                    <w:tr2bl w:val="nil"/>
                  </w:tcBorders>
                  <w:noWrap w:val="0"/>
                  <w:vAlign w:val="center"/>
                </w:tcPr>
                <w:p w14:paraId="17A6FFA5">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500</w:t>
                  </w:r>
                </w:p>
              </w:tc>
              <w:tc>
                <w:tcPr>
                  <w:tcW w:w="1043" w:type="dxa"/>
                  <w:tcBorders>
                    <w:tl2br w:val="nil"/>
                    <w:tr2bl w:val="nil"/>
                  </w:tcBorders>
                  <w:noWrap w:val="0"/>
                  <w:vAlign w:val="center"/>
                </w:tcPr>
                <w:p w14:paraId="5F001C60">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128" w:type="dxa"/>
                  <w:tcBorders>
                    <w:tl2br w:val="nil"/>
                    <w:tr2bl w:val="nil"/>
                  </w:tcBorders>
                  <w:shd w:val="clear" w:color="auto" w:fill="auto"/>
                  <w:noWrap w:val="0"/>
                  <w:vAlign w:val="center"/>
                </w:tcPr>
                <w:p w14:paraId="0172E7CB">
                  <w:pPr>
                    <w:keepNext w:val="0"/>
                    <w:keepLines w:val="0"/>
                    <w:widowControl/>
                    <w:suppressLineNumbers w:val="0"/>
                    <w:autoSpaceDE w:val="0"/>
                    <w:autoSpaceDN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3.08E-02</w:t>
                  </w:r>
                </w:p>
              </w:tc>
            </w:tr>
            <w:tr w14:paraId="128EBD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6" w:hRule="atLeast"/>
                <w:jc w:val="center"/>
              </w:trPr>
              <w:tc>
                <w:tcPr>
                  <w:tcW w:w="700" w:type="dxa"/>
                  <w:tcBorders>
                    <w:tl2br w:val="nil"/>
                    <w:tr2bl w:val="nil"/>
                  </w:tcBorders>
                  <w:noWrap w:val="0"/>
                  <w:vAlign w:val="center"/>
                </w:tcPr>
                <w:p w14:paraId="646B040D">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b</w:t>
                  </w:r>
                </w:p>
              </w:tc>
              <w:tc>
                <w:tcPr>
                  <w:tcW w:w="2806" w:type="dxa"/>
                  <w:tcBorders>
                    <w:tl2br w:val="nil"/>
                    <w:tr2bl w:val="nil"/>
                  </w:tcBorders>
                  <w:shd w:val="clear" w:color="auto" w:fill="auto"/>
                  <w:noWrap w:val="0"/>
                  <w:vAlign w:val="center"/>
                </w:tcPr>
                <w:p w14:paraId="18862081">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en-US" w:bidi="ar"/>
                    </w:rPr>
                  </w:pPr>
                  <w:r>
                    <w:rPr>
                      <w:rFonts w:hint="default" w:ascii="Times New Roman" w:hAnsi="Times New Roman" w:eastAsia="宋体" w:cs="Times New Roman"/>
                      <w:i w:val="0"/>
                      <w:iCs w:val="0"/>
                      <w:color w:val="auto"/>
                      <w:kern w:val="0"/>
                      <w:sz w:val="18"/>
                      <w:szCs w:val="18"/>
                      <w:highlight w:val="none"/>
                      <w:u w:val="none"/>
                      <w:lang w:val="en-US" w:eastAsia="zh-CN" w:bidi="ar"/>
                    </w:rPr>
                    <w:t>回旋加速器防护门处</w:t>
                  </w:r>
                </w:p>
              </w:tc>
              <w:tc>
                <w:tcPr>
                  <w:tcW w:w="1062" w:type="dxa"/>
                  <w:tcBorders>
                    <w:tl2br w:val="nil"/>
                    <w:tr2bl w:val="nil"/>
                  </w:tcBorders>
                  <w:noWrap w:val="0"/>
                  <w:vAlign w:val="center"/>
                </w:tcPr>
                <w:p w14:paraId="2FFD8B64">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职业</w:t>
                  </w:r>
                </w:p>
              </w:tc>
              <w:tc>
                <w:tcPr>
                  <w:tcW w:w="1417" w:type="dxa"/>
                  <w:tcBorders>
                    <w:tl2br w:val="nil"/>
                    <w:tr2bl w:val="nil"/>
                  </w:tcBorders>
                  <w:noWrap w:val="0"/>
                  <w:vAlign w:val="center"/>
                </w:tcPr>
                <w:p w14:paraId="4AB3CA7A">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en-US" w:bidi="ar"/>
                    </w:rPr>
                  </w:pPr>
                  <w:r>
                    <w:rPr>
                      <w:rFonts w:hint="default" w:ascii="Times New Roman" w:hAnsi="Times New Roman" w:eastAsia="宋体" w:cs="Times New Roman"/>
                      <w:i w:val="0"/>
                      <w:iCs w:val="0"/>
                      <w:color w:val="auto"/>
                      <w:kern w:val="0"/>
                      <w:sz w:val="18"/>
                      <w:szCs w:val="18"/>
                      <w:highlight w:val="none"/>
                      <w:u w:val="none"/>
                      <w:lang w:val="en-US" w:eastAsia="zh-CN" w:bidi="ar"/>
                    </w:rPr>
                    <w:t>1.63E-01</w:t>
                  </w:r>
                </w:p>
              </w:tc>
              <w:tc>
                <w:tcPr>
                  <w:tcW w:w="922" w:type="dxa"/>
                  <w:tcBorders>
                    <w:tl2br w:val="nil"/>
                    <w:tr2bl w:val="nil"/>
                  </w:tcBorders>
                  <w:noWrap w:val="0"/>
                  <w:vAlign w:val="center"/>
                </w:tcPr>
                <w:p w14:paraId="0AFFD2F3">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500</w:t>
                  </w:r>
                </w:p>
              </w:tc>
              <w:tc>
                <w:tcPr>
                  <w:tcW w:w="1043" w:type="dxa"/>
                  <w:tcBorders>
                    <w:tl2br w:val="nil"/>
                    <w:tr2bl w:val="nil"/>
                  </w:tcBorders>
                  <w:noWrap w:val="0"/>
                  <w:vAlign w:val="center"/>
                </w:tcPr>
                <w:p w14:paraId="52366B23">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128" w:type="dxa"/>
                  <w:tcBorders>
                    <w:tl2br w:val="nil"/>
                    <w:tr2bl w:val="nil"/>
                  </w:tcBorders>
                  <w:shd w:val="clear" w:color="auto" w:fill="auto"/>
                  <w:noWrap w:val="0"/>
                  <w:vAlign w:val="center"/>
                </w:tcPr>
                <w:p w14:paraId="671573B5">
                  <w:pPr>
                    <w:keepNext w:val="0"/>
                    <w:keepLines w:val="0"/>
                    <w:widowControl/>
                    <w:suppressLineNumbers w:val="0"/>
                    <w:autoSpaceDE w:val="0"/>
                    <w:autoSpaceDN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8.15E-02</w:t>
                  </w:r>
                </w:p>
              </w:tc>
            </w:tr>
            <w:tr w14:paraId="6BC457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1" w:hRule="atLeast"/>
                <w:jc w:val="center"/>
              </w:trPr>
              <w:tc>
                <w:tcPr>
                  <w:tcW w:w="700" w:type="dxa"/>
                  <w:tcBorders>
                    <w:tl2br w:val="nil"/>
                    <w:tr2bl w:val="nil"/>
                  </w:tcBorders>
                  <w:noWrap w:val="0"/>
                  <w:vAlign w:val="center"/>
                </w:tcPr>
                <w:p w14:paraId="1CD7A999">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c</w:t>
                  </w:r>
                </w:p>
              </w:tc>
              <w:tc>
                <w:tcPr>
                  <w:tcW w:w="2806" w:type="dxa"/>
                  <w:tcBorders>
                    <w:tl2br w:val="nil"/>
                    <w:tr2bl w:val="nil"/>
                  </w:tcBorders>
                  <w:shd w:val="clear" w:color="auto" w:fill="auto"/>
                  <w:noWrap w:val="0"/>
                  <w:vAlign w:val="center"/>
                </w:tcPr>
                <w:p w14:paraId="552FEABA">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en-US" w:bidi="ar"/>
                    </w:rPr>
                  </w:pPr>
                  <w:r>
                    <w:rPr>
                      <w:rFonts w:hint="default" w:ascii="Times New Roman" w:hAnsi="Times New Roman" w:eastAsia="宋体" w:cs="Times New Roman"/>
                      <w:i w:val="0"/>
                      <w:iCs w:val="0"/>
                      <w:color w:val="auto"/>
                      <w:kern w:val="0"/>
                      <w:sz w:val="18"/>
                      <w:szCs w:val="18"/>
                      <w:highlight w:val="none"/>
                      <w:u w:val="none"/>
                      <w:lang w:val="en-US" w:eastAsia="zh-CN" w:bidi="ar"/>
                    </w:rPr>
                    <w:t>北墙外30cm处</w:t>
                  </w:r>
                </w:p>
              </w:tc>
              <w:tc>
                <w:tcPr>
                  <w:tcW w:w="1062" w:type="dxa"/>
                  <w:tcBorders>
                    <w:tl2br w:val="nil"/>
                    <w:tr2bl w:val="nil"/>
                  </w:tcBorders>
                  <w:noWrap w:val="0"/>
                  <w:vAlign w:val="center"/>
                </w:tcPr>
                <w:p w14:paraId="52DC8B5D">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职业</w:t>
                  </w:r>
                </w:p>
              </w:tc>
              <w:tc>
                <w:tcPr>
                  <w:tcW w:w="1417" w:type="dxa"/>
                  <w:tcBorders>
                    <w:tl2br w:val="nil"/>
                    <w:tr2bl w:val="nil"/>
                  </w:tcBorders>
                  <w:noWrap w:val="0"/>
                  <w:vAlign w:val="center"/>
                </w:tcPr>
                <w:p w14:paraId="3562706E">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en-US" w:bidi="ar"/>
                    </w:rPr>
                  </w:pPr>
                  <w:r>
                    <w:rPr>
                      <w:rFonts w:hint="default" w:ascii="Times New Roman" w:hAnsi="Times New Roman" w:eastAsia="宋体" w:cs="Times New Roman"/>
                      <w:i w:val="0"/>
                      <w:iCs w:val="0"/>
                      <w:color w:val="auto"/>
                      <w:kern w:val="0"/>
                      <w:sz w:val="18"/>
                      <w:szCs w:val="18"/>
                      <w:highlight w:val="none"/>
                      <w:u w:val="none"/>
                      <w:lang w:val="en-US" w:eastAsia="zh-CN" w:bidi="ar"/>
                    </w:rPr>
                    <w:t>5.40E-02</w:t>
                  </w:r>
                </w:p>
              </w:tc>
              <w:tc>
                <w:tcPr>
                  <w:tcW w:w="922" w:type="dxa"/>
                  <w:tcBorders>
                    <w:tl2br w:val="nil"/>
                    <w:tr2bl w:val="nil"/>
                  </w:tcBorders>
                  <w:noWrap w:val="0"/>
                  <w:vAlign w:val="center"/>
                </w:tcPr>
                <w:p w14:paraId="3EA8E989">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500</w:t>
                  </w:r>
                </w:p>
              </w:tc>
              <w:tc>
                <w:tcPr>
                  <w:tcW w:w="1043" w:type="dxa"/>
                  <w:tcBorders>
                    <w:tl2br w:val="nil"/>
                    <w:tr2bl w:val="nil"/>
                  </w:tcBorders>
                  <w:noWrap w:val="0"/>
                  <w:vAlign w:val="center"/>
                </w:tcPr>
                <w:p w14:paraId="5A8E7D81">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128" w:type="dxa"/>
                  <w:tcBorders>
                    <w:tl2br w:val="nil"/>
                    <w:tr2bl w:val="nil"/>
                  </w:tcBorders>
                  <w:shd w:val="clear" w:color="auto" w:fill="auto"/>
                  <w:noWrap w:val="0"/>
                  <w:vAlign w:val="center"/>
                </w:tcPr>
                <w:p w14:paraId="41437CAD">
                  <w:pPr>
                    <w:keepNext w:val="0"/>
                    <w:keepLines w:val="0"/>
                    <w:widowControl/>
                    <w:suppressLineNumbers w:val="0"/>
                    <w:autoSpaceDE w:val="0"/>
                    <w:autoSpaceDN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2.70E-02</w:t>
                  </w:r>
                </w:p>
              </w:tc>
            </w:tr>
            <w:tr w14:paraId="39CA56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1" w:hRule="atLeast"/>
                <w:jc w:val="center"/>
              </w:trPr>
              <w:tc>
                <w:tcPr>
                  <w:tcW w:w="700" w:type="dxa"/>
                  <w:tcBorders>
                    <w:tl2br w:val="nil"/>
                    <w:tr2bl w:val="nil"/>
                  </w:tcBorders>
                  <w:noWrap w:val="0"/>
                  <w:vAlign w:val="center"/>
                </w:tcPr>
                <w:p w14:paraId="27036FED">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d</w:t>
                  </w:r>
                </w:p>
              </w:tc>
              <w:tc>
                <w:tcPr>
                  <w:tcW w:w="2806" w:type="dxa"/>
                  <w:tcBorders>
                    <w:tl2br w:val="nil"/>
                    <w:tr2bl w:val="nil"/>
                  </w:tcBorders>
                  <w:shd w:val="clear" w:color="auto" w:fill="auto"/>
                  <w:noWrap w:val="0"/>
                  <w:vAlign w:val="center"/>
                </w:tcPr>
                <w:p w14:paraId="1EB3BD07">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en-US" w:bidi="ar"/>
                    </w:rPr>
                  </w:pPr>
                  <w:r>
                    <w:rPr>
                      <w:rFonts w:hint="default" w:ascii="Times New Roman" w:hAnsi="Times New Roman" w:eastAsia="宋体" w:cs="Times New Roman"/>
                      <w:i w:val="0"/>
                      <w:iCs w:val="0"/>
                      <w:color w:val="auto"/>
                      <w:kern w:val="0"/>
                      <w:sz w:val="18"/>
                      <w:szCs w:val="18"/>
                      <w:highlight w:val="none"/>
                      <w:u w:val="none"/>
                      <w:lang w:val="en-US" w:eastAsia="zh-CN" w:bidi="ar"/>
                    </w:rPr>
                    <w:t>西墙外30cm处</w:t>
                  </w:r>
                </w:p>
              </w:tc>
              <w:tc>
                <w:tcPr>
                  <w:tcW w:w="1062" w:type="dxa"/>
                  <w:tcBorders>
                    <w:tl2br w:val="nil"/>
                    <w:tr2bl w:val="nil"/>
                  </w:tcBorders>
                  <w:noWrap w:val="0"/>
                  <w:vAlign w:val="center"/>
                </w:tcPr>
                <w:p w14:paraId="2B80BE29">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职业</w:t>
                  </w:r>
                </w:p>
              </w:tc>
              <w:tc>
                <w:tcPr>
                  <w:tcW w:w="1417" w:type="dxa"/>
                  <w:tcBorders>
                    <w:tl2br w:val="nil"/>
                    <w:tr2bl w:val="nil"/>
                  </w:tcBorders>
                  <w:noWrap w:val="0"/>
                  <w:vAlign w:val="center"/>
                </w:tcPr>
                <w:p w14:paraId="24339C45">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en-US" w:bidi="ar"/>
                    </w:rPr>
                  </w:pPr>
                  <w:r>
                    <w:rPr>
                      <w:rFonts w:hint="default" w:ascii="Times New Roman" w:hAnsi="Times New Roman" w:eastAsia="宋体" w:cs="Times New Roman"/>
                      <w:i w:val="0"/>
                      <w:iCs w:val="0"/>
                      <w:color w:val="auto"/>
                      <w:kern w:val="0"/>
                      <w:sz w:val="18"/>
                      <w:szCs w:val="18"/>
                      <w:highlight w:val="none"/>
                      <w:u w:val="none"/>
                      <w:lang w:val="en-US" w:eastAsia="zh-CN" w:bidi="ar"/>
                    </w:rPr>
                    <w:t>3.28E-02</w:t>
                  </w:r>
                </w:p>
              </w:tc>
              <w:tc>
                <w:tcPr>
                  <w:tcW w:w="922" w:type="dxa"/>
                  <w:tcBorders>
                    <w:tl2br w:val="nil"/>
                    <w:tr2bl w:val="nil"/>
                  </w:tcBorders>
                  <w:noWrap w:val="0"/>
                  <w:vAlign w:val="center"/>
                </w:tcPr>
                <w:p w14:paraId="199799DA">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500</w:t>
                  </w:r>
                </w:p>
              </w:tc>
              <w:tc>
                <w:tcPr>
                  <w:tcW w:w="1043" w:type="dxa"/>
                  <w:tcBorders>
                    <w:tl2br w:val="nil"/>
                    <w:tr2bl w:val="nil"/>
                  </w:tcBorders>
                  <w:noWrap w:val="0"/>
                  <w:vAlign w:val="center"/>
                </w:tcPr>
                <w:p w14:paraId="75ACCD53">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128" w:type="dxa"/>
                  <w:tcBorders>
                    <w:tl2br w:val="nil"/>
                    <w:tr2bl w:val="nil"/>
                  </w:tcBorders>
                  <w:shd w:val="clear" w:color="auto" w:fill="auto"/>
                  <w:noWrap w:val="0"/>
                  <w:vAlign w:val="center"/>
                </w:tcPr>
                <w:p w14:paraId="6EC92FFD">
                  <w:pPr>
                    <w:keepNext w:val="0"/>
                    <w:keepLines w:val="0"/>
                    <w:widowControl/>
                    <w:suppressLineNumbers w:val="0"/>
                    <w:autoSpaceDE w:val="0"/>
                    <w:autoSpaceDN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1.64E-02</w:t>
                  </w:r>
                </w:p>
              </w:tc>
            </w:tr>
            <w:tr w14:paraId="1B0F99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1" w:hRule="atLeast"/>
                <w:jc w:val="center"/>
              </w:trPr>
              <w:tc>
                <w:tcPr>
                  <w:tcW w:w="700" w:type="dxa"/>
                  <w:tcBorders>
                    <w:tl2br w:val="nil"/>
                    <w:tr2bl w:val="nil"/>
                  </w:tcBorders>
                  <w:noWrap w:val="0"/>
                  <w:vAlign w:val="center"/>
                </w:tcPr>
                <w:p w14:paraId="5BF46B4C">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e</w:t>
                  </w:r>
                </w:p>
              </w:tc>
              <w:tc>
                <w:tcPr>
                  <w:tcW w:w="2806" w:type="dxa"/>
                  <w:tcBorders>
                    <w:tl2br w:val="nil"/>
                    <w:tr2bl w:val="nil"/>
                  </w:tcBorders>
                  <w:shd w:val="clear" w:color="auto" w:fill="auto"/>
                  <w:noWrap w:val="0"/>
                  <w:vAlign w:val="center"/>
                </w:tcPr>
                <w:p w14:paraId="330C125E">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东墙外30cm处</w:t>
                  </w:r>
                </w:p>
              </w:tc>
              <w:tc>
                <w:tcPr>
                  <w:tcW w:w="1062" w:type="dxa"/>
                  <w:tcBorders>
                    <w:tl2br w:val="nil"/>
                    <w:tr2bl w:val="nil"/>
                  </w:tcBorders>
                  <w:noWrap w:val="0"/>
                  <w:vAlign w:val="center"/>
                </w:tcPr>
                <w:p w14:paraId="06404204">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职业</w:t>
                  </w:r>
                </w:p>
              </w:tc>
              <w:tc>
                <w:tcPr>
                  <w:tcW w:w="1417" w:type="dxa"/>
                  <w:tcBorders>
                    <w:tl2br w:val="nil"/>
                    <w:tr2bl w:val="nil"/>
                  </w:tcBorders>
                  <w:noWrap w:val="0"/>
                  <w:vAlign w:val="center"/>
                </w:tcPr>
                <w:p w14:paraId="47A9D065">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en-US" w:bidi="ar"/>
                    </w:rPr>
                  </w:pPr>
                  <w:r>
                    <w:rPr>
                      <w:rFonts w:hint="default" w:ascii="Times New Roman" w:hAnsi="Times New Roman" w:eastAsia="宋体" w:cs="Times New Roman"/>
                      <w:i w:val="0"/>
                      <w:iCs w:val="0"/>
                      <w:color w:val="auto"/>
                      <w:kern w:val="0"/>
                      <w:sz w:val="18"/>
                      <w:szCs w:val="18"/>
                      <w:highlight w:val="none"/>
                      <w:u w:val="none"/>
                      <w:lang w:val="en-US" w:eastAsia="zh-CN" w:bidi="ar"/>
                    </w:rPr>
                    <w:t>8.30E-02</w:t>
                  </w:r>
                </w:p>
              </w:tc>
              <w:tc>
                <w:tcPr>
                  <w:tcW w:w="922" w:type="dxa"/>
                  <w:tcBorders>
                    <w:tl2br w:val="nil"/>
                    <w:tr2bl w:val="nil"/>
                  </w:tcBorders>
                  <w:noWrap w:val="0"/>
                  <w:vAlign w:val="center"/>
                </w:tcPr>
                <w:p w14:paraId="7F830480">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500</w:t>
                  </w:r>
                </w:p>
              </w:tc>
              <w:tc>
                <w:tcPr>
                  <w:tcW w:w="1043" w:type="dxa"/>
                  <w:tcBorders>
                    <w:tl2br w:val="nil"/>
                    <w:tr2bl w:val="nil"/>
                  </w:tcBorders>
                  <w:noWrap w:val="0"/>
                  <w:vAlign w:val="center"/>
                </w:tcPr>
                <w:p w14:paraId="7E8BCA33">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w:t>
                  </w:r>
                </w:p>
              </w:tc>
              <w:tc>
                <w:tcPr>
                  <w:tcW w:w="1128" w:type="dxa"/>
                  <w:tcBorders>
                    <w:tl2br w:val="nil"/>
                    <w:tr2bl w:val="nil"/>
                  </w:tcBorders>
                  <w:shd w:val="clear" w:color="auto" w:fill="auto"/>
                  <w:noWrap w:val="0"/>
                  <w:vAlign w:val="center"/>
                </w:tcPr>
                <w:p w14:paraId="073FD743">
                  <w:pPr>
                    <w:keepNext w:val="0"/>
                    <w:keepLines w:val="0"/>
                    <w:widowControl/>
                    <w:suppressLineNumbers w:val="0"/>
                    <w:autoSpaceDE w:val="0"/>
                    <w:autoSpaceDN w:val="0"/>
                    <w:spacing w:before="0" w:beforeAutospacing="0" w:after="0" w:afterAutospacing="0"/>
                    <w:ind w:left="0" w:right="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4.15E-02</w:t>
                  </w:r>
                </w:p>
              </w:tc>
            </w:tr>
            <w:tr w14:paraId="4B2D04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05" w:hRule="atLeast"/>
                <w:jc w:val="center"/>
              </w:trPr>
              <w:tc>
                <w:tcPr>
                  <w:tcW w:w="0" w:type="auto"/>
                  <w:vAlign w:val="center"/>
                </w:tcPr>
                <w:p w14:paraId="7EA670A7">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f</w:t>
                  </w:r>
                </w:p>
              </w:tc>
              <w:tc>
                <w:tcPr>
                  <w:tcW w:w="0" w:type="auto"/>
                  <w:shd w:val="clear" w:color="auto" w:fill="auto"/>
                  <w:vAlign w:val="center"/>
                </w:tcPr>
                <w:p w14:paraId="72A1C208">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回旋加速器室顶30cm处</w:t>
                  </w:r>
                </w:p>
              </w:tc>
              <w:tc>
                <w:tcPr>
                  <w:tcW w:w="0" w:type="auto"/>
                  <w:vAlign w:val="center"/>
                </w:tcPr>
                <w:p w14:paraId="6FEE72E4">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公众</w:t>
                  </w:r>
                </w:p>
              </w:tc>
              <w:tc>
                <w:tcPr>
                  <w:tcW w:w="1417" w:type="dxa"/>
                  <w:vAlign w:val="center"/>
                </w:tcPr>
                <w:p w14:paraId="188B2D4D">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en-US" w:bidi="ar"/>
                    </w:rPr>
                  </w:pPr>
                  <w:r>
                    <w:rPr>
                      <w:rFonts w:hint="default" w:ascii="Times New Roman" w:hAnsi="Times New Roman" w:eastAsia="宋体" w:cs="Times New Roman"/>
                      <w:i w:val="0"/>
                      <w:iCs w:val="0"/>
                      <w:color w:val="auto"/>
                      <w:kern w:val="0"/>
                      <w:sz w:val="18"/>
                      <w:szCs w:val="18"/>
                      <w:highlight w:val="none"/>
                      <w:u w:val="none"/>
                      <w:lang w:val="en-US" w:eastAsia="zh-CN" w:bidi="ar"/>
                    </w:rPr>
                    <w:t>9.42E-02</w:t>
                  </w:r>
                </w:p>
              </w:tc>
              <w:tc>
                <w:tcPr>
                  <w:tcW w:w="0" w:type="auto"/>
                  <w:vAlign w:val="center"/>
                </w:tcPr>
                <w:p w14:paraId="55311942">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500</w:t>
                  </w:r>
                </w:p>
              </w:tc>
              <w:tc>
                <w:tcPr>
                  <w:tcW w:w="0" w:type="auto"/>
                  <w:vAlign w:val="center"/>
                </w:tcPr>
                <w:p w14:paraId="06CC8AD6">
                  <w:pPr>
                    <w:keepNext w:val="0"/>
                    <w:keepLines w:val="0"/>
                    <w:widowControl/>
                    <w:suppressLineNumbers w:val="0"/>
                    <w:shd w:val="clear"/>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1/20</w:t>
                  </w:r>
                </w:p>
              </w:tc>
              <w:tc>
                <w:tcPr>
                  <w:tcW w:w="0" w:type="auto"/>
                  <w:shd w:val="clear" w:color="auto" w:fill="auto"/>
                  <w:vAlign w:val="center"/>
                </w:tcPr>
                <w:p w14:paraId="488661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
                    </w:rPr>
                    <w:t>2.36E-03</w:t>
                  </w:r>
                </w:p>
              </w:tc>
            </w:tr>
          </w:tbl>
          <w:p w14:paraId="12992985">
            <w:pPr>
              <w:keepNext w:val="0"/>
              <w:keepLines w:val="0"/>
              <w:suppressLineNumbers w:val="0"/>
              <w:autoSpaceDE w:val="0"/>
              <w:autoSpaceDN w:val="0"/>
              <w:spacing w:before="0" w:beforeAutospacing="0" w:after="0" w:afterAutospacing="0" w:line="360" w:lineRule="auto"/>
              <w:ind w:left="0" w:right="0" w:firstLine="360" w:firstLineChars="200"/>
              <w:jc w:val="both"/>
              <w:rPr>
                <w:rFonts w:hint="default" w:cs="Times New Roman"/>
                <w:b w:val="0"/>
                <w:bCs w:val="0"/>
                <w:color w:val="auto"/>
                <w:kern w:val="0"/>
                <w:sz w:val="18"/>
                <w:szCs w:val="18"/>
                <w:highlight w:val="none"/>
                <w:lang w:val="en-US" w:eastAsia="zh-CN"/>
              </w:rPr>
            </w:pPr>
            <w:r>
              <w:rPr>
                <w:rFonts w:hint="eastAsia" w:cs="Times New Roman"/>
                <w:b w:val="0"/>
                <w:bCs w:val="0"/>
                <w:color w:val="auto"/>
                <w:kern w:val="0"/>
                <w:sz w:val="18"/>
                <w:szCs w:val="18"/>
                <w:highlight w:val="none"/>
                <w:lang w:val="en-US" w:eastAsia="zh-CN"/>
              </w:rPr>
              <w:t>注：回旋加速器限制无关人员入内，公众偶然居留，居留因子取1/20。</w:t>
            </w:r>
          </w:p>
          <w:p w14:paraId="25C81AC1">
            <w:pPr>
              <w:keepNext w:val="0"/>
              <w:keepLines w:val="0"/>
              <w:widowControl w:val="0"/>
              <w:suppressLineNumbers w:val="0"/>
              <w:autoSpaceDE w:val="0"/>
              <w:autoSpaceDN w:val="0"/>
              <w:spacing w:before="0" w:beforeAutospacing="0" w:after="0" w:afterAutospacing="0"/>
              <w:ind w:left="0" w:right="0" w:firstLine="361" w:firstLineChars="150"/>
              <w:jc w:val="center"/>
              <w:rPr>
                <w:rFonts w:hint="default"/>
                <w:color w:val="auto"/>
                <w:kern w:val="0"/>
                <w:sz w:val="24"/>
                <w:szCs w:val="22"/>
                <w:highlight w:val="none"/>
                <w:lang w:val="en-US"/>
              </w:rPr>
            </w:pPr>
            <w:r>
              <w:rPr>
                <w:rFonts w:hint="default" w:ascii="Times New Roman" w:hAnsi="Times New Roman" w:eastAsia="宋体" w:cs="Times New Roman"/>
                <w:b/>
                <w:color w:val="auto"/>
                <w:sz w:val="24"/>
                <w:szCs w:val="22"/>
                <w:highlight w:val="none"/>
                <w:lang w:val="en-US" w:eastAsia="zh-CN" w:bidi="ar-SA"/>
              </w:rPr>
              <w:t>表11-</w:t>
            </w:r>
            <w:r>
              <w:rPr>
                <w:rFonts w:hint="eastAsia" w:cs="Times New Roman"/>
                <w:b/>
                <w:color w:val="auto"/>
                <w:sz w:val="24"/>
                <w:szCs w:val="22"/>
                <w:highlight w:val="none"/>
                <w:lang w:val="en-US" w:eastAsia="zh-CN" w:bidi="ar-SA"/>
              </w:rPr>
              <w:t>13</w:t>
            </w:r>
            <w:r>
              <w:rPr>
                <w:rFonts w:hint="eastAsia" w:ascii="Times New Roman" w:hAnsi="Times New Roman" w:eastAsia="宋体" w:cs="Times New Roman"/>
                <w:b/>
                <w:color w:val="auto"/>
                <w:sz w:val="24"/>
                <w:szCs w:val="22"/>
                <w:highlight w:val="none"/>
                <w:lang w:val="en-US" w:eastAsia="zh-CN" w:bidi="ar-SA"/>
              </w:rPr>
              <w:t xml:space="preserve">  </w:t>
            </w:r>
            <w:r>
              <w:rPr>
                <w:rFonts w:hint="default" w:ascii="Times New Roman" w:hAnsi="Times New Roman" w:eastAsia="宋体" w:cs="Times New Roman"/>
                <w:b/>
                <w:color w:val="auto"/>
                <w:sz w:val="24"/>
                <w:szCs w:val="22"/>
                <w:highlight w:val="none"/>
                <w:lang w:val="en-US" w:eastAsia="zh-CN" w:bidi="ar-SA"/>
              </w:rPr>
              <w:t>合成热室</w:t>
            </w:r>
            <w:r>
              <w:rPr>
                <w:rFonts w:hint="eastAsia" w:ascii="Times New Roman" w:hAnsi="Times New Roman" w:eastAsia="宋体" w:cs="Times New Roman"/>
                <w:b/>
                <w:color w:val="auto"/>
                <w:sz w:val="24"/>
                <w:szCs w:val="22"/>
                <w:highlight w:val="none"/>
                <w:lang w:val="en-US" w:eastAsia="zh-CN" w:bidi="ar-SA"/>
              </w:rPr>
              <w:t>职业、公众人员受照射剂量预测结果</w:t>
            </w:r>
          </w:p>
          <w:tbl>
            <w:tblPr>
              <w:tblStyle w:val="22"/>
              <w:tblW w:w="941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602"/>
              <w:gridCol w:w="3126"/>
              <w:gridCol w:w="1084"/>
              <w:gridCol w:w="1447"/>
              <w:gridCol w:w="941"/>
              <w:gridCol w:w="1064"/>
              <w:gridCol w:w="1152"/>
            </w:tblGrid>
            <w:tr w14:paraId="6DEA8D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602" w:type="dxa"/>
                  <w:tcBorders>
                    <w:tl2br w:val="nil"/>
                    <w:tr2bl w:val="nil"/>
                  </w:tcBorders>
                  <w:noWrap w:val="0"/>
                  <w:vAlign w:val="center"/>
                </w:tcPr>
                <w:p w14:paraId="398352E1">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目标点位</w:t>
                  </w:r>
                </w:p>
              </w:tc>
              <w:tc>
                <w:tcPr>
                  <w:tcW w:w="3126" w:type="dxa"/>
                  <w:tcBorders>
                    <w:tl2br w:val="nil"/>
                    <w:tr2bl w:val="nil"/>
                  </w:tcBorders>
                  <w:noWrap w:val="0"/>
                  <w:vAlign w:val="center"/>
                </w:tcPr>
                <w:p w14:paraId="6B0FC1D9">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与机房关系</w:t>
                  </w:r>
                </w:p>
              </w:tc>
              <w:tc>
                <w:tcPr>
                  <w:tcW w:w="1084" w:type="dxa"/>
                  <w:tcBorders>
                    <w:tl2br w:val="nil"/>
                    <w:tr2bl w:val="nil"/>
                  </w:tcBorders>
                  <w:noWrap w:val="0"/>
                  <w:vAlign w:val="center"/>
                </w:tcPr>
                <w:p w14:paraId="6EA260B1">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照射类型</w:t>
                  </w:r>
                </w:p>
              </w:tc>
              <w:tc>
                <w:tcPr>
                  <w:tcW w:w="1447" w:type="dxa"/>
                  <w:tcBorders>
                    <w:tl2br w:val="nil"/>
                    <w:tr2bl w:val="nil"/>
                  </w:tcBorders>
                  <w:noWrap w:val="0"/>
                  <w:vAlign w:val="center"/>
                </w:tcPr>
                <w:p w14:paraId="4ED32C6D">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剂量</w:t>
                  </w:r>
                  <w:r>
                    <w:rPr>
                      <w:rFonts w:hint="default" w:ascii="Times New Roman" w:hAnsi="Times New Roman" w:eastAsia="宋体" w:cs="Times New Roman"/>
                      <w:color w:val="auto"/>
                      <w:kern w:val="0"/>
                      <w:sz w:val="18"/>
                      <w:szCs w:val="18"/>
                      <w:highlight w:val="none"/>
                      <w:lang w:val="en-US" w:eastAsia="zh-CN"/>
                    </w:rPr>
                    <w:t>率</w:t>
                  </w:r>
                  <w:r>
                    <w:rPr>
                      <w:rFonts w:hint="default" w:ascii="Times New Roman" w:hAnsi="Times New Roman" w:eastAsia="宋体" w:cs="Times New Roman"/>
                      <w:color w:val="auto"/>
                      <w:kern w:val="0"/>
                      <w:sz w:val="18"/>
                      <w:szCs w:val="18"/>
                      <w:highlight w:val="none"/>
                    </w:rPr>
                    <w:t>(μSv/h)</w:t>
                  </w:r>
                </w:p>
              </w:tc>
              <w:tc>
                <w:tcPr>
                  <w:tcW w:w="941" w:type="dxa"/>
                  <w:tcBorders>
                    <w:tl2br w:val="nil"/>
                    <w:tr2bl w:val="nil"/>
                  </w:tcBorders>
                  <w:noWrap w:val="0"/>
                  <w:vAlign w:val="center"/>
                </w:tcPr>
                <w:p w14:paraId="50A23457">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年受照时间，h</w:t>
                  </w:r>
                </w:p>
              </w:tc>
              <w:tc>
                <w:tcPr>
                  <w:tcW w:w="1064" w:type="dxa"/>
                  <w:tcBorders>
                    <w:tl2br w:val="nil"/>
                    <w:tr2bl w:val="nil"/>
                  </w:tcBorders>
                  <w:noWrap w:val="0"/>
                  <w:vAlign w:val="center"/>
                </w:tcPr>
                <w:p w14:paraId="2AF399D7">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居留因子</w:t>
                  </w:r>
                </w:p>
              </w:tc>
              <w:tc>
                <w:tcPr>
                  <w:tcW w:w="1152" w:type="dxa"/>
                  <w:tcBorders>
                    <w:tl2br w:val="nil"/>
                    <w:tr2bl w:val="nil"/>
                  </w:tcBorders>
                  <w:noWrap w:val="0"/>
                  <w:vAlign w:val="center"/>
                </w:tcPr>
                <w:p w14:paraId="5E93A0B0">
                  <w:pPr>
                    <w:keepNext w:val="0"/>
                    <w:keepLines w:val="0"/>
                    <w:suppressLineNumbers w:val="0"/>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18"/>
                      <w:szCs w:val="18"/>
                      <w:highlight w:val="none"/>
                      <w:lang w:eastAsia="zh-CN"/>
                    </w:rPr>
                  </w:pPr>
                  <w:r>
                    <w:rPr>
                      <w:rFonts w:hint="default" w:ascii="Times New Roman" w:hAnsi="Times New Roman" w:eastAsia="宋体" w:cs="Times New Roman"/>
                      <w:color w:val="auto"/>
                      <w:kern w:val="0"/>
                      <w:sz w:val="18"/>
                      <w:szCs w:val="18"/>
                      <w:highlight w:val="none"/>
                      <w:lang w:val="en-US" w:eastAsia="zh-CN"/>
                    </w:rPr>
                    <w:t>年</w:t>
                  </w:r>
                  <w:r>
                    <w:rPr>
                      <w:rFonts w:hint="eastAsia" w:cs="Times New Roman"/>
                      <w:color w:val="auto"/>
                      <w:kern w:val="0"/>
                      <w:sz w:val="18"/>
                      <w:szCs w:val="18"/>
                      <w:highlight w:val="none"/>
                      <w:lang w:eastAsia="zh-CN"/>
                    </w:rPr>
                    <w:t>年有效剂量mSv/a</w:t>
                  </w:r>
                </w:p>
              </w:tc>
            </w:tr>
            <w:tr w14:paraId="0495D0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602" w:type="dxa"/>
                  <w:tcBorders>
                    <w:tl2br w:val="nil"/>
                    <w:tr2bl w:val="nil"/>
                  </w:tcBorders>
                  <w:shd w:val="clear" w:color="auto" w:fill="auto"/>
                  <w:noWrap w:val="0"/>
                  <w:vAlign w:val="center"/>
                </w:tcPr>
                <w:p w14:paraId="596F749D">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A</w:t>
                  </w:r>
                </w:p>
              </w:tc>
              <w:tc>
                <w:tcPr>
                  <w:tcW w:w="3126" w:type="dxa"/>
                  <w:tcBorders>
                    <w:tl2br w:val="nil"/>
                    <w:tr2bl w:val="nil"/>
                  </w:tcBorders>
                  <w:shd w:val="clear" w:color="auto" w:fill="auto"/>
                  <w:noWrap w:val="0"/>
                  <w:vAlign w:val="center"/>
                </w:tcPr>
                <w:p w14:paraId="216B19B0">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合成柜正面外30cm（人员操作位）</w:t>
                  </w:r>
                </w:p>
              </w:tc>
              <w:tc>
                <w:tcPr>
                  <w:tcW w:w="1084" w:type="dxa"/>
                  <w:tcBorders>
                    <w:tl2br w:val="nil"/>
                    <w:tr2bl w:val="nil"/>
                  </w:tcBorders>
                  <w:noWrap w:val="0"/>
                  <w:vAlign w:val="center"/>
                </w:tcPr>
                <w:p w14:paraId="327C8A24">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职业</w:t>
                  </w:r>
                </w:p>
              </w:tc>
              <w:tc>
                <w:tcPr>
                  <w:tcW w:w="1447" w:type="dxa"/>
                  <w:tcBorders>
                    <w:tl2br w:val="nil"/>
                    <w:tr2bl w:val="nil"/>
                  </w:tcBorders>
                  <w:shd w:val="clear" w:color="auto" w:fill="auto"/>
                  <w:noWrap w:val="0"/>
                  <w:vAlign w:val="center"/>
                </w:tcPr>
                <w:p w14:paraId="3C234DA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8.39E-01</w:t>
                  </w:r>
                </w:p>
              </w:tc>
              <w:tc>
                <w:tcPr>
                  <w:tcW w:w="941" w:type="dxa"/>
                  <w:tcBorders>
                    <w:tl2br w:val="nil"/>
                    <w:tr2bl w:val="nil"/>
                  </w:tcBorders>
                  <w:shd w:val="clear" w:color="auto" w:fill="auto"/>
                  <w:noWrap w:val="0"/>
                  <w:vAlign w:val="center"/>
                </w:tcPr>
                <w:p w14:paraId="161A778F">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1064" w:type="dxa"/>
                  <w:tcBorders>
                    <w:tl2br w:val="nil"/>
                    <w:tr2bl w:val="nil"/>
                  </w:tcBorders>
                  <w:noWrap w:val="0"/>
                  <w:vAlign w:val="center"/>
                </w:tcPr>
                <w:p w14:paraId="1A6AF934">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val="en-US" w:eastAsia="zh-CN" w:bidi="ar"/>
                    </w:rPr>
                    <w:t>1</w:t>
                  </w:r>
                </w:p>
              </w:tc>
              <w:tc>
                <w:tcPr>
                  <w:tcW w:w="1152" w:type="dxa"/>
                  <w:tcBorders>
                    <w:tl2br w:val="nil"/>
                    <w:tr2bl w:val="nil"/>
                  </w:tcBorders>
                  <w:noWrap w:val="0"/>
                  <w:vAlign w:val="center"/>
                </w:tcPr>
                <w:p w14:paraId="2CA762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4.20E-01</w:t>
                  </w:r>
                </w:p>
              </w:tc>
            </w:tr>
            <w:tr w14:paraId="443F77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602" w:type="dxa"/>
                  <w:shd w:val="clear" w:color="auto" w:fill="auto"/>
                  <w:vAlign w:val="center"/>
                </w:tcPr>
                <w:p w14:paraId="34393A28">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B</w:t>
                  </w:r>
                </w:p>
              </w:tc>
              <w:tc>
                <w:tcPr>
                  <w:tcW w:w="3126" w:type="dxa"/>
                  <w:shd w:val="clear" w:color="auto" w:fill="auto"/>
                  <w:vAlign w:val="center"/>
                </w:tcPr>
                <w:p w14:paraId="3FE9D816">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合成柜侧面消毒室墙外30cm</w:t>
                  </w:r>
                </w:p>
              </w:tc>
              <w:tc>
                <w:tcPr>
                  <w:tcW w:w="1084" w:type="dxa"/>
                  <w:vAlign w:val="center"/>
                </w:tcPr>
                <w:p w14:paraId="7851AB57">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职业</w:t>
                  </w:r>
                </w:p>
              </w:tc>
              <w:tc>
                <w:tcPr>
                  <w:tcW w:w="1447" w:type="dxa"/>
                  <w:shd w:val="clear" w:color="auto" w:fill="auto"/>
                  <w:vAlign w:val="center"/>
                </w:tcPr>
                <w:p w14:paraId="280DF10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1.35E+00</w:t>
                  </w:r>
                </w:p>
              </w:tc>
              <w:tc>
                <w:tcPr>
                  <w:tcW w:w="941" w:type="dxa"/>
                  <w:shd w:val="clear" w:color="auto" w:fill="auto"/>
                  <w:vAlign w:val="center"/>
                </w:tcPr>
                <w:p w14:paraId="4BC186A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1064" w:type="dxa"/>
                  <w:vAlign w:val="center"/>
                </w:tcPr>
                <w:p w14:paraId="4C2F2287">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val="en-US" w:eastAsia="zh-CN" w:bidi="ar"/>
                    </w:rPr>
                    <w:t>1</w:t>
                  </w:r>
                </w:p>
              </w:tc>
              <w:tc>
                <w:tcPr>
                  <w:tcW w:w="1152" w:type="dxa"/>
                  <w:vAlign w:val="center"/>
                </w:tcPr>
                <w:p w14:paraId="68E3641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6.75E-01</w:t>
                  </w:r>
                </w:p>
              </w:tc>
            </w:tr>
            <w:tr w14:paraId="0BFA41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602" w:type="dxa"/>
                  <w:shd w:val="clear" w:color="auto" w:fill="auto"/>
                  <w:vAlign w:val="center"/>
                </w:tcPr>
                <w:p w14:paraId="06570146">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C</w:t>
                  </w:r>
                </w:p>
              </w:tc>
              <w:tc>
                <w:tcPr>
                  <w:tcW w:w="3126" w:type="dxa"/>
                  <w:shd w:val="clear" w:color="auto" w:fill="auto"/>
                  <w:vAlign w:val="center"/>
                </w:tcPr>
                <w:p w14:paraId="41FDECAD">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合成柜后面外30cm</w:t>
                  </w:r>
                </w:p>
              </w:tc>
              <w:tc>
                <w:tcPr>
                  <w:tcW w:w="1084" w:type="dxa"/>
                  <w:vAlign w:val="center"/>
                </w:tcPr>
                <w:p w14:paraId="56822E71">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职业</w:t>
                  </w:r>
                </w:p>
              </w:tc>
              <w:tc>
                <w:tcPr>
                  <w:tcW w:w="1447" w:type="dxa"/>
                  <w:shd w:val="clear" w:color="auto" w:fill="auto"/>
                  <w:vAlign w:val="center"/>
                </w:tcPr>
                <w:p w14:paraId="3969B9B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5.25E+00</w:t>
                  </w:r>
                </w:p>
              </w:tc>
              <w:tc>
                <w:tcPr>
                  <w:tcW w:w="941" w:type="dxa"/>
                  <w:shd w:val="clear" w:color="auto" w:fill="auto"/>
                  <w:vAlign w:val="center"/>
                </w:tcPr>
                <w:p w14:paraId="666E6F3E">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1064" w:type="dxa"/>
                  <w:vAlign w:val="center"/>
                </w:tcPr>
                <w:p w14:paraId="1C2B7272">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val="en-US" w:eastAsia="zh-CN" w:bidi="ar"/>
                    </w:rPr>
                    <w:t>1</w:t>
                  </w:r>
                </w:p>
              </w:tc>
              <w:tc>
                <w:tcPr>
                  <w:tcW w:w="1152" w:type="dxa"/>
                  <w:vAlign w:val="center"/>
                </w:tcPr>
                <w:p w14:paraId="227C83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2.63E+00</w:t>
                  </w:r>
                </w:p>
              </w:tc>
            </w:tr>
            <w:tr w14:paraId="2A8DD0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602" w:type="dxa"/>
                  <w:shd w:val="clear" w:color="auto" w:fill="auto"/>
                  <w:vAlign w:val="center"/>
                </w:tcPr>
                <w:p w14:paraId="693D1D56">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D</w:t>
                  </w:r>
                </w:p>
              </w:tc>
              <w:tc>
                <w:tcPr>
                  <w:tcW w:w="3126" w:type="dxa"/>
                  <w:shd w:val="clear" w:color="auto" w:fill="auto"/>
                  <w:vAlign w:val="center"/>
                </w:tcPr>
                <w:p w14:paraId="237588A1">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合成柜上方外30cm</w:t>
                  </w:r>
                </w:p>
              </w:tc>
              <w:tc>
                <w:tcPr>
                  <w:tcW w:w="1084" w:type="dxa"/>
                  <w:vAlign w:val="center"/>
                </w:tcPr>
                <w:p w14:paraId="23A15F39">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职业</w:t>
                  </w:r>
                </w:p>
              </w:tc>
              <w:tc>
                <w:tcPr>
                  <w:tcW w:w="1447" w:type="dxa"/>
                  <w:shd w:val="clear" w:color="auto" w:fill="auto"/>
                  <w:vAlign w:val="center"/>
                </w:tcPr>
                <w:p w14:paraId="772377C9">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2.57E+00</w:t>
                  </w:r>
                </w:p>
              </w:tc>
              <w:tc>
                <w:tcPr>
                  <w:tcW w:w="941" w:type="dxa"/>
                  <w:shd w:val="clear" w:color="auto" w:fill="auto"/>
                  <w:vAlign w:val="center"/>
                </w:tcPr>
                <w:p w14:paraId="09C842E9">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1064" w:type="dxa"/>
                  <w:vAlign w:val="center"/>
                </w:tcPr>
                <w:p w14:paraId="394CD73F">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val="en-US" w:eastAsia="zh-CN" w:bidi="ar"/>
                    </w:rPr>
                    <w:t>1</w:t>
                  </w:r>
                </w:p>
              </w:tc>
              <w:tc>
                <w:tcPr>
                  <w:tcW w:w="1152" w:type="dxa"/>
                  <w:vAlign w:val="center"/>
                </w:tcPr>
                <w:p w14:paraId="1242EAF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1.29E+00</w:t>
                  </w:r>
                </w:p>
              </w:tc>
            </w:tr>
            <w:tr w14:paraId="5A9DE9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602" w:type="dxa"/>
                  <w:shd w:val="clear" w:color="auto" w:fill="auto"/>
                  <w:vAlign w:val="center"/>
                </w:tcPr>
                <w:p w14:paraId="5AC1ED5F">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E</w:t>
                  </w:r>
                </w:p>
              </w:tc>
              <w:tc>
                <w:tcPr>
                  <w:tcW w:w="3126" w:type="dxa"/>
                  <w:shd w:val="clear" w:color="auto" w:fill="auto"/>
                  <w:vAlign w:val="center"/>
                </w:tcPr>
                <w:p w14:paraId="069CAE4E">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放药转移时北墙外30cm</w:t>
                  </w:r>
                </w:p>
              </w:tc>
              <w:tc>
                <w:tcPr>
                  <w:tcW w:w="1084" w:type="dxa"/>
                  <w:vAlign w:val="center"/>
                </w:tcPr>
                <w:p w14:paraId="2EEE90EF">
                  <w:pPr>
                    <w:keepNext w:val="0"/>
                    <w:keepLines w:val="0"/>
                    <w:suppressLineNumbers w:val="0"/>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18"/>
                      <w:szCs w:val="18"/>
                      <w:highlight w:val="none"/>
                      <w:lang w:val="en-US" w:eastAsia="zh-CN"/>
                    </w:rPr>
                  </w:pPr>
                  <w:r>
                    <w:rPr>
                      <w:rFonts w:hint="eastAsia" w:ascii="Times New Roman" w:hAnsi="Times New Roman" w:eastAsia="宋体" w:cs="Times New Roman"/>
                      <w:color w:val="auto"/>
                      <w:kern w:val="0"/>
                      <w:sz w:val="18"/>
                      <w:szCs w:val="18"/>
                      <w:highlight w:val="none"/>
                      <w:lang w:val="en-US" w:eastAsia="zh-CN"/>
                    </w:rPr>
                    <w:t>公众</w:t>
                  </w:r>
                </w:p>
              </w:tc>
              <w:tc>
                <w:tcPr>
                  <w:tcW w:w="1447" w:type="dxa"/>
                  <w:shd w:val="clear" w:color="auto" w:fill="auto"/>
                  <w:vAlign w:val="center"/>
                </w:tcPr>
                <w:p w14:paraId="381D4735">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2.34E+00</w:t>
                  </w:r>
                </w:p>
              </w:tc>
              <w:tc>
                <w:tcPr>
                  <w:tcW w:w="941" w:type="dxa"/>
                  <w:shd w:val="clear" w:color="auto" w:fill="auto"/>
                  <w:vAlign w:val="center"/>
                </w:tcPr>
                <w:p w14:paraId="754D14FA">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1064" w:type="dxa"/>
                  <w:vAlign w:val="center"/>
                </w:tcPr>
                <w:p w14:paraId="31CCAD4B">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1/20</w:t>
                  </w:r>
                </w:p>
              </w:tc>
              <w:tc>
                <w:tcPr>
                  <w:tcW w:w="1152" w:type="dxa"/>
                  <w:vAlign w:val="center"/>
                </w:tcPr>
                <w:p w14:paraId="100BA3A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5.85E-02</w:t>
                  </w:r>
                </w:p>
              </w:tc>
            </w:tr>
            <w:tr w14:paraId="35E6B0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602" w:type="dxa"/>
                  <w:shd w:val="clear" w:color="auto" w:fill="auto"/>
                  <w:vAlign w:val="center"/>
                </w:tcPr>
                <w:p w14:paraId="784DD505">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F</w:t>
                  </w:r>
                </w:p>
              </w:tc>
              <w:tc>
                <w:tcPr>
                  <w:tcW w:w="3126" w:type="dxa"/>
                  <w:shd w:val="clear" w:color="auto" w:fill="auto"/>
                  <w:vAlign w:val="center"/>
                </w:tcPr>
                <w:p w14:paraId="129B5529">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放药转移时防护门外30cm</w:t>
                  </w:r>
                </w:p>
              </w:tc>
              <w:tc>
                <w:tcPr>
                  <w:tcW w:w="1084" w:type="dxa"/>
                  <w:vAlign w:val="center"/>
                </w:tcPr>
                <w:p w14:paraId="7FDF67B5">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eastAsia" w:ascii="Times New Roman" w:hAnsi="Times New Roman" w:eastAsia="宋体" w:cs="Times New Roman"/>
                      <w:color w:val="auto"/>
                      <w:kern w:val="0"/>
                      <w:sz w:val="18"/>
                      <w:szCs w:val="18"/>
                      <w:highlight w:val="none"/>
                      <w:lang w:val="en-US" w:eastAsia="zh-CN"/>
                    </w:rPr>
                    <w:t>公众</w:t>
                  </w:r>
                </w:p>
              </w:tc>
              <w:tc>
                <w:tcPr>
                  <w:tcW w:w="1447" w:type="dxa"/>
                  <w:shd w:val="clear" w:color="auto" w:fill="auto"/>
                  <w:vAlign w:val="center"/>
                </w:tcPr>
                <w:p w14:paraId="7AB5BD0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1.53E+00</w:t>
                  </w:r>
                </w:p>
              </w:tc>
              <w:tc>
                <w:tcPr>
                  <w:tcW w:w="941" w:type="dxa"/>
                  <w:shd w:val="clear" w:color="auto" w:fill="auto"/>
                  <w:vAlign w:val="center"/>
                </w:tcPr>
                <w:p w14:paraId="0926602E">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1064" w:type="dxa"/>
                  <w:vAlign w:val="center"/>
                </w:tcPr>
                <w:p w14:paraId="0DA0C63F">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1/20</w:t>
                  </w:r>
                </w:p>
              </w:tc>
              <w:tc>
                <w:tcPr>
                  <w:tcW w:w="1152" w:type="dxa"/>
                  <w:vAlign w:val="center"/>
                </w:tcPr>
                <w:p w14:paraId="78899B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3.83E-02</w:t>
                  </w:r>
                </w:p>
              </w:tc>
            </w:tr>
            <w:tr w14:paraId="01C466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602" w:type="dxa"/>
                  <w:shd w:val="clear" w:color="auto" w:fill="auto"/>
                  <w:vAlign w:val="center"/>
                </w:tcPr>
                <w:p w14:paraId="7C07FC3C">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G</w:t>
                  </w:r>
                </w:p>
              </w:tc>
              <w:tc>
                <w:tcPr>
                  <w:tcW w:w="3126" w:type="dxa"/>
                  <w:shd w:val="clear" w:color="auto" w:fill="auto"/>
                  <w:vAlign w:val="center"/>
                </w:tcPr>
                <w:p w14:paraId="5DBEE702">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default" w:ascii="Times New Roman" w:hAnsi="Times New Roman" w:eastAsia="宋体" w:cs="Times New Roman"/>
                      <w:color w:val="auto"/>
                      <w:kern w:val="0"/>
                      <w:sz w:val="18"/>
                      <w:szCs w:val="18"/>
                      <w:highlight w:val="none"/>
                      <w:lang w:val="en-US" w:eastAsia="zh-CN"/>
                    </w:rPr>
                    <w:t>放药转移时屋顶上方100cm</w:t>
                  </w:r>
                </w:p>
              </w:tc>
              <w:tc>
                <w:tcPr>
                  <w:tcW w:w="1084" w:type="dxa"/>
                  <w:vAlign w:val="center"/>
                </w:tcPr>
                <w:p w14:paraId="38A8FB38">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lang w:val="en-US" w:eastAsia="zh-CN"/>
                    </w:rPr>
                  </w:pPr>
                  <w:r>
                    <w:rPr>
                      <w:rFonts w:hint="eastAsia" w:ascii="Times New Roman" w:hAnsi="Times New Roman" w:eastAsia="宋体" w:cs="Times New Roman"/>
                      <w:color w:val="auto"/>
                      <w:kern w:val="0"/>
                      <w:sz w:val="18"/>
                      <w:szCs w:val="18"/>
                      <w:highlight w:val="none"/>
                      <w:lang w:val="en-US" w:eastAsia="zh-CN"/>
                    </w:rPr>
                    <w:t>公众</w:t>
                  </w:r>
                </w:p>
              </w:tc>
              <w:tc>
                <w:tcPr>
                  <w:tcW w:w="1447" w:type="dxa"/>
                  <w:shd w:val="clear" w:color="auto" w:fill="auto"/>
                  <w:vAlign w:val="center"/>
                </w:tcPr>
                <w:p w14:paraId="1BC702FD">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6.44E-02</w:t>
                  </w:r>
                </w:p>
              </w:tc>
              <w:tc>
                <w:tcPr>
                  <w:tcW w:w="941" w:type="dxa"/>
                  <w:vAlign w:val="center"/>
                </w:tcPr>
                <w:p w14:paraId="66C90981">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1064" w:type="dxa"/>
                  <w:vAlign w:val="center"/>
                </w:tcPr>
                <w:p w14:paraId="29D0EC06">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1/20</w:t>
                  </w:r>
                </w:p>
              </w:tc>
              <w:tc>
                <w:tcPr>
                  <w:tcW w:w="1152" w:type="dxa"/>
                  <w:vAlign w:val="center"/>
                </w:tcPr>
                <w:p w14:paraId="539A5F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1.61E-03</w:t>
                  </w:r>
                </w:p>
              </w:tc>
            </w:tr>
          </w:tbl>
          <w:p w14:paraId="0B40710A">
            <w:pPr>
              <w:keepNext w:val="0"/>
              <w:keepLines w:val="0"/>
              <w:suppressLineNumbers w:val="0"/>
              <w:autoSpaceDE w:val="0"/>
              <w:autoSpaceDN w:val="0"/>
              <w:spacing w:before="0" w:beforeAutospacing="0" w:after="0" w:afterAutospacing="0" w:line="360" w:lineRule="auto"/>
              <w:ind w:left="0" w:right="0" w:firstLine="360" w:firstLineChars="200"/>
              <w:jc w:val="both"/>
              <w:rPr>
                <w:rFonts w:hint="default" w:cs="Times New Roman"/>
                <w:b w:val="0"/>
                <w:bCs w:val="0"/>
                <w:color w:val="auto"/>
                <w:kern w:val="0"/>
                <w:sz w:val="18"/>
                <w:szCs w:val="18"/>
                <w:highlight w:val="none"/>
                <w:lang w:val="en-US" w:eastAsia="zh-CN"/>
              </w:rPr>
            </w:pPr>
            <w:r>
              <w:rPr>
                <w:rFonts w:hint="eastAsia" w:cs="Times New Roman"/>
                <w:b w:val="0"/>
                <w:bCs w:val="0"/>
                <w:color w:val="auto"/>
                <w:kern w:val="0"/>
                <w:sz w:val="18"/>
                <w:szCs w:val="18"/>
                <w:highlight w:val="none"/>
                <w:lang w:val="en-US" w:eastAsia="zh-CN"/>
              </w:rPr>
              <w:t>注：合成热室限制无关人员入内，公众偶然居留，居留因子取1/20。</w:t>
            </w:r>
          </w:p>
          <w:p w14:paraId="001C4545">
            <w:pPr>
              <w:keepNext w:val="0"/>
              <w:keepLines w:val="0"/>
              <w:widowControl w:val="0"/>
              <w:suppressLineNumbers w:val="0"/>
              <w:autoSpaceDE w:val="0"/>
              <w:autoSpaceDN w:val="0"/>
              <w:spacing w:before="0" w:beforeAutospacing="0" w:after="0" w:afterAutospacing="0"/>
              <w:ind w:left="0" w:right="0" w:firstLine="361" w:firstLineChars="150"/>
              <w:jc w:val="center"/>
              <w:rPr>
                <w:rFonts w:hint="default" w:ascii="Times New Roman" w:hAnsi="Times New Roman" w:eastAsia="宋体" w:cs="Times New Roman"/>
                <w:b/>
                <w:color w:val="auto"/>
                <w:sz w:val="24"/>
                <w:szCs w:val="22"/>
                <w:highlight w:val="none"/>
                <w:lang w:val="en-US" w:eastAsia="zh-CN" w:bidi="ar-SA"/>
              </w:rPr>
            </w:pPr>
            <w:r>
              <w:rPr>
                <w:rFonts w:hint="default" w:ascii="Times New Roman" w:hAnsi="Times New Roman" w:eastAsia="宋体" w:cs="Times New Roman"/>
                <w:b/>
                <w:color w:val="auto"/>
                <w:sz w:val="24"/>
                <w:szCs w:val="22"/>
                <w:highlight w:val="none"/>
                <w:lang w:val="en-US" w:eastAsia="zh-CN" w:bidi="ar-SA"/>
              </w:rPr>
              <w:t>表11-</w:t>
            </w:r>
            <w:r>
              <w:rPr>
                <w:rFonts w:hint="eastAsia" w:cs="Times New Roman"/>
                <w:b/>
                <w:color w:val="auto"/>
                <w:sz w:val="24"/>
                <w:szCs w:val="22"/>
                <w:highlight w:val="none"/>
                <w:lang w:val="en-US" w:eastAsia="zh-CN" w:bidi="ar-SA"/>
              </w:rPr>
              <w:t>14</w:t>
            </w:r>
            <w:r>
              <w:rPr>
                <w:rFonts w:hint="default" w:ascii="Times New Roman" w:hAnsi="Times New Roman" w:eastAsia="宋体" w:cs="Times New Roman"/>
                <w:b/>
                <w:color w:val="auto"/>
                <w:sz w:val="24"/>
                <w:szCs w:val="22"/>
                <w:highlight w:val="none"/>
                <w:lang w:val="en-US" w:eastAsia="zh-CN" w:bidi="ar-SA"/>
              </w:rPr>
              <w:t xml:space="preserve">  质控室职业、公众人员受照射剂量预测结果</w:t>
            </w:r>
          </w:p>
          <w:tbl>
            <w:tblPr>
              <w:tblStyle w:val="22"/>
              <w:tblW w:w="915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586"/>
              <w:gridCol w:w="3039"/>
              <w:gridCol w:w="1054"/>
              <w:gridCol w:w="1407"/>
              <w:gridCol w:w="915"/>
              <w:gridCol w:w="1035"/>
              <w:gridCol w:w="1120"/>
            </w:tblGrid>
            <w:tr w14:paraId="54C728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586" w:type="dxa"/>
                  <w:tcBorders>
                    <w:tl2br w:val="nil"/>
                    <w:tr2bl w:val="nil"/>
                  </w:tcBorders>
                  <w:noWrap w:val="0"/>
                  <w:vAlign w:val="center"/>
                </w:tcPr>
                <w:p w14:paraId="677BE188">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目标点位</w:t>
                  </w:r>
                </w:p>
              </w:tc>
              <w:tc>
                <w:tcPr>
                  <w:tcW w:w="3039" w:type="dxa"/>
                  <w:tcBorders>
                    <w:tl2br w:val="nil"/>
                    <w:tr2bl w:val="nil"/>
                  </w:tcBorders>
                  <w:noWrap w:val="0"/>
                  <w:vAlign w:val="center"/>
                </w:tcPr>
                <w:p w14:paraId="68517733">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与机房关系</w:t>
                  </w:r>
                </w:p>
              </w:tc>
              <w:tc>
                <w:tcPr>
                  <w:tcW w:w="1054" w:type="dxa"/>
                  <w:tcBorders>
                    <w:tl2br w:val="nil"/>
                    <w:tr2bl w:val="nil"/>
                  </w:tcBorders>
                  <w:noWrap w:val="0"/>
                  <w:vAlign w:val="center"/>
                </w:tcPr>
                <w:p w14:paraId="1EA5997B">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照射类型</w:t>
                  </w:r>
                </w:p>
              </w:tc>
              <w:tc>
                <w:tcPr>
                  <w:tcW w:w="1407" w:type="dxa"/>
                  <w:tcBorders>
                    <w:tl2br w:val="nil"/>
                    <w:tr2bl w:val="nil"/>
                  </w:tcBorders>
                  <w:noWrap w:val="0"/>
                  <w:vAlign w:val="center"/>
                </w:tcPr>
                <w:p w14:paraId="4FFF308E">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剂量</w:t>
                  </w:r>
                  <w:r>
                    <w:rPr>
                      <w:rFonts w:hint="eastAsia" w:ascii="Times New Roman" w:hAnsi="Times New Roman" w:eastAsia="宋体" w:cs="Times New Roman"/>
                      <w:color w:val="auto"/>
                      <w:kern w:val="0"/>
                      <w:sz w:val="18"/>
                      <w:szCs w:val="18"/>
                      <w:highlight w:val="none"/>
                      <w:lang w:val="en-US" w:eastAsia="zh-CN"/>
                    </w:rPr>
                    <w:t>率</w:t>
                  </w:r>
                  <w:r>
                    <w:rPr>
                      <w:rFonts w:hint="default" w:ascii="Times New Roman" w:hAnsi="Times New Roman" w:eastAsia="宋体" w:cs="Times New Roman"/>
                      <w:color w:val="auto"/>
                      <w:kern w:val="0"/>
                      <w:sz w:val="18"/>
                      <w:szCs w:val="18"/>
                      <w:highlight w:val="none"/>
                    </w:rPr>
                    <w:t>(μSv/h)</w:t>
                  </w:r>
                </w:p>
              </w:tc>
              <w:tc>
                <w:tcPr>
                  <w:tcW w:w="915" w:type="dxa"/>
                  <w:tcBorders>
                    <w:tl2br w:val="nil"/>
                    <w:tr2bl w:val="nil"/>
                  </w:tcBorders>
                  <w:noWrap w:val="0"/>
                  <w:vAlign w:val="center"/>
                </w:tcPr>
                <w:p w14:paraId="10FF11C7">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年受照时间，h</w:t>
                  </w:r>
                </w:p>
              </w:tc>
              <w:tc>
                <w:tcPr>
                  <w:tcW w:w="1035" w:type="dxa"/>
                  <w:tcBorders>
                    <w:tl2br w:val="nil"/>
                    <w:tr2bl w:val="nil"/>
                  </w:tcBorders>
                  <w:noWrap w:val="0"/>
                  <w:vAlign w:val="center"/>
                </w:tcPr>
                <w:p w14:paraId="0345E809">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居留因子</w:t>
                  </w:r>
                </w:p>
              </w:tc>
              <w:tc>
                <w:tcPr>
                  <w:tcW w:w="1120" w:type="dxa"/>
                  <w:tcBorders>
                    <w:tl2br w:val="nil"/>
                    <w:tr2bl w:val="nil"/>
                  </w:tcBorders>
                  <w:noWrap w:val="0"/>
                  <w:vAlign w:val="center"/>
                </w:tcPr>
                <w:p w14:paraId="05886A64">
                  <w:pPr>
                    <w:keepNext w:val="0"/>
                    <w:keepLines w:val="0"/>
                    <w:suppressLineNumbers w:val="0"/>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18"/>
                      <w:szCs w:val="18"/>
                      <w:highlight w:val="none"/>
                      <w:lang w:eastAsia="zh-CN"/>
                    </w:rPr>
                  </w:pPr>
                  <w:r>
                    <w:rPr>
                      <w:rFonts w:hint="eastAsia" w:cs="Times New Roman"/>
                      <w:color w:val="auto"/>
                      <w:kern w:val="0"/>
                      <w:sz w:val="18"/>
                      <w:szCs w:val="18"/>
                      <w:highlight w:val="none"/>
                      <w:lang w:eastAsia="zh-CN"/>
                    </w:rPr>
                    <w:t>年有效剂量mSv/a</w:t>
                  </w:r>
                </w:p>
              </w:tc>
            </w:tr>
            <w:tr w14:paraId="5A43FF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586" w:type="dxa"/>
                  <w:tcBorders>
                    <w:tl2br w:val="nil"/>
                    <w:tr2bl w:val="nil"/>
                  </w:tcBorders>
                  <w:shd w:val="clear" w:color="auto" w:fill="auto"/>
                  <w:noWrap w:val="0"/>
                  <w:vAlign w:val="center"/>
                </w:tcPr>
                <w:p w14:paraId="5A68455E">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a</w:t>
                  </w:r>
                </w:p>
              </w:tc>
              <w:tc>
                <w:tcPr>
                  <w:tcW w:w="3039" w:type="dxa"/>
                  <w:tcBorders>
                    <w:tl2br w:val="nil"/>
                    <w:tr2bl w:val="nil"/>
                  </w:tcBorders>
                  <w:shd w:val="clear" w:color="auto" w:fill="auto"/>
                  <w:noWrap w:val="0"/>
                  <w:vAlign w:val="center"/>
                </w:tcPr>
                <w:p w14:paraId="6348E2AF">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质控室通风橱正面外30cm（人员操作位）</w:t>
                  </w:r>
                </w:p>
              </w:tc>
              <w:tc>
                <w:tcPr>
                  <w:tcW w:w="1054" w:type="dxa"/>
                  <w:tcBorders>
                    <w:tl2br w:val="nil"/>
                    <w:tr2bl w:val="nil"/>
                  </w:tcBorders>
                  <w:shd w:val="clear" w:color="auto" w:fill="auto"/>
                  <w:noWrap w:val="0"/>
                  <w:vAlign w:val="center"/>
                </w:tcPr>
                <w:p w14:paraId="3BA508DF">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职业</w:t>
                  </w:r>
                </w:p>
              </w:tc>
              <w:tc>
                <w:tcPr>
                  <w:tcW w:w="1407" w:type="dxa"/>
                  <w:tcBorders>
                    <w:tl2br w:val="nil"/>
                    <w:tr2bl w:val="nil"/>
                  </w:tcBorders>
                  <w:shd w:val="clear" w:color="auto" w:fill="auto"/>
                  <w:noWrap w:val="0"/>
                  <w:vAlign w:val="center"/>
                </w:tcPr>
                <w:p w14:paraId="592082D1">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2.23E+00</w:t>
                  </w:r>
                </w:p>
              </w:tc>
              <w:tc>
                <w:tcPr>
                  <w:tcW w:w="915" w:type="dxa"/>
                  <w:tcBorders>
                    <w:tl2br w:val="nil"/>
                    <w:tr2bl w:val="nil"/>
                  </w:tcBorders>
                  <w:shd w:val="clear" w:color="auto" w:fill="auto"/>
                  <w:noWrap w:val="0"/>
                  <w:vAlign w:val="center"/>
                </w:tcPr>
                <w:p w14:paraId="01651A4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1035" w:type="dxa"/>
                  <w:tcBorders>
                    <w:tl2br w:val="nil"/>
                    <w:tr2bl w:val="nil"/>
                  </w:tcBorders>
                  <w:shd w:val="clear" w:color="auto" w:fill="auto"/>
                  <w:noWrap w:val="0"/>
                  <w:vAlign w:val="center"/>
                </w:tcPr>
                <w:p w14:paraId="2547B471">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val="en-US" w:eastAsia="zh-CN" w:bidi="ar"/>
                    </w:rPr>
                    <w:t>1</w:t>
                  </w:r>
                </w:p>
              </w:tc>
              <w:tc>
                <w:tcPr>
                  <w:tcW w:w="1120" w:type="dxa"/>
                  <w:tcBorders>
                    <w:tl2br w:val="nil"/>
                    <w:tr2bl w:val="nil"/>
                  </w:tcBorders>
                  <w:noWrap w:val="0"/>
                  <w:vAlign w:val="center"/>
                </w:tcPr>
                <w:p w14:paraId="6909F9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1.12E+00</w:t>
                  </w:r>
                </w:p>
              </w:tc>
            </w:tr>
            <w:tr w14:paraId="1A31FF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2611F901">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b</w:t>
                  </w:r>
                </w:p>
              </w:tc>
              <w:tc>
                <w:tcPr>
                  <w:tcW w:w="0" w:type="auto"/>
                  <w:shd w:val="clear" w:color="auto" w:fill="auto"/>
                  <w:vAlign w:val="center"/>
                </w:tcPr>
                <w:p w14:paraId="4DD68B98">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质控室通风橱侧面外30cm</w:t>
                  </w:r>
                </w:p>
              </w:tc>
              <w:tc>
                <w:tcPr>
                  <w:tcW w:w="0" w:type="auto"/>
                  <w:shd w:val="clear" w:color="auto" w:fill="auto"/>
                  <w:vAlign w:val="center"/>
                </w:tcPr>
                <w:p w14:paraId="3934A09B">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职业</w:t>
                  </w:r>
                </w:p>
              </w:tc>
              <w:tc>
                <w:tcPr>
                  <w:tcW w:w="0" w:type="auto"/>
                  <w:shd w:val="clear" w:color="auto" w:fill="auto"/>
                  <w:vAlign w:val="center"/>
                </w:tcPr>
                <w:p w14:paraId="1D1DBFD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2.23E+00</w:t>
                  </w:r>
                </w:p>
              </w:tc>
              <w:tc>
                <w:tcPr>
                  <w:tcW w:w="0" w:type="auto"/>
                  <w:shd w:val="clear" w:color="auto" w:fill="auto"/>
                  <w:vAlign w:val="center"/>
                </w:tcPr>
                <w:p w14:paraId="706E1CBB">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0" w:type="auto"/>
                  <w:shd w:val="clear" w:color="auto" w:fill="auto"/>
                  <w:vAlign w:val="center"/>
                </w:tcPr>
                <w:p w14:paraId="4396EA26">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val="en-US" w:eastAsia="zh-CN" w:bidi="ar"/>
                    </w:rPr>
                    <w:t>1</w:t>
                  </w:r>
                </w:p>
              </w:tc>
              <w:tc>
                <w:tcPr>
                  <w:tcW w:w="1120" w:type="dxa"/>
                  <w:vAlign w:val="center"/>
                </w:tcPr>
                <w:p w14:paraId="1A1578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1.12E+00</w:t>
                  </w:r>
                </w:p>
              </w:tc>
            </w:tr>
            <w:tr w14:paraId="17018A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2972794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c</w:t>
                  </w:r>
                </w:p>
              </w:tc>
              <w:tc>
                <w:tcPr>
                  <w:tcW w:w="0" w:type="auto"/>
                  <w:shd w:val="clear" w:color="auto" w:fill="auto"/>
                  <w:vAlign w:val="center"/>
                </w:tcPr>
                <w:p w14:paraId="60AC8685">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质控室通风橱西墙外30cm</w:t>
                  </w:r>
                </w:p>
              </w:tc>
              <w:tc>
                <w:tcPr>
                  <w:tcW w:w="0" w:type="auto"/>
                  <w:shd w:val="clear" w:color="auto" w:fill="auto"/>
                  <w:vAlign w:val="center"/>
                </w:tcPr>
                <w:p w14:paraId="70EBEEF6">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SA"/>
                    </w:rPr>
                    <w:t>公众</w:t>
                  </w:r>
                </w:p>
              </w:tc>
              <w:tc>
                <w:tcPr>
                  <w:tcW w:w="0" w:type="auto"/>
                  <w:shd w:val="clear" w:color="auto" w:fill="auto"/>
                  <w:vAlign w:val="center"/>
                </w:tcPr>
                <w:p w14:paraId="47AF1B5B">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1.75E-01</w:t>
                  </w:r>
                </w:p>
              </w:tc>
              <w:tc>
                <w:tcPr>
                  <w:tcW w:w="0" w:type="auto"/>
                  <w:shd w:val="clear" w:color="auto" w:fill="auto"/>
                  <w:vAlign w:val="center"/>
                </w:tcPr>
                <w:p w14:paraId="0533787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0" w:type="auto"/>
                  <w:shd w:val="clear" w:color="auto" w:fill="auto"/>
                  <w:vAlign w:val="center"/>
                </w:tcPr>
                <w:p w14:paraId="03B161D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1/20</w:t>
                  </w:r>
                </w:p>
              </w:tc>
              <w:tc>
                <w:tcPr>
                  <w:tcW w:w="1120" w:type="dxa"/>
                  <w:vAlign w:val="center"/>
                </w:tcPr>
                <w:p w14:paraId="2CF3A4A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4.38E-03</w:t>
                  </w:r>
                </w:p>
              </w:tc>
            </w:tr>
            <w:tr w14:paraId="2CE4A9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1E221252">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d</w:t>
                  </w:r>
                </w:p>
              </w:tc>
              <w:tc>
                <w:tcPr>
                  <w:tcW w:w="0" w:type="auto"/>
                  <w:shd w:val="clear" w:color="auto" w:fill="auto"/>
                  <w:vAlign w:val="center"/>
                </w:tcPr>
                <w:p w14:paraId="3A358266">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质控室防护门外30cm</w:t>
                  </w:r>
                </w:p>
              </w:tc>
              <w:tc>
                <w:tcPr>
                  <w:tcW w:w="0" w:type="auto"/>
                  <w:shd w:val="clear" w:color="auto" w:fill="auto"/>
                  <w:vAlign w:val="center"/>
                </w:tcPr>
                <w:p w14:paraId="15C7F74A">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公众</w:t>
                  </w:r>
                </w:p>
              </w:tc>
              <w:tc>
                <w:tcPr>
                  <w:tcW w:w="0" w:type="auto"/>
                  <w:shd w:val="clear" w:color="auto" w:fill="auto"/>
                  <w:vAlign w:val="center"/>
                </w:tcPr>
                <w:p w14:paraId="4CCC7F4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6.88E-02</w:t>
                  </w:r>
                </w:p>
              </w:tc>
              <w:tc>
                <w:tcPr>
                  <w:tcW w:w="0" w:type="auto"/>
                  <w:shd w:val="clear" w:color="auto" w:fill="auto"/>
                  <w:vAlign w:val="center"/>
                </w:tcPr>
                <w:p w14:paraId="1D422891">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0" w:type="auto"/>
                  <w:shd w:val="clear" w:color="auto" w:fill="auto"/>
                  <w:vAlign w:val="center"/>
                </w:tcPr>
                <w:p w14:paraId="0618B5B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1/20</w:t>
                  </w:r>
                </w:p>
              </w:tc>
              <w:tc>
                <w:tcPr>
                  <w:tcW w:w="1120" w:type="dxa"/>
                  <w:vAlign w:val="center"/>
                </w:tcPr>
                <w:p w14:paraId="4BE2165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1.72E-03</w:t>
                  </w:r>
                </w:p>
              </w:tc>
            </w:tr>
            <w:tr w14:paraId="38802A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5B809B96">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e</w:t>
                  </w:r>
                </w:p>
              </w:tc>
              <w:tc>
                <w:tcPr>
                  <w:tcW w:w="0" w:type="auto"/>
                  <w:shd w:val="clear" w:color="auto" w:fill="auto"/>
                  <w:vAlign w:val="center"/>
                </w:tcPr>
                <w:p w14:paraId="1CFBDC0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质控室通风橱东墙外30cm</w:t>
                  </w:r>
                </w:p>
              </w:tc>
              <w:tc>
                <w:tcPr>
                  <w:tcW w:w="0" w:type="auto"/>
                  <w:shd w:val="clear" w:color="auto" w:fill="auto"/>
                  <w:vAlign w:val="center"/>
                </w:tcPr>
                <w:p w14:paraId="69A1D01A">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公众</w:t>
                  </w:r>
                </w:p>
              </w:tc>
              <w:tc>
                <w:tcPr>
                  <w:tcW w:w="0" w:type="auto"/>
                  <w:shd w:val="clear" w:color="auto" w:fill="auto"/>
                  <w:vAlign w:val="center"/>
                </w:tcPr>
                <w:p w14:paraId="4197CDDA">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8.73E-02</w:t>
                  </w:r>
                </w:p>
              </w:tc>
              <w:tc>
                <w:tcPr>
                  <w:tcW w:w="0" w:type="auto"/>
                  <w:shd w:val="clear" w:color="auto" w:fill="auto"/>
                  <w:vAlign w:val="center"/>
                </w:tcPr>
                <w:p w14:paraId="0EC3CE08">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0" w:type="auto"/>
                  <w:shd w:val="clear" w:color="auto" w:fill="auto"/>
                  <w:vAlign w:val="center"/>
                </w:tcPr>
                <w:p w14:paraId="10A5C84A">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1/20</w:t>
                  </w:r>
                </w:p>
              </w:tc>
              <w:tc>
                <w:tcPr>
                  <w:tcW w:w="1120" w:type="dxa"/>
                  <w:vAlign w:val="center"/>
                </w:tcPr>
                <w:p w14:paraId="6F49BF1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2.18E-03</w:t>
                  </w:r>
                </w:p>
              </w:tc>
            </w:tr>
            <w:tr w14:paraId="6F2A9F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0" w:type="auto"/>
                  <w:shd w:val="clear" w:color="auto" w:fill="auto"/>
                  <w:vAlign w:val="center"/>
                </w:tcPr>
                <w:p w14:paraId="7B475396">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f</w:t>
                  </w:r>
                </w:p>
              </w:tc>
              <w:tc>
                <w:tcPr>
                  <w:tcW w:w="0" w:type="auto"/>
                  <w:shd w:val="clear" w:color="auto" w:fill="auto"/>
                  <w:vAlign w:val="center"/>
                </w:tcPr>
                <w:p w14:paraId="52555D0E">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质控室通风橱南墙外30cm</w:t>
                  </w:r>
                </w:p>
              </w:tc>
              <w:tc>
                <w:tcPr>
                  <w:tcW w:w="0" w:type="auto"/>
                  <w:shd w:val="clear" w:color="auto" w:fill="auto"/>
                  <w:vAlign w:val="center"/>
                </w:tcPr>
                <w:p w14:paraId="634AE985">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公众</w:t>
                  </w:r>
                </w:p>
              </w:tc>
              <w:tc>
                <w:tcPr>
                  <w:tcW w:w="0" w:type="auto"/>
                  <w:shd w:val="clear" w:color="auto" w:fill="auto"/>
                  <w:vAlign w:val="center"/>
                </w:tcPr>
                <w:p w14:paraId="7CFB1A5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1.07E+00</w:t>
                  </w:r>
                </w:p>
              </w:tc>
              <w:tc>
                <w:tcPr>
                  <w:tcW w:w="0" w:type="auto"/>
                  <w:shd w:val="clear" w:color="auto" w:fill="auto"/>
                  <w:vAlign w:val="center"/>
                </w:tcPr>
                <w:p w14:paraId="6D7BAF72">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0" w:type="auto"/>
                  <w:shd w:val="clear" w:color="auto" w:fill="auto"/>
                  <w:vAlign w:val="center"/>
                </w:tcPr>
                <w:p w14:paraId="11F53719">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1/20</w:t>
                  </w:r>
                </w:p>
              </w:tc>
              <w:tc>
                <w:tcPr>
                  <w:tcW w:w="1120" w:type="dxa"/>
                  <w:vAlign w:val="center"/>
                </w:tcPr>
                <w:p w14:paraId="4703C5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2.68E-02</w:t>
                  </w:r>
                </w:p>
              </w:tc>
            </w:tr>
            <w:tr w14:paraId="4C28E7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64BC70FF">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g</w:t>
                  </w:r>
                </w:p>
              </w:tc>
              <w:tc>
                <w:tcPr>
                  <w:tcW w:w="0" w:type="auto"/>
                  <w:shd w:val="clear" w:color="auto" w:fill="auto"/>
                  <w:vAlign w:val="center"/>
                </w:tcPr>
                <w:p w14:paraId="6C20649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质控室屋顶外100cm</w:t>
                  </w:r>
                </w:p>
              </w:tc>
              <w:tc>
                <w:tcPr>
                  <w:tcW w:w="0" w:type="auto"/>
                  <w:shd w:val="clear" w:color="auto" w:fill="auto"/>
                  <w:vAlign w:val="center"/>
                </w:tcPr>
                <w:p w14:paraId="557F44B7">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公众</w:t>
                  </w:r>
                </w:p>
              </w:tc>
              <w:tc>
                <w:tcPr>
                  <w:tcW w:w="0" w:type="auto"/>
                  <w:shd w:val="clear" w:color="auto" w:fill="auto"/>
                  <w:vAlign w:val="center"/>
                </w:tcPr>
                <w:p w14:paraId="1E0945F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rPr>
                    <w:t>4.52E-02</w:t>
                  </w:r>
                </w:p>
              </w:tc>
              <w:tc>
                <w:tcPr>
                  <w:tcW w:w="0" w:type="auto"/>
                  <w:shd w:val="clear" w:color="auto" w:fill="auto"/>
                  <w:vAlign w:val="center"/>
                </w:tcPr>
                <w:p w14:paraId="2DC5F864">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color w:val="auto"/>
                      <w:kern w:val="0"/>
                      <w:sz w:val="18"/>
                      <w:szCs w:val="18"/>
                      <w:highlight w:val="none"/>
                      <w:lang w:val="en-US" w:eastAsia="zh-CN" w:bidi="ar"/>
                    </w:rPr>
                    <w:t>500</w:t>
                  </w:r>
                </w:p>
              </w:tc>
              <w:tc>
                <w:tcPr>
                  <w:tcW w:w="0" w:type="auto"/>
                  <w:shd w:val="clear" w:color="auto" w:fill="auto"/>
                  <w:vAlign w:val="center"/>
                </w:tcPr>
                <w:p w14:paraId="6620A56E">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color w:val="auto"/>
                      <w:kern w:val="0"/>
                      <w:sz w:val="18"/>
                      <w:szCs w:val="18"/>
                      <w:highlight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1/20</w:t>
                  </w:r>
                </w:p>
              </w:tc>
              <w:tc>
                <w:tcPr>
                  <w:tcW w:w="1120" w:type="dxa"/>
                  <w:vAlign w:val="center"/>
                </w:tcPr>
                <w:p w14:paraId="3ECA08A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1.13E-03</w:t>
                  </w:r>
                </w:p>
              </w:tc>
            </w:tr>
          </w:tbl>
          <w:p w14:paraId="2BE6031D">
            <w:pPr>
              <w:keepNext w:val="0"/>
              <w:keepLines w:val="0"/>
              <w:suppressLineNumbers w:val="0"/>
              <w:autoSpaceDE w:val="0"/>
              <w:autoSpaceDN w:val="0"/>
              <w:spacing w:before="0" w:beforeAutospacing="0" w:after="0" w:afterAutospacing="0" w:line="360" w:lineRule="auto"/>
              <w:ind w:left="0" w:right="0" w:firstLine="360" w:firstLineChars="200"/>
              <w:jc w:val="both"/>
              <w:rPr>
                <w:rFonts w:hint="default" w:ascii="Times New Roman" w:hAnsi="Times New Roman" w:cs="Times New Roman"/>
                <w:b w:val="0"/>
                <w:bCs w:val="0"/>
                <w:color w:val="auto"/>
                <w:kern w:val="0"/>
                <w:sz w:val="18"/>
                <w:szCs w:val="18"/>
                <w:highlight w:val="none"/>
                <w:lang w:val="en-US" w:eastAsia="zh-CN"/>
              </w:rPr>
            </w:pPr>
            <w:r>
              <w:rPr>
                <w:rFonts w:hint="default" w:ascii="Times New Roman" w:hAnsi="Times New Roman" w:cs="Times New Roman"/>
                <w:b w:val="0"/>
                <w:bCs w:val="0"/>
                <w:color w:val="auto"/>
                <w:kern w:val="0"/>
                <w:sz w:val="18"/>
                <w:szCs w:val="18"/>
                <w:highlight w:val="none"/>
                <w:lang w:val="en-US" w:eastAsia="zh-CN"/>
              </w:rPr>
              <w:t>注：质控室限制无关人员入内，公众偶然居留，居留因子取1/20。</w:t>
            </w:r>
          </w:p>
          <w:p w14:paraId="4EB84942">
            <w:pPr>
              <w:pStyle w:val="3"/>
              <w:keepNext w:val="0"/>
              <w:keepLines w:val="0"/>
              <w:suppressLineNumbers w:val="0"/>
              <w:spacing w:before="0" w:beforeAutospacing="0" w:after="0" w:afterAutospacing="0"/>
              <w:ind w:left="0" w:right="0"/>
              <w:jc w:val="both"/>
              <w:rPr>
                <w:rFonts w:hint="default" w:ascii="Times New Roman" w:hAnsi="Times New Roman" w:eastAsia="宋体" w:cs="Times New Roman"/>
                <w:b/>
                <w:color w:val="auto"/>
                <w:sz w:val="24"/>
                <w:szCs w:val="22"/>
                <w:highlight w:val="none"/>
                <w:lang w:val="en-US" w:eastAsia="zh-CN"/>
              </w:rPr>
            </w:pPr>
          </w:p>
          <w:p w14:paraId="5FFA5314">
            <w:pPr>
              <w:keepNext w:val="0"/>
              <w:keepLines w:val="0"/>
              <w:widowControl w:val="0"/>
              <w:suppressLineNumbers w:val="0"/>
              <w:autoSpaceDE w:val="0"/>
              <w:autoSpaceDN w:val="0"/>
              <w:spacing w:before="0" w:beforeAutospacing="0" w:after="0" w:afterAutospacing="0"/>
              <w:ind w:left="0" w:right="0" w:firstLine="361" w:firstLineChars="150"/>
              <w:jc w:val="center"/>
              <w:rPr>
                <w:rFonts w:hint="default" w:ascii="Times New Roman" w:hAnsi="Times New Roman" w:eastAsia="宋体" w:cs="Times New Roman"/>
                <w:b/>
                <w:color w:val="auto"/>
                <w:sz w:val="24"/>
                <w:szCs w:val="22"/>
                <w:highlight w:val="none"/>
                <w:lang w:val="en-US" w:eastAsia="zh-CN"/>
              </w:rPr>
            </w:pPr>
            <w:r>
              <w:rPr>
                <w:rFonts w:hint="default" w:ascii="Times New Roman" w:hAnsi="Times New Roman" w:eastAsia="宋体" w:cs="Times New Roman"/>
                <w:b/>
                <w:color w:val="auto"/>
                <w:sz w:val="24"/>
                <w:szCs w:val="22"/>
                <w:highlight w:val="none"/>
                <w:lang w:val="en-US" w:eastAsia="zh-CN" w:bidi="ar-SA"/>
              </w:rPr>
              <w:t>表11-</w:t>
            </w:r>
            <w:r>
              <w:rPr>
                <w:rFonts w:hint="eastAsia" w:cs="Times New Roman"/>
                <w:b/>
                <w:color w:val="auto"/>
                <w:sz w:val="24"/>
                <w:szCs w:val="22"/>
                <w:highlight w:val="none"/>
                <w:lang w:val="en-US" w:eastAsia="zh-CN" w:bidi="ar-SA"/>
              </w:rPr>
              <w:t>15</w:t>
            </w:r>
            <w:r>
              <w:rPr>
                <w:rFonts w:hint="default" w:ascii="Times New Roman" w:hAnsi="Times New Roman" w:eastAsia="宋体" w:cs="Times New Roman"/>
                <w:b/>
                <w:color w:val="auto"/>
                <w:sz w:val="24"/>
                <w:szCs w:val="22"/>
                <w:highlight w:val="none"/>
                <w:lang w:val="en-US" w:eastAsia="zh-CN" w:bidi="ar-SA"/>
              </w:rPr>
              <w:t xml:space="preserve">  单光子药物生产车间职业、公众人员受照射剂量预测结果</w:t>
            </w:r>
          </w:p>
          <w:tbl>
            <w:tblPr>
              <w:tblStyle w:val="22"/>
              <w:tblW w:w="915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586"/>
              <w:gridCol w:w="3039"/>
              <w:gridCol w:w="1054"/>
              <w:gridCol w:w="1407"/>
              <w:gridCol w:w="915"/>
              <w:gridCol w:w="1035"/>
              <w:gridCol w:w="1120"/>
            </w:tblGrid>
            <w:tr w14:paraId="04FC21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586" w:type="dxa"/>
                  <w:tcBorders>
                    <w:tl2br w:val="nil"/>
                    <w:tr2bl w:val="nil"/>
                  </w:tcBorders>
                  <w:noWrap w:val="0"/>
                  <w:vAlign w:val="center"/>
                </w:tcPr>
                <w:p w14:paraId="10B0BBAE">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目标点位</w:t>
                  </w:r>
                </w:p>
              </w:tc>
              <w:tc>
                <w:tcPr>
                  <w:tcW w:w="3039" w:type="dxa"/>
                  <w:tcBorders>
                    <w:tl2br w:val="nil"/>
                    <w:tr2bl w:val="nil"/>
                  </w:tcBorders>
                  <w:noWrap w:val="0"/>
                  <w:vAlign w:val="center"/>
                </w:tcPr>
                <w:p w14:paraId="6ED6F4E7">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与机房关系</w:t>
                  </w:r>
                </w:p>
              </w:tc>
              <w:tc>
                <w:tcPr>
                  <w:tcW w:w="1054" w:type="dxa"/>
                  <w:tcBorders>
                    <w:tl2br w:val="nil"/>
                    <w:tr2bl w:val="nil"/>
                  </w:tcBorders>
                  <w:noWrap w:val="0"/>
                  <w:vAlign w:val="center"/>
                </w:tcPr>
                <w:p w14:paraId="56B01386">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照射类型</w:t>
                  </w:r>
                </w:p>
              </w:tc>
              <w:tc>
                <w:tcPr>
                  <w:tcW w:w="1407" w:type="dxa"/>
                  <w:tcBorders>
                    <w:tl2br w:val="nil"/>
                    <w:tr2bl w:val="nil"/>
                  </w:tcBorders>
                  <w:noWrap w:val="0"/>
                  <w:vAlign w:val="center"/>
                </w:tcPr>
                <w:p w14:paraId="72B9ACEE">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剂量</w:t>
                  </w:r>
                  <w:r>
                    <w:rPr>
                      <w:rFonts w:hint="eastAsia" w:ascii="Times New Roman" w:hAnsi="Times New Roman" w:eastAsia="宋体" w:cs="Times New Roman"/>
                      <w:color w:val="auto"/>
                      <w:kern w:val="0"/>
                      <w:sz w:val="18"/>
                      <w:szCs w:val="18"/>
                      <w:highlight w:val="none"/>
                      <w:lang w:val="en-US" w:eastAsia="zh-CN"/>
                    </w:rPr>
                    <w:t>率</w:t>
                  </w:r>
                  <w:r>
                    <w:rPr>
                      <w:rFonts w:hint="default" w:ascii="Times New Roman" w:hAnsi="Times New Roman" w:eastAsia="宋体" w:cs="Times New Roman"/>
                      <w:color w:val="auto"/>
                      <w:kern w:val="0"/>
                      <w:sz w:val="18"/>
                      <w:szCs w:val="18"/>
                      <w:highlight w:val="none"/>
                    </w:rPr>
                    <w:t>(μSv/h)</w:t>
                  </w:r>
                </w:p>
              </w:tc>
              <w:tc>
                <w:tcPr>
                  <w:tcW w:w="915" w:type="dxa"/>
                  <w:tcBorders>
                    <w:tl2br w:val="nil"/>
                    <w:tr2bl w:val="nil"/>
                  </w:tcBorders>
                  <w:noWrap w:val="0"/>
                  <w:vAlign w:val="center"/>
                </w:tcPr>
                <w:p w14:paraId="10EAA722">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年受照时间，h</w:t>
                  </w:r>
                </w:p>
              </w:tc>
              <w:tc>
                <w:tcPr>
                  <w:tcW w:w="1035" w:type="dxa"/>
                  <w:tcBorders>
                    <w:tl2br w:val="nil"/>
                    <w:tr2bl w:val="nil"/>
                  </w:tcBorders>
                  <w:noWrap w:val="0"/>
                  <w:vAlign w:val="center"/>
                </w:tcPr>
                <w:p w14:paraId="269A2853">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居留因子</w:t>
                  </w:r>
                </w:p>
              </w:tc>
              <w:tc>
                <w:tcPr>
                  <w:tcW w:w="1120" w:type="dxa"/>
                  <w:tcBorders>
                    <w:tl2br w:val="nil"/>
                    <w:tr2bl w:val="nil"/>
                  </w:tcBorders>
                  <w:noWrap w:val="0"/>
                  <w:vAlign w:val="center"/>
                </w:tcPr>
                <w:p w14:paraId="2BF7CE39">
                  <w:pPr>
                    <w:keepNext w:val="0"/>
                    <w:keepLines w:val="0"/>
                    <w:suppressLineNumbers w:val="0"/>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18"/>
                      <w:szCs w:val="18"/>
                      <w:highlight w:val="none"/>
                      <w:lang w:eastAsia="zh-CN"/>
                    </w:rPr>
                  </w:pPr>
                  <w:r>
                    <w:rPr>
                      <w:rFonts w:hint="eastAsia" w:cs="Times New Roman"/>
                      <w:color w:val="auto"/>
                      <w:kern w:val="0"/>
                      <w:sz w:val="18"/>
                      <w:szCs w:val="18"/>
                      <w:highlight w:val="none"/>
                      <w:lang w:eastAsia="zh-CN"/>
                    </w:rPr>
                    <w:t>年有效剂量mSv/a</w:t>
                  </w:r>
                </w:p>
              </w:tc>
            </w:tr>
            <w:tr w14:paraId="01CFFC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586" w:type="dxa"/>
                  <w:tcBorders>
                    <w:tl2br w:val="nil"/>
                    <w:tr2bl w:val="nil"/>
                  </w:tcBorders>
                  <w:shd w:val="clear" w:color="auto" w:fill="auto"/>
                  <w:noWrap w:val="0"/>
                  <w:vAlign w:val="center"/>
                </w:tcPr>
                <w:p w14:paraId="23CDBF8C">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A</w:t>
                  </w:r>
                </w:p>
              </w:tc>
              <w:tc>
                <w:tcPr>
                  <w:tcW w:w="3039" w:type="dxa"/>
                  <w:tcBorders>
                    <w:tl2br w:val="nil"/>
                    <w:tr2bl w:val="nil"/>
                  </w:tcBorders>
                  <w:shd w:val="clear" w:color="auto" w:fill="auto"/>
                  <w:noWrap w:val="0"/>
                  <w:vAlign w:val="center"/>
                </w:tcPr>
                <w:p w14:paraId="05AD76D1">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通风橱正面30cm（人员操作位）</w:t>
                  </w:r>
                </w:p>
              </w:tc>
              <w:tc>
                <w:tcPr>
                  <w:tcW w:w="1054" w:type="dxa"/>
                  <w:tcBorders>
                    <w:tl2br w:val="nil"/>
                    <w:tr2bl w:val="nil"/>
                  </w:tcBorders>
                  <w:noWrap w:val="0"/>
                  <w:vAlign w:val="center"/>
                </w:tcPr>
                <w:p w14:paraId="597B11DA">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职业</w:t>
                  </w:r>
                </w:p>
              </w:tc>
              <w:tc>
                <w:tcPr>
                  <w:tcW w:w="1407" w:type="dxa"/>
                  <w:tcBorders>
                    <w:tl2br w:val="nil"/>
                    <w:tr2bl w:val="nil"/>
                  </w:tcBorders>
                  <w:shd w:val="clear" w:color="auto" w:fill="auto"/>
                  <w:noWrap w:val="0"/>
                  <w:vAlign w:val="center"/>
                </w:tcPr>
                <w:p w14:paraId="44D3091F">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3.50E-17</w:t>
                  </w:r>
                </w:p>
              </w:tc>
              <w:tc>
                <w:tcPr>
                  <w:tcW w:w="915" w:type="dxa"/>
                  <w:tcBorders>
                    <w:tl2br w:val="nil"/>
                    <w:tr2bl w:val="nil"/>
                  </w:tcBorders>
                  <w:noWrap w:val="0"/>
                  <w:vAlign w:val="center"/>
                </w:tcPr>
                <w:p w14:paraId="24FB1D9A">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500</w:t>
                  </w:r>
                </w:p>
              </w:tc>
              <w:tc>
                <w:tcPr>
                  <w:tcW w:w="1035" w:type="dxa"/>
                  <w:tcBorders>
                    <w:tl2br w:val="nil"/>
                    <w:tr2bl w:val="nil"/>
                  </w:tcBorders>
                  <w:noWrap w:val="0"/>
                  <w:vAlign w:val="center"/>
                </w:tcPr>
                <w:p w14:paraId="20DADD57">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SA"/>
                    </w:rPr>
                    <w:t>1</w:t>
                  </w:r>
                </w:p>
              </w:tc>
              <w:tc>
                <w:tcPr>
                  <w:tcW w:w="1120" w:type="dxa"/>
                  <w:tcBorders>
                    <w:tl2br w:val="nil"/>
                    <w:tr2bl w:val="nil"/>
                  </w:tcBorders>
                  <w:noWrap w:val="0"/>
                  <w:vAlign w:val="center"/>
                </w:tcPr>
                <w:p w14:paraId="10274E6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1.75E-17</w:t>
                  </w:r>
                </w:p>
              </w:tc>
            </w:tr>
            <w:tr w14:paraId="1A5E3B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5E5EE981">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B</w:t>
                  </w:r>
                </w:p>
              </w:tc>
              <w:tc>
                <w:tcPr>
                  <w:tcW w:w="0" w:type="auto"/>
                  <w:shd w:val="clear" w:color="auto" w:fill="auto"/>
                  <w:vAlign w:val="center"/>
                </w:tcPr>
                <w:p w14:paraId="467396C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通风橱侧面30cm</w:t>
                  </w:r>
                </w:p>
              </w:tc>
              <w:tc>
                <w:tcPr>
                  <w:tcW w:w="0" w:type="auto"/>
                  <w:vAlign w:val="center"/>
                </w:tcPr>
                <w:p w14:paraId="54ECBA02">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职业</w:t>
                  </w:r>
                </w:p>
              </w:tc>
              <w:tc>
                <w:tcPr>
                  <w:tcW w:w="0" w:type="auto"/>
                  <w:shd w:val="clear" w:color="auto" w:fill="auto"/>
                  <w:vAlign w:val="center"/>
                </w:tcPr>
                <w:p w14:paraId="06D74CE5">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3.50E-17</w:t>
                  </w:r>
                </w:p>
              </w:tc>
              <w:tc>
                <w:tcPr>
                  <w:tcW w:w="915" w:type="dxa"/>
                  <w:vAlign w:val="center"/>
                </w:tcPr>
                <w:p w14:paraId="0D375C7A">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500</w:t>
                  </w:r>
                </w:p>
              </w:tc>
              <w:tc>
                <w:tcPr>
                  <w:tcW w:w="0" w:type="auto"/>
                  <w:vAlign w:val="center"/>
                </w:tcPr>
                <w:p w14:paraId="6E1C85B1">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SA"/>
                    </w:rPr>
                    <w:t>1</w:t>
                  </w:r>
                </w:p>
              </w:tc>
              <w:tc>
                <w:tcPr>
                  <w:tcW w:w="1120" w:type="dxa"/>
                  <w:vAlign w:val="center"/>
                </w:tcPr>
                <w:p w14:paraId="155D48A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1.75E-17</w:t>
                  </w:r>
                </w:p>
              </w:tc>
            </w:tr>
            <w:tr w14:paraId="2F73F7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6033C42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C</w:t>
                  </w:r>
                </w:p>
              </w:tc>
              <w:tc>
                <w:tcPr>
                  <w:tcW w:w="0" w:type="auto"/>
                  <w:shd w:val="clear" w:color="auto" w:fill="auto"/>
                  <w:vAlign w:val="center"/>
                </w:tcPr>
                <w:p w14:paraId="40CAEAEA">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生产车间东墙外30cm</w:t>
                  </w:r>
                </w:p>
              </w:tc>
              <w:tc>
                <w:tcPr>
                  <w:tcW w:w="0" w:type="auto"/>
                  <w:vAlign w:val="center"/>
                </w:tcPr>
                <w:p w14:paraId="11441D21">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SA"/>
                    </w:rPr>
                    <w:t>职业</w:t>
                  </w:r>
                </w:p>
              </w:tc>
              <w:tc>
                <w:tcPr>
                  <w:tcW w:w="0" w:type="auto"/>
                  <w:shd w:val="clear" w:color="auto" w:fill="auto"/>
                  <w:vAlign w:val="center"/>
                </w:tcPr>
                <w:p w14:paraId="0DFB5E2B">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1.56E-19</w:t>
                  </w:r>
                </w:p>
              </w:tc>
              <w:tc>
                <w:tcPr>
                  <w:tcW w:w="915" w:type="dxa"/>
                  <w:vAlign w:val="center"/>
                </w:tcPr>
                <w:p w14:paraId="53F04311">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500</w:t>
                  </w:r>
                </w:p>
              </w:tc>
              <w:tc>
                <w:tcPr>
                  <w:tcW w:w="0" w:type="auto"/>
                  <w:vAlign w:val="center"/>
                </w:tcPr>
                <w:p w14:paraId="2278FA04">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SA"/>
                    </w:rPr>
                    <w:t>1</w:t>
                  </w:r>
                </w:p>
              </w:tc>
              <w:tc>
                <w:tcPr>
                  <w:tcW w:w="1120" w:type="dxa"/>
                  <w:vAlign w:val="center"/>
                </w:tcPr>
                <w:p w14:paraId="696BEF4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7.80E-20</w:t>
                  </w:r>
                </w:p>
              </w:tc>
            </w:tr>
            <w:tr w14:paraId="4F00C3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32DB1C07">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D</w:t>
                  </w:r>
                </w:p>
              </w:tc>
              <w:tc>
                <w:tcPr>
                  <w:tcW w:w="0" w:type="auto"/>
                  <w:shd w:val="clear" w:color="auto" w:fill="auto"/>
                  <w:vAlign w:val="center"/>
                </w:tcPr>
                <w:p w14:paraId="311ED035">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生产车间南墙外30cm</w:t>
                  </w:r>
                </w:p>
              </w:tc>
              <w:tc>
                <w:tcPr>
                  <w:tcW w:w="0" w:type="auto"/>
                  <w:vAlign w:val="center"/>
                </w:tcPr>
                <w:p w14:paraId="0858474B">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8"/>
                      <w:szCs w:val="18"/>
                      <w:highlight w:val="none"/>
                      <w:u w:val="none"/>
                      <w:lang w:val="en-US" w:eastAsia="zh-CN" w:bidi="ar-SA"/>
                    </w:rPr>
                  </w:pPr>
                  <w:r>
                    <w:rPr>
                      <w:rFonts w:hint="eastAsia" w:ascii="Times New Roman" w:hAnsi="Times New Roman" w:eastAsia="宋体" w:cs="Times New Roman"/>
                      <w:i w:val="0"/>
                      <w:iCs w:val="0"/>
                      <w:color w:val="auto"/>
                      <w:kern w:val="0"/>
                      <w:sz w:val="18"/>
                      <w:szCs w:val="18"/>
                      <w:highlight w:val="none"/>
                      <w:u w:val="none"/>
                      <w:lang w:val="en-US" w:eastAsia="zh-CN" w:bidi="ar-SA"/>
                    </w:rPr>
                    <w:t>公众</w:t>
                  </w:r>
                </w:p>
              </w:tc>
              <w:tc>
                <w:tcPr>
                  <w:tcW w:w="0" w:type="auto"/>
                  <w:shd w:val="clear" w:color="auto" w:fill="auto"/>
                  <w:vAlign w:val="center"/>
                </w:tcPr>
                <w:p w14:paraId="3D826A74">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1.03E-20</w:t>
                  </w:r>
                </w:p>
              </w:tc>
              <w:tc>
                <w:tcPr>
                  <w:tcW w:w="915" w:type="dxa"/>
                  <w:vAlign w:val="center"/>
                </w:tcPr>
                <w:p w14:paraId="2CECF0F9">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500</w:t>
                  </w:r>
                </w:p>
              </w:tc>
              <w:tc>
                <w:tcPr>
                  <w:tcW w:w="0" w:type="auto"/>
                  <w:vAlign w:val="center"/>
                </w:tcPr>
                <w:p w14:paraId="5EFE7F8B">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1/20</w:t>
                  </w:r>
                </w:p>
              </w:tc>
              <w:tc>
                <w:tcPr>
                  <w:tcW w:w="1120" w:type="dxa"/>
                  <w:vAlign w:val="center"/>
                </w:tcPr>
                <w:p w14:paraId="777BF802">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2.58E-22</w:t>
                  </w:r>
                </w:p>
              </w:tc>
            </w:tr>
            <w:tr w14:paraId="663ADE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1777D967">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E</w:t>
                  </w:r>
                </w:p>
              </w:tc>
              <w:tc>
                <w:tcPr>
                  <w:tcW w:w="0" w:type="auto"/>
                  <w:shd w:val="clear" w:color="auto" w:fill="auto"/>
                  <w:vAlign w:val="center"/>
                </w:tcPr>
                <w:p w14:paraId="6A31CAEF">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生产车间防护门外30cm</w:t>
                  </w:r>
                </w:p>
              </w:tc>
              <w:tc>
                <w:tcPr>
                  <w:tcW w:w="0" w:type="auto"/>
                  <w:vAlign w:val="center"/>
                </w:tcPr>
                <w:p w14:paraId="0878CACD">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公众</w:t>
                  </w:r>
                </w:p>
              </w:tc>
              <w:tc>
                <w:tcPr>
                  <w:tcW w:w="0" w:type="auto"/>
                  <w:shd w:val="clear" w:color="auto" w:fill="auto"/>
                  <w:vAlign w:val="center"/>
                </w:tcPr>
                <w:p w14:paraId="31DEACD7">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7.41E-22</w:t>
                  </w:r>
                </w:p>
              </w:tc>
              <w:tc>
                <w:tcPr>
                  <w:tcW w:w="915" w:type="dxa"/>
                  <w:vAlign w:val="center"/>
                </w:tcPr>
                <w:p w14:paraId="080E88BE">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500</w:t>
                  </w:r>
                </w:p>
              </w:tc>
              <w:tc>
                <w:tcPr>
                  <w:tcW w:w="0" w:type="auto"/>
                  <w:vAlign w:val="center"/>
                </w:tcPr>
                <w:p w14:paraId="75056CB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1/20</w:t>
                  </w:r>
                </w:p>
              </w:tc>
              <w:tc>
                <w:tcPr>
                  <w:tcW w:w="1120" w:type="dxa"/>
                  <w:vAlign w:val="center"/>
                </w:tcPr>
                <w:p w14:paraId="1FF43CD8">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1.85E-23</w:t>
                  </w:r>
                </w:p>
              </w:tc>
            </w:tr>
            <w:tr w14:paraId="41702C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6B1DCF2C">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F</w:t>
                  </w:r>
                </w:p>
              </w:tc>
              <w:tc>
                <w:tcPr>
                  <w:tcW w:w="0" w:type="auto"/>
                  <w:shd w:val="clear" w:color="auto" w:fill="auto"/>
                  <w:vAlign w:val="center"/>
                </w:tcPr>
                <w:p w14:paraId="612B6A5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生产车间西墙外30cm</w:t>
                  </w:r>
                </w:p>
              </w:tc>
              <w:tc>
                <w:tcPr>
                  <w:tcW w:w="0" w:type="auto"/>
                  <w:vAlign w:val="center"/>
                </w:tcPr>
                <w:p w14:paraId="404BAEF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公众</w:t>
                  </w:r>
                </w:p>
              </w:tc>
              <w:tc>
                <w:tcPr>
                  <w:tcW w:w="0" w:type="auto"/>
                  <w:shd w:val="clear" w:color="auto" w:fill="auto"/>
                  <w:vAlign w:val="center"/>
                </w:tcPr>
                <w:p w14:paraId="3253E285">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1.09E-20</w:t>
                  </w:r>
                </w:p>
              </w:tc>
              <w:tc>
                <w:tcPr>
                  <w:tcW w:w="915" w:type="dxa"/>
                  <w:vAlign w:val="center"/>
                </w:tcPr>
                <w:p w14:paraId="09B17767">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500</w:t>
                  </w:r>
                </w:p>
              </w:tc>
              <w:tc>
                <w:tcPr>
                  <w:tcW w:w="0" w:type="auto"/>
                  <w:vAlign w:val="center"/>
                </w:tcPr>
                <w:p w14:paraId="6B8583C9">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1/20</w:t>
                  </w:r>
                </w:p>
              </w:tc>
              <w:tc>
                <w:tcPr>
                  <w:tcW w:w="1120" w:type="dxa"/>
                  <w:vAlign w:val="center"/>
                </w:tcPr>
                <w:p w14:paraId="489BFBEB">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2.73E-22</w:t>
                  </w:r>
                </w:p>
              </w:tc>
            </w:tr>
            <w:tr w14:paraId="76BF97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4E2BFF9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G</w:t>
                  </w:r>
                </w:p>
              </w:tc>
              <w:tc>
                <w:tcPr>
                  <w:tcW w:w="0" w:type="auto"/>
                  <w:shd w:val="clear" w:color="auto" w:fill="auto"/>
                  <w:vAlign w:val="center"/>
                </w:tcPr>
                <w:p w14:paraId="2486D168">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生产车间北墙外30cm</w:t>
                  </w:r>
                </w:p>
              </w:tc>
              <w:tc>
                <w:tcPr>
                  <w:tcW w:w="0" w:type="auto"/>
                  <w:vAlign w:val="center"/>
                </w:tcPr>
                <w:p w14:paraId="19DB3CB6">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公众</w:t>
                  </w:r>
                </w:p>
              </w:tc>
              <w:tc>
                <w:tcPr>
                  <w:tcW w:w="0" w:type="auto"/>
                  <w:shd w:val="clear" w:color="auto" w:fill="auto"/>
                  <w:vAlign w:val="center"/>
                </w:tcPr>
                <w:p w14:paraId="50D14DFA">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1.19E-20</w:t>
                  </w:r>
                </w:p>
              </w:tc>
              <w:tc>
                <w:tcPr>
                  <w:tcW w:w="915" w:type="dxa"/>
                  <w:vAlign w:val="center"/>
                </w:tcPr>
                <w:p w14:paraId="1FFD8410">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500</w:t>
                  </w:r>
                </w:p>
              </w:tc>
              <w:tc>
                <w:tcPr>
                  <w:tcW w:w="0" w:type="auto"/>
                  <w:vAlign w:val="center"/>
                </w:tcPr>
                <w:p w14:paraId="2AF9F0CC">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1/20</w:t>
                  </w:r>
                </w:p>
              </w:tc>
              <w:tc>
                <w:tcPr>
                  <w:tcW w:w="1120" w:type="dxa"/>
                  <w:vAlign w:val="center"/>
                </w:tcPr>
                <w:p w14:paraId="6EC0BB3D">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2.98E-22</w:t>
                  </w:r>
                </w:p>
              </w:tc>
            </w:tr>
            <w:tr w14:paraId="28E744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02444008">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H</w:t>
                  </w:r>
                </w:p>
              </w:tc>
              <w:tc>
                <w:tcPr>
                  <w:tcW w:w="0" w:type="auto"/>
                  <w:shd w:val="clear" w:color="auto" w:fill="auto"/>
                  <w:vAlign w:val="center"/>
                </w:tcPr>
                <w:p w14:paraId="21CC933C">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生产车间屋顶外100cm</w:t>
                  </w:r>
                </w:p>
              </w:tc>
              <w:tc>
                <w:tcPr>
                  <w:tcW w:w="0" w:type="auto"/>
                  <w:vAlign w:val="center"/>
                </w:tcPr>
                <w:p w14:paraId="699C0AB4">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公众</w:t>
                  </w:r>
                </w:p>
              </w:tc>
              <w:tc>
                <w:tcPr>
                  <w:tcW w:w="0" w:type="auto"/>
                  <w:shd w:val="clear" w:color="auto" w:fill="auto"/>
                  <w:vAlign w:val="center"/>
                </w:tcPr>
                <w:p w14:paraId="2990DB2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7.41E-21</w:t>
                  </w:r>
                </w:p>
              </w:tc>
              <w:tc>
                <w:tcPr>
                  <w:tcW w:w="915" w:type="dxa"/>
                  <w:vAlign w:val="center"/>
                </w:tcPr>
                <w:p w14:paraId="568E2F9B">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500</w:t>
                  </w:r>
                </w:p>
              </w:tc>
              <w:tc>
                <w:tcPr>
                  <w:tcW w:w="0" w:type="auto"/>
                  <w:vAlign w:val="center"/>
                </w:tcPr>
                <w:p w14:paraId="19F484AB">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1/20</w:t>
                  </w:r>
                </w:p>
              </w:tc>
              <w:tc>
                <w:tcPr>
                  <w:tcW w:w="1120" w:type="dxa"/>
                  <w:vAlign w:val="center"/>
                </w:tcPr>
                <w:p w14:paraId="0F0445B3">
                  <w:pPr>
                    <w:keepNext w:val="0"/>
                    <w:keepLines w:val="0"/>
                    <w:widowControl/>
                    <w:suppressLineNumbers w:val="0"/>
                    <w:autoSpaceDE w:val="0"/>
                    <w:autoSpaceDN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highlight w:val="none"/>
                      <w:u w:val="none"/>
                      <w:lang w:val="en-US" w:eastAsia="zh-CN" w:bidi="ar-SA"/>
                    </w:rPr>
                  </w:pPr>
                  <w:r>
                    <w:rPr>
                      <w:rFonts w:hint="default" w:ascii="Times New Roman" w:hAnsi="Times New Roman" w:eastAsia="宋体" w:cs="Times New Roman"/>
                      <w:i w:val="0"/>
                      <w:iCs w:val="0"/>
                      <w:color w:val="auto"/>
                      <w:kern w:val="0"/>
                      <w:sz w:val="18"/>
                      <w:szCs w:val="18"/>
                      <w:highlight w:val="none"/>
                      <w:u w:val="none"/>
                      <w:lang w:val="en-US" w:eastAsia="zh-CN" w:bidi="ar-SA"/>
                    </w:rPr>
                    <w:t>1.85E-22</w:t>
                  </w:r>
                </w:p>
              </w:tc>
            </w:tr>
          </w:tbl>
          <w:p w14:paraId="69669D73">
            <w:pPr>
              <w:keepNext w:val="0"/>
              <w:keepLines w:val="0"/>
              <w:suppressLineNumbers w:val="0"/>
              <w:autoSpaceDE w:val="0"/>
              <w:autoSpaceDN w:val="0"/>
              <w:spacing w:before="0" w:beforeAutospacing="0" w:after="0" w:afterAutospacing="0" w:line="360" w:lineRule="auto"/>
              <w:ind w:left="0" w:right="0" w:firstLine="360" w:firstLineChars="200"/>
              <w:jc w:val="both"/>
              <w:rPr>
                <w:rFonts w:hint="eastAsia" w:ascii="Times New Roman" w:hAnsi="Times New Roman" w:cs="Times New Roman"/>
                <w:b w:val="0"/>
                <w:bCs w:val="0"/>
                <w:color w:val="auto"/>
                <w:kern w:val="0"/>
                <w:sz w:val="18"/>
                <w:szCs w:val="18"/>
                <w:highlight w:val="none"/>
                <w:lang w:val="en-US" w:eastAsia="zh-CN"/>
              </w:rPr>
            </w:pPr>
            <w:r>
              <w:rPr>
                <w:rFonts w:hint="eastAsia" w:ascii="Times New Roman" w:hAnsi="Times New Roman" w:cs="Times New Roman"/>
                <w:b w:val="0"/>
                <w:bCs w:val="0"/>
                <w:color w:val="auto"/>
                <w:kern w:val="0"/>
                <w:sz w:val="18"/>
                <w:szCs w:val="18"/>
                <w:highlight w:val="none"/>
                <w:lang w:val="en-US" w:eastAsia="zh-CN"/>
              </w:rPr>
              <w:t>注：单光子药物生产车间限制无关人员入内，公众偶然居留，居留因子取1/20。</w:t>
            </w:r>
          </w:p>
          <w:p w14:paraId="407AACA2">
            <w:pPr>
              <w:keepNext w:val="0"/>
              <w:keepLines w:val="0"/>
              <w:suppressLineNumbers w:val="0"/>
              <w:autoSpaceDE w:val="0"/>
              <w:autoSpaceDN w:val="0"/>
              <w:bidi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Cs w:val="22"/>
                <w:highlight w:val="none"/>
              </w:rPr>
            </w:pPr>
            <w:r>
              <w:rPr>
                <w:rFonts w:hint="default" w:ascii="Times New Roman" w:hAnsi="Times New Roman" w:eastAsia="宋体" w:cs="Times New Roman"/>
                <w:b w:val="0"/>
                <w:bCs w:val="0"/>
                <w:color w:val="auto"/>
                <w:kern w:val="0"/>
                <w:szCs w:val="24"/>
                <w:highlight w:val="none"/>
              </w:rPr>
              <w:t>结合上表计算结果，</w:t>
            </w:r>
            <w:r>
              <w:rPr>
                <w:rFonts w:hint="eastAsia" w:ascii="Times New Roman" w:hAnsi="Times New Roman" w:cs="Times New Roman"/>
                <w:b w:val="0"/>
                <w:bCs w:val="0"/>
                <w:color w:val="auto"/>
                <w:kern w:val="0"/>
                <w:szCs w:val="24"/>
                <w:highlight w:val="none"/>
                <w:lang w:val="en-US" w:eastAsia="zh-CN"/>
              </w:rPr>
              <w:t>负一层放药生产区</w:t>
            </w:r>
            <w:r>
              <w:rPr>
                <w:rFonts w:hint="default" w:ascii="Times New Roman" w:hAnsi="Times New Roman" w:eastAsia="宋体" w:cs="Times New Roman"/>
                <w:b w:val="0"/>
                <w:bCs w:val="0"/>
                <w:color w:val="auto"/>
                <w:kern w:val="0"/>
                <w:szCs w:val="24"/>
                <w:highlight w:val="none"/>
                <w:lang w:val="en-US" w:eastAsia="zh-CN"/>
              </w:rPr>
              <w:t>周围</w:t>
            </w:r>
            <w:r>
              <w:rPr>
                <w:rFonts w:hint="default" w:ascii="Times New Roman" w:hAnsi="Times New Roman" w:eastAsia="宋体" w:cs="Times New Roman"/>
                <w:b w:val="0"/>
                <w:bCs w:val="0"/>
                <w:color w:val="auto"/>
                <w:kern w:val="0"/>
                <w:szCs w:val="24"/>
                <w:highlight w:val="none"/>
              </w:rPr>
              <w:t>职业人员所受照射的剂量最大值为</w:t>
            </w:r>
            <w:r>
              <w:rPr>
                <w:rFonts w:hint="default" w:ascii="Times New Roman" w:hAnsi="Times New Roman" w:eastAsia="宋体" w:cs="Times New Roman"/>
                <w:b w:val="0"/>
                <w:bCs w:val="0"/>
                <w:i w:val="0"/>
                <w:iCs w:val="0"/>
                <w:color w:val="auto"/>
                <w:kern w:val="0"/>
                <w:szCs w:val="24"/>
                <w:highlight w:val="none"/>
                <w:u w:val="none"/>
                <w:lang w:val="en-US" w:eastAsia="zh-CN" w:bidi="ar"/>
              </w:rPr>
              <w:t>2.63E+00</w:t>
            </w:r>
            <w:r>
              <w:rPr>
                <w:rFonts w:hint="default" w:ascii="Times New Roman" w:hAnsi="Times New Roman" w:eastAsia="宋体" w:cs="Times New Roman"/>
                <w:b w:val="0"/>
                <w:bCs w:val="0"/>
                <w:color w:val="auto"/>
                <w:kern w:val="0"/>
                <w:szCs w:val="24"/>
                <w:highlight w:val="none"/>
              </w:rPr>
              <w:t>mSv/a，公众人员所受照射的剂量最大值为</w:t>
            </w:r>
            <w:r>
              <w:rPr>
                <w:rFonts w:hint="default" w:ascii="Times New Roman" w:hAnsi="Times New Roman" w:eastAsia="宋体" w:cs="Times New Roman"/>
                <w:b w:val="0"/>
                <w:bCs w:val="0"/>
                <w:i w:val="0"/>
                <w:iCs w:val="0"/>
                <w:color w:val="auto"/>
                <w:kern w:val="0"/>
                <w:szCs w:val="24"/>
                <w:highlight w:val="none"/>
                <w:u w:val="none"/>
                <w:lang w:val="en-US" w:eastAsia="zh-CN" w:bidi="ar"/>
              </w:rPr>
              <w:t>5.85E-02</w:t>
            </w:r>
            <w:r>
              <w:rPr>
                <w:rFonts w:hint="default" w:ascii="Times New Roman" w:hAnsi="Times New Roman" w:eastAsia="宋体" w:cs="Times New Roman"/>
                <w:b w:val="0"/>
                <w:bCs w:val="0"/>
                <w:color w:val="auto"/>
                <w:kern w:val="0"/>
                <w:szCs w:val="24"/>
                <w:highlight w:val="none"/>
              </w:rPr>
              <w:t>mSv/a，满足</w:t>
            </w:r>
            <w:r>
              <w:rPr>
                <w:rFonts w:hint="default" w:ascii="Times New Roman" w:hAnsi="Times New Roman" w:eastAsia="宋体" w:cs="Times New Roman"/>
                <w:b w:val="0"/>
                <w:bCs w:val="0"/>
                <w:color w:val="auto"/>
                <w:kern w:val="0"/>
                <w:szCs w:val="24"/>
                <w:highlight w:val="none"/>
                <w:lang w:val="en-US" w:eastAsia="zh-CN"/>
              </w:rPr>
              <w:t>《核医学辐射防护与安全要求》（HJ1188-2021）</w:t>
            </w:r>
            <w:r>
              <w:rPr>
                <w:rFonts w:hint="default" w:ascii="Times New Roman" w:hAnsi="Times New Roman" w:eastAsia="宋体" w:cs="Times New Roman"/>
                <w:b w:val="0"/>
                <w:bCs w:val="0"/>
                <w:color w:val="auto"/>
                <w:kern w:val="0"/>
                <w:szCs w:val="24"/>
                <w:highlight w:val="none"/>
              </w:rPr>
              <w:t>中职业人员有效剂量管理目标值5mSv/a的要求</w:t>
            </w:r>
            <w:r>
              <w:rPr>
                <w:rFonts w:hint="eastAsia" w:ascii="Times New Roman" w:hAnsi="Times New Roman" w:cs="Times New Roman"/>
                <w:b w:val="0"/>
                <w:bCs w:val="0"/>
                <w:color w:val="auto"/>
                <w:kern w:val="0"/>
                <w:szCs w:val="24"/>
                <w:highlight w:val="none"/>
                <w:lang w:val="en-US" w:eastAsia="zh-CN"/>
              </w:rPr>
              <w:t>和</w:t>
            </w:r>
            <w:r>
              <w:rPr>
                <w:rFonts w:hint="default" w:ascii="Times New Roman" w:hAnsi="Times New Roman" w:eastAsia="宋体" w:cs="Times New Roman"/>
                <w:b w:val="0"/>
                <w:bCs w:val="0"/>
                <w:color w:val="auto"/>
                <w:kern w:val="0"/>
                <w:szCs w:val="24"/>
                <w:highlight w:val="none"/>
              </w:rPr>
              <w:t>公众人</w:t>
            </w:r>
            <w:r>
              <w:rPr>
                <w:rFonts w:hint="default" w:ascii="Times New Roman" w:hAnsi="Times New Roman" w:eastAsia="宋体" w:cs="Times New Roman"/>
                <w:color w:val="auto"/>
                <w:kern w:val="0"/>
                <w:szCs w:val="22"/>
                <w:highlight w:val="none"/>
              </w:rPr>
              <w:t>员有效剂量管理目标值为0.1mSv/a的要求。</w:t>
            </w:r>
          </w:p>
          <w:p w14:paraId="65E7EE1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4"/>
                <w:szCs w:val="22"/>
                <w:highlight w:val="none"/>
                <w:lang w:val="en-US" w:eastAsia="zh-CN"/>
              </w:rPr>
            </w:pPr>
            <w:r>
              <w:rPr>
                <w:rFonts w:hint="eastAsia" w:ascii="Times New Roman" w:hAnsi="Times New Roman" w:eastAsia="宋体" w:cs="Times New Roman"/>
                <w:b/>
                <w:color w:val="auto"/>
                <w:sz w:val="24"/>
                <w:szCs w:val="22"/>
                <w:highlight w:val="none"/>
                <w:lang w:val="en-US" w:eastAsia="zh-CN" w:bidi="ar-SA"/>
              </w:rPr>
              <w:t>表11-</w:t>
            </w:r>
            <w:r>
              <w:rPr>
                <w:rFonts w:hint="eastAsia" w:cs="Times New Roman"/>
                <w:b/>
                <w:color w:val="auto"/>
                <w:sz w:val="24"/>
                <w:szCs w:val="22"/>
                <w:highlight w:val="none"/>
                <w:lang w:val="en-US" w:eastAsia="zh-CN" w:bidi="ar-SA"/>
              </w:rPr>
              <w:t>1</w:t>
            </w:r>
            <w:r>
              <w:rPr>
                <w:rFonts w:hint="eastAsia" w:ascii="Times New Roman" w:hAnsi="Times New Roman" w:eastAsia="宋体" w:cs="Times New Roman"/>
                <w:b/>
                <w:color w:val="auto"/>
                <w:sz w:val="24"/>
                <w:szCs w:val="22"/>
                <w:highlight w:val="none"/>
                <w:lang w:val="en-US" w:eastAsia="zh-CN" w:bidi="ar-SA"/>
              </w:rPr>
              <w:t>6  一层SPECT诊断区公众人员受照射剂量预测结果（使用Tc-99m）</w:t>
            </w:r>
          </w:p>
          <w:tbl>
            <w:tblPr>
              <w:tblStyle w:val="22"/>
              <w:tblW w:w="915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586"/>
              <w:gridCol w:w="3039"/>
              <w:gridCol w:w="1054"/>
              <w:gridCol w:w="1407"/>
              <w:gridCol w:w="915"/>
              <w:gridCol w:w="1035"/>
              <w:gridCol w:w="1120"/>
            </w:tblGrid>
            <w:tr w14:paraId="5D2449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586" w:type="dxa"/>
                  <w:tcBorders>
                    <w:tl2br w:val="nil"/>
                    <w:tr2bl w:val="nil"/>
                  </w:tcBorders>
                  <w:noWrap w:val="0"/>
                  <w:vAlign w:val="center"/>
                </w:tcPr>
                <w:p w14:paraId="2262775A">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目标点位</w:t>
                  </w:r>
                </w:p>
              </w:tc>
              <w:tc>
                <w:tcPr>
                  <w:tcW w:w="3039" w:type="dxa"/>
                  <w:tcBorders>
                    <w:tl2br w:val="nil"/>
                    <w:tr2bl w:val="nil"/>
                  </w:tcBorders>
                  <w:noWrap w:val="0"/>
                  <w:vAlign w:val="center"/>
                </w:tcPr>
                <w:p w14:paraId="4FC021C1">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与机房关系</w:t>
                  </w:r>
                </w:p>
              </w:tc>
              <w:tc>
                <w:tcPr>
                  <w:tcW w:w="1054" w:type="dxa"/>
                  <w:tcBorders>
                    <w:tl2br w:val="nil"/>
                    <w:tr2bl w:val="nil"/>
                  </w:tcBorders>
                  <w:noWrap w:val="0"/>
                  <w:vAlign w:val="center"/>
                </w:tcPr>
                <w:p w14:paraId="471383AA">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照射类型</w:t>
                  </w:r>
                </w:p>
              </w:tc>
              <w:tc>
                <w:tcPr>
                  <w:tcW w:w="1407" w:type="dxa"/>
                  <w:tcBorders>
                    <w:tl2br w:val="nil"/>
                    <w:tr2bl w:val="nil"/>
                  </w:tcBorders>
                  <w:noWrap w:val="0"/>
                  <w:vAlign w:val="center"/>
                </w:tcPr>
                <w:p w14:paraId="0EF8AA38">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剂量</w:t>
                  </w:r>
                  <w:r>
                    <w:rPr>
                      <w:rFonts w:hint="eastAsia" w:ascii="Times New Roman" w:hAnsi="Times New Roman" w:eastAsia="宋体" w:cs="Times New Roman"/>
                      <w:color w:val="auto"/>
                      <w:kern w:val="0"/>
                      <w:sz w:val="18"/>
                      <w:szCs w:val="18"/>
                      <w:highlight w:val="none"/>
                      <w:lang w:val="en-US" w:eastAsia="zh-CN"/>
                    </w:rPr>
                    <w:t>率</w:t>
                  </w:r>
                  <w:r>
                    <w:rPr>
                      <w:rFonts w:hint="default" w:ascii="Times New Roman" w:hAnsi="Times New Roman" w:eastAsia="宋体" w:cs="Times New Roman"/>
                      <w:color w:val="auto"/>
                      <w:kern w:val="0"/>
                      <w:sz w:val="18"/>
                      <w:szCs w:val="18"/>
                      <w:highlight w:val="none"/>
                    </w:rPr>
                    <w:t>(μSv/h)</w:t>
                  </w:r>
                </w:p>
              </w:tc>
              <w:tc>
                <w:tcPr>
                  <w:tcW w:w="915" w:type="dxa"/>
                  <w:tcBorders>
                    <w:tl2br w:val="nil"/>
                    <w:tr2bl w:val="nil"/>
                  </w:tcBorders>
                  <w:noWrap w:val="0"/>
                  <w:vAlign w:val="center"/>
                </w:tcPr>
                <w:p w14:paraId="7C45217D">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年受照时间，h</w:t>
                  </w:r>
                </w:p>
              </w:tc>
              <w:tc>
                <w:tcPr>
                  <w:tcW w:w="1035" w:type="dxa"/>
                  <w:tcBorders>
                    <w:tl2br w:val="nil"/>
                    <w:tr2bl w:val="nil"/>
                  </w:tcBorders>
                  <w:noWrap w:val="0"/>
                  <w:vAlign w:val="center"/>
                </w:tcPr>
                <w:p w14:paraId="5F712AD1">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居留因子</w:t>
                  </w:r>
                </w:p>
              </w:tc>
              <w:tc>
                <w:tcPr>
                  <w:tcW w:w="1120" w:type="dxa"/>
                  <w:tcBorders>
                    <w:tl2br w:val="nil"/>
                    <w:tr2bl w:val="nil"/>
                  </w:tcBorders>
                  <w:noWrap w:val="0"/>
                  <w:vAlign w:val="center"/>
                </w:tcPr>
                <w:p w14:paraId="55820A92">
                  <w:pPr>
                    <w:keepNext w:val="0"/>
                    <w:keepLines w:val="0"/>
                    <w:suppressLineNumbers w:val="0"/>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18"/>
                      <w:szCs w:val="18"/>
                      <w:highlight w:val="none"/>
                      <w:lang w:eastAsia="zh-CN"/>
                    </w:rPr>
                  </w:pPr>
                  <w:r>
                    <w:rPr>
                      <w:rFonts w:hint="eastAsia" w:cs="Times New Roman"/>
                      <w:color w:val="auto"/>
                      <w:kern w:val="0"/>
                      <w:sz w:val="18"/>
                      <w:szCs w:val="18"/>
                      <w:highlight w:val="none"/>
                      <w:lang w:eastAsia="zh-CN"/>
                    </w:rPr>
                    <w:t>年有效剂量mSv/a</w:t>
                  </w:r>
                </w:p>
              </w:tc>
            </w:tr>
            <w:tr w14:paraId="266CD9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156" w:type="dxa"/>
                  <w:gridSpan w:val="7"/>
                  <w:tcBorders>
                    <w:tl2br w:val="nil"/>
                    <w:tr2bl w:val="nil"/>
                  </w:tcBorders>
                  <w:shd w:val="clear" w:color="auto" w:fill="auto"/>
                  <w:noWrap w:val="0"/>
                  <w:vAlign w:val="center"/>
                </w:tcPr>
                <w:p w14:paraId="29B81C9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一层SPECT诊断区抢救室</w:t>
                  </w:r>
                </w:p>
              </w:tc>
            </w:tr>
            <w:tr w14:paraId="3DA656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586" w:type="dxa"/>
                  <w:tcBorders>
                    <w:tl2br w:val="nil"/>
                    <w:tr2bl w:val="nil"/>
                  </w:tcBorders>
                  <w:shd w:val="clear" w:color="auto" w:fill="auto"/>
                  <w:noWrap w:val="0"/>
                  <w:vAlign w:val="center"/>
                </w:tcPr>
                <w:p w14:paraId="2DA8904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w:t>
                  </w:r>
                </w:p>
              </w:tc>
              <w:tc>
                <w:tcPr>
                  <w:tcW w:w="3039" w:type="dxa"/>
                  <w:tcBorders>
                    <w:tl2br w:val="nil"/>
                    <w:tr2bl w:val="nil"/>
                  </w:tcBorders>
                  <w:shd w:val="clear" w:color="auto" w:fill="auto"/>
                  <w:noWrap w:val="0"/>
                  <w:vAlign w:val="center"/>
                </w:tcPr>
                <w:p w14:paraId="693C90E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北墙外30cm处</w:t>
                  </w:r>
                </w:p>
              </w:tc>
              <w:tc>
                <w:tcPr>
                  <w:tcW w:w="1054" w:type="dxa"/>
                  <w:tcBorders>
                    <w:tl2br w:val="nil"/>
                    <w:tr2bl w:val="nil"/>
                  </w:tcBorders>
                  <w:noWrap w:val="0"/>
                  <w:vAlign w:val="center"/>
                </w:tcPr>
                <w:p w14:paraId="31895F0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tcBorders>
                    <w:tl2br w:val="nil"/>
                    <w:tr2bl w:val="nil"/>
                  </w:tcBorders>
                  <w:shd w:val="clear" w:color="auto" w:fill="auto"/>
                  <w:noWrap w:val="0"/>
                  <w:vAlign w:val="center"/>
                </w:tcPr>
                <w:p w14:paraId="742F22C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3.59E-02</w:t>
                  </w:r>
                </w:p>
              </w:tc>
              <w:tc>
                <w:tcPr>
                  <w:tcW w:w="915" w:type="dxa"/>
                  <w:tcBorders>
                    <w:tl2br w:val="nil"/>
                    <w:tr2bl w:val="nil"/>
                  </w:tcBorders>
                  <w:noWrap w:val="0"/>
                  <w:vAlign w:val="center"/>
                </w:tcPr>
                <w:p w14:paraId="3FC9ABA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1035" w:type="dxa"/>
                  <w:tcBorders>
                    <w:tl2br w:val="nil"/>
                    <w:tr2bl w:val="nil"/>
                  </w:tcBorders>
                  <w:noWrap w:val="0"/>
                  <w:vAlign w:val="center"/>
                </w:tcPr>
                <w:p w14:paraId="5315FE7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120" w:type="dxa"/>
                  <w:tcBorders>
                    <w:tl2br w:val="nil"/>
                    <w:tr2bl w:val="nil"/>
                  </w:tcBorders>
                  <w:shd w:val="clear" w:color="auto" w:fill="auto"/>
                  <w:noWrap w:val="0"/>
                  <w:vAlign w:val="center"/>
                </w:tcPr>
                <w:p w14:paraId="1C876A8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5.61E-03</w:t>
                  </w:r>
                </w:p>
              </w:tc>
            </w:tr>
            <w:tr w14:paraId="0299911C">
              <w:tblPrEx>
                <w:tblCellMar>
                  <w:top w:w="0" w:type="dxa"/>
                  <w:left w:w="108" w:type="dxa"/>
                  <w:bottom w:w="0" w:type="dxa"/>
                  <w:right w:w="108" w:type="dxa"/>
                </w:tblCellMar>
              </w:tblPrEx>
              <w:trPr>
                <w:trHeight w:val="283" w:hRule="atLeast"/>
                <w:jc w:val="center"/>
              </w:trPr>
              <w:tc>
                <w:tcPr>
                  <w:tcW w:w="0" w:type="auto"/>
                  <w:shd w:val="clear" w:color="auto" w:fill="auto"/>
                  <w:vAlign w:val="center"/>
                </w:tcPr>
                <w:p w14:paraId="7CD6DE0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w:t>
                  </w:r>
                </w:p>
              </w:tc>
              <w:tc>
                <w:tcPr>
                  <w:tcW w:w="0" w:type="auto"/>
                  <w:shd w:val="clear" w:color="auto" w:fill="auto"/>
                  <w:vAlign w:val="center"/>
                </w:tcPr>
                <w:p w14:paraId="32C6F92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东墙外30cm处</w:t>
                  </w:r>
                </w:p>
              </w:tc>
              <w:tc>
                <w:tcPr>
                  <w:tcW w:w="0" w:type="auto"/>
                  <w:vAlign w:val="center"/>
                </w:tcPr>
                <w:p w14:paraId="4C2DA65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30DE381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2.19E-01</w:t>
                  </w:r>
                </w:p>
              </w:tc>
              <w:tc>
                <w:tcPr>
                  <w:tcW w:w="915" w:type="dxa"/>
                  <w:vAlign w:val="center"/>
                </w:tcPr>
                <w:p w14:paraId="59E7DAC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0A1C4D3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49F3AA7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3.42E-02</w:t>
                  </w:r>
                </w:p>
              </w:tc>
            </w:tr>
            <w:tr w14:paraId="69D16E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66F4021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w:t>
                  </w:r>
                </w:p>
              </w:tc>
              <w:tc>
                <w:tcPr>
                  <w:tcW w:w="0" w:type="auto"/>
                  <w:shd w:val="clear" w:color="auto" w:fill="auto"/>
                  <w:vAlign w:val="center"/>
                </w:tcPr>
                <w:p w14:paraId="134D70F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南墙外30cm处</w:t>
                  </w:r>
                </w:p>
              </w:tc>
              <w:tc>
                <w:tcPr>
                  <w:tcW w:w="0" w:type="auto"/>
                  <w:vAlign w:val="center"/>
                </w:tcPr>
                <w:p w14:paraId="535F2B7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3AC627A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1.13E-01</w:t>
                  </w:r>
                </w:p>
              </w:tc>
              <w:tc>
                <w:tcPr>
                  <w:tcW w:w="915" w:type="dxa"/>
                  <w:vAlign w:val="center"/>
                </w:tcPr>
                <w:p w14:paraId="0DC4E60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12F41AF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7C2A965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1.77E-02</w:t>
                  </w:r>
                </w:p>
              </w:tc>
            </w:tr>
            <w:tr w14:paraId="757C8B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0D03FCE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w:t>
                  </w:r>
                </w:p>
              </w:tc>
              <w:tc>
                <w:tcPr>
                  <w:tcW w:w="0" w:type="auto"/>
                  <w:shd w:val="clear" w:color="auto" w:fill="auto"/>
                  <w:vAlign w:val="center"/>
                </w:tcPr>
                <w:p w14:paraId="53471C2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西墙外30cm处</w:t>
                  </w:r>
                </w:p>
              </w:tc>
              <w:tc>
                <w:tcPr>
                  <w:tcW w:w="0" w:type="auto"/>
                  <w:vAlign w:val="center"/>
                </w:tcPr>
                <w:p w14:paraId="1083DEC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36B8921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2.19E-01</w:t>
                  </w:r>
                </w:p>
              </w:tc>
              <w:tc>
                <w:tcPr>
                  <w:tcW w:w="915" w:type="dxa"/>
                  <w:vAlign w:val="center"/>
                </w:tcPr>
                <w:p w14:paraId="2340E66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5F1C3AD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0EA558B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3.42E-02</w:t>
                  </w:r>
                </w:p>
              </w:tc>
            </w:tr>
            <w:tr w14:paraId="1D27B1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549C94E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w:t>
                  </w:r>
                </w:p>
              </w:tc>
              <w:tc>
                <w:tcPr>
                  <w:tcW w:w="0" w:type="auto"/>
                  <w:shd w:val="clear" w:color="auto" w:fill="auto"/>
                  <w:vAlign w:val="center"/>
                </w:tcPr>
                <w:p w14:paraId="5807D1E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0" w:type="auto"/>
                  <w:vAlign w:val="center"/>
                </w:tcPr>
                <w:p w14:paraId="0147FA0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3BE8750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15" w:type="dxa"/>
                  <w:vAlign w:val="center"/>
                </w:tcPr>
                <w:p w14:paraId="661326E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1CE520D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57D870E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2.63E-04</w:t>
                  </w:r>
                </w:p>
              </w:tc>
            </w:tr>
            <w:tr w14:paraId="18940C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4302D3A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w:t>
                  </w:r>
                </w:p>
              </w:tc>
              <w:tc>
                <w:tcPr>
                  <w:tcW w:w="0" w:type="auto"/>
                  <w:shd w:val="clear" w:color="auto" w:fill="auto"/>
                  <w:vAlign w:val="center"/>
                </w:tcPr>
                <w:p w14:paraId="22C9FD3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0" w:type="auto"/>
                  <w:vAlign w:val="center"/>
                </w:tcPr>
                <w:p w14:paraId="7D9EAE3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3ABD85F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15" w:type="dxa"/>
                  <w:vAlign w:val="center"/>
                </w:tcPr>
                <w:p w14:paraId="4CD73B0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23A9C8C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7375BA5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2.84E-04</w:t>
                  </w:r>
                </w:p>
              </w:tc>
            </w:tr>
            <w:tr w14:paraId="330B61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185380D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w:t>
                  </w:r>
                </w:p>
              </w:tc>
              <w:tc>
                <w:tcPr>
                  <w:tcW w:w="0" w:type="auto"/>
                  <w:shd w:val="clear" w:color="auto" w:fill="auto"/>
                  <w:vAlign w:val="center"/>
                </w:tcPr>
                <w:p w14:paraId="4676EB1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0" w:type="auto"/>
                  <w:vAlign w:val="center"/>
                </w:tcPr>
                <w:p w14:paraId="364A46D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4CF388E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3.59E-03</w:t>
                  </w:r>
                </w:p>
              </w:tc>
              <w:tc>
                <w:tcPr>
                  <w:tcW w:w="915" w:type="dxa"/>
                  <w:vAlign w:val="center"/>
                </w:tcPr>
                <w:p w14:paraId="4207CAE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03CDF73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436BA8A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5.61E-04</w:t>
                  </w:r>
                </w:p>
              </w:tc>
            </w:tr>
            <w:tr w14:paraId="2796A6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156" w:type="dxa"/>
                  <w:gridSpan w:val="7"/>
                  <w:shd w:val="clear" w:color="auto" w:fill="auto"/>
                  <w:vAlign w:val="center"/>
                </w:tcPr>
                <w:p w14:paraId="391B650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一层SPECT诊断区注射后休息室</w:t>
                  </w:r>
                </w:p>
              </w:tc>
            </w:tr>
            <w:tr w14:paraId="31E2AD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743EDC2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w:t>
                  </w:r>
                </w:p>
              </w:tc>
              <w:tc>
                <w:tcPr>
                  <w:tcW w:w="0" w:type="auto"/>
                  <w:shd w:val="clear" w:color="auto" w:fill="auto"/>
                  <w:vAlign w:val="center"/>
                </w:tcPr>
                <w:p w14:paraId="61D2D05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北墙外30cm处</w:t>
                  </w:r>
                </w:p>
              </w:tc>
              <w:tc>
                <w:tcPr>
                  <w:tcW w:w="0" w:type="auto"/>
                  <w:vAlign w:val="center"/>
                </w:tcPr>
                <w:p w14:paraId="6D6E925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174E85D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7.18E-02</w:t>
                  </w:r>
                </w:p>
              </w:tc>
              <w:tc>
                <w:tcPr>
                  <w:tcW w:w="915" w:type="dxa"/>
                  <w:vAlign w:val="center"/>
                </w:tcPr>
                <w:p w14:paraId="7E73D1A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3AA784E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6BF9D7F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1.12E-02</w:t>
                  </w:r>
                </w:p>
              </w:tc>
            </w:tr>
            <w:tr w14:paraId="09AEF7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55EA6CA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w:t>
                  </w:r>
                </w:p>
              </w:tc>
              <w:tc>
                <w:tcPr>
                  <w:tcW w:w="0" w:type="auto"/>
                  <w:shd w:val="clear" w:color="auto" w:fill="auto"/>
                  <w:vAlign w:val="center"/>
                </w:tcPr>
                <w:p w14:paraId="7984C1C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东墙外30cm处</w:t>
                  </w:r>
                </w:p>
              </w:tc>
              <w:tc>
                <w:tcPr>
                  <w:tcW w:w="0" w:type="auto"/>
                  <w:vAlign w:val="center"/>
                </w:tcPr>
                <w:p w14:paraId="3A61600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282C43F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5.05E-02</w:t>
                  </w:r>
                </w:p>
              </w:tc>
              <w:tc>
                <w:tcPr>
                  <w:tcW w:w="915" w:type="dxa"/>
                  <w:vAlign w:val="center"/>
                </w:tcPr>
                <w:p w14:paraId="6C04EA5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70A97D6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1EAB979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7.89E-03</w:t>
                  </w:r>
                </w:p>
              </w:tc>
            </w:tr>
            <w:tr w14:paraId="2EB07C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64FB5B3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w:t>
                  </w:r>
                </w:p>
              </w:tc>
              <w:tc>
                <w:tcPr>
                  <w:tcW w:w="0" w:type="auto"/>
                  <w:shd w:val="clear" w:color="auto" w:fill="auto"/>
                  <w:vAlign w:val="center"/>
                </w:tcPr>
                <w:p w14:paraId="07B4EBA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南墙外30cm处</w:t>
                  </w:r>
                </w:p>
              </w:tc>
              <w:tc>
                <w:tcPr>
                  <w:tcW w:w="0" w:type="auto"/>
                  <w:vAlign w:val="center"/>
                </w:tcPr>
                <w:p w14:paraId="50741E2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5BC76FD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2.27E-01</w:t>
                  </w:r>
                </w:p>
              </w:tc>
              <w:tc>
                <w:tcPr>
                  <w:tcW w:w="915" w:type="dxa"/>
                  <w:vAlign w:val="center"/>
                </w:tcPr>
                <w:p w14:paraId="0DC0FA6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32ACA36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3040861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3.55E-02</w:t>
                  </w:r>
                </w:p>
              </w:tc>
            </w:tr>
            <w:tr w14:paraId="749575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2C36733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11</w:t>
                  </w:r>
                </w:p>
              </w:tc>
              <w:tc>
                <w:tcPr>
                  <w:tcW w:w="0" w:type="auto"/>
                  <w:shd w:val="clear" w:color="auto" w:fill="auto"/>
                  <w:vAlign w:val="center"/>
                </w:tcPr>
                <w:p w14:paraId="3897132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西墙外30cm处</w:t>
                  </w:r>
                </w:p>
              </w:tc>
              <w:tc>
                <w:tcPr>
                  <w:tcW w:w="0" w:type="auto"/>
                  <w:vAlign w:val="center"/>
                </w:tcPr>
                <w:p w14:paraId="3EA4B69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5C89081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5.05E-02</w:t>
                  </w:r>
                </w:p>
              </w:tc>
              <w:tc>
                <w:tcPr>
                  <w:tcW w:w="915" w:type="dxa"/>
                  <w:vAlign w:val="center"/>
                </w:tcPr>
                <w:p w14:paraId="1C34007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2CD6EAF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5E9123E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7.89E-03</w:t>
                  </w:r>
                </w:p>
              </w:tc>
            </w:tr>
            <w:tr w14:paraId="26146E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1338B56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12</w:t>
                  </w:r>
                </w:p>
              </w:tc>
              <w:tc>
                <w:tcPr>
                  <w:tcW w:w="0" w:type="auto"/>
                  <w:shd w:val="clear" w:color="auto" w:fill="auto"/>
                  <w:vAlign w:val="center"/>
                </w:tcPr>
                <w:p w14:paraId="0034A3C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0" w:type="auto"/>
                  <w:vAlign w:val="center"/>
                </w:tcPr>
                <w:p w14:paraId="47A7BCF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723AC63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3.36E-03</w:t>
                  </w:r>
                </w:p>
              </w:tc>
              <w:tc>
                <w:tcPr>
                  <w:tcW w:w="915" w:type="dxa"/>
                  <w:vAlign w:val="center"/>
                </w:tcPr>
                <w:p w14:paraId="097569B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7500AD6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11259BF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5.25E-04</w:t>
                  </w:r>
                </w:p>
              </w:tc>
            </w:tr>
            <w:tr w14:paraId="52493E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7D38824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13</w:t>
                  </w:r>
                </w:p>
              </w:tc>
              <w:tc>
                <w:tcPr>
                  <w:tcW w:w="0" w:type="auto"/>
                  <w:shd w:val="clear" w:color="auto" w:fill="auto"/>
                  <w:vAlign w:val="center"/>
                </w:tcPr>
                <w:p w14:paraId="75DEA30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0" w:type="auto"/>
                  <w:vAlign w:val="center"/>
                </w:tcPr>
                <w:p w14:paraId="4C2E491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6E148B2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3.65E-03</w:t>
                  </w:r>
                </w:p>
              </w:tc>
              <w:tc>
                <w:tcPr>
                  <w:tcW w:w="915" w:type="dxa"/>
                  <w:vAlign w:val="center"/>
                </w:tcPr>
                <w:p w14:paraId="75D0C14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18242EB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091451B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5.70E-04</w:t>
                  </w:r>
                </w:p>
              </w:tc>
            </w:tr>
            <w:tr w14:paraId="208CAC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0192793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14ECA9D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0" w:type="auto"/>
                  <w:vAlign w:val="center"/>
                </w:tcPr>
                <w:p w14:paraId="21E4C72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78C698A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7.18E-03</w:t>
                  </w:r>
                </w:p>
              </w:tc>
              <w:tc>
                <w:tcPr>
                  <w:tcW w:w="915" w:type="dxa"/>
                  <w:vAlign w:val="center"/>
                </w:tcPr>
                <w:p w14:paraId="67DFCEF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3C3AB01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4FFBB3A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1.12E-03</w:t>
                  </w:r>
                </w:p>
              </w:tc>
            </w:tr>
            <w:tr w14:paraId="33C9D8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156" w:type="dxa"/>
                  <w:gridSpan w:val="7"/>
                  <w:shd w:val="clear" w:color="auto" w:fill="auto"/>
                  <w:vAlign w:val="center"/>
                </w:tcPr>
                <w:p w14:paraId="1ED3D40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一层SPECT诊断区留观室</w:t>
                  </w:r>
                </w:p>
              </w:tc>
            </w:tr>
            <w:tr w14:paraId="29F3AB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37FFB9F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15</w:t>
                  </w:r>
                </w:p>
              </w:tc>
              <w:tc>
                <w:tcPr>
                  <w:tcW w:w="0" w:type="auto"/>
                  <w:shd w:val="clear" w:color="auto" w:fill="auto"/>
                  <w:vAlign w:val="center"/>
                </w:tcPr>
                <w:p w14:paraId="72B0C0A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北墙外30cm处</w:t>
                  </w:r>
                </w:p>
              </w:tc>
              <w:tc>
                <w:tcPr>
                  <w:tcW w:w="0" w:type="auto"/>
                  <w:vAlign w:val="center"/>
                </w:tcPr>
                <w:p w14:paraId="15D6668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2F3B26B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6.15E-02</w:t>
                  </w:r>
                </w:p>
              </w:tc>
              <w:tc>
                <w:tcPr>
                  <w:tcW w:w="915" w:type="dxa"/>
                  <w:vAlign w:val="center"/>
                </w:tcPr>
                <w:p w14:paraId="0B5FE40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6EF60B5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70A1511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9.61E-03</w:t>
                  </w:r>
                </w:p>
              </w:tc>
            </w:tr>
            <w:tr w14:paraId="1E397A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0E58352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w:t>
                  </w:r>
                </w:p>
              </w:tc>
              <w:tc>
                <w:tcPr>
                  <w:tcW w:w="0" w:type="auto"/>
                  <w:shd w:val="clear" w:color="auto" w:fill="auto"/>
                  <w:vAlign w:val="center"/>
                </w:tcPr>
                <w:p w14:paraId="08A187D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东墙外30cm处</w:t>
                  </w:r>
                </w:p>
              </w:tc>
              <w:tc>
                <w:tcPr>
                  <w:tcW w:w="0" w:type="auto"/>
                  <w:vAlign w:val="center"/>
                </w:tcPr>
                <w:p w14:paraId="4C9264E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283FD33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2.68E-01</w:t>
                  </w:r>
                </w:p>
              </w:tc>
              <w:tc>
                <w:tcPr>
                  <w:tcW w:w="915" w:type="dxa"/>
                  <w:vAlign w:val="center"/>
                </w:tcPr>
                <w:p w14:paraId="7CF49F5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44C0E97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52E456F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4.19E-02</w:t>
                  </w:r>
                </w:p>
              </w:tc>
            </w:tr>
            <w:tr w14:paraId="01A682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0C43F3F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w:t>
                  </w:r>
                </w:p>
              </w:tc>
              <w:tc>
                <w:tcPr>
                  <w:tcW w:w="0" w:type="auto"/>
                  <w:shd w:val="clear" w:color="auto" w:fill="auto"/>
                  <w:vAlign w:val="center"/>
                </w:tcPr>
                <w:p w14:paraId="0D2E79A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北墙外30cm处</w:t>
                  </w:r>
                </w:p>
              </w:tc>
              <w:tc>
                <w:tcPr>
                  <w:tcW w:w="0" w:type="auto"/>
                  <w:vAlign w:val="center"/>
                </w:tcPr>
                <w:p w14:paraId="5832830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76F33E9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1.95E-01</w:t>
                  </w:r>
                </w:p>
              </w:tc>
              <w:tc>
                <w:tcPr>
                  <w:tcW w:w="915" w:type="dxa"/>
                  <w:vAlign w:val="center"/>
                </w:tcPr>
                <w:p w14:paraId="75FCD85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7102B24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7FE1E62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3.05E-02</w:t>
                  </w:r>
                </w:p>
              </w:tc>
            </w:tr>
            <w:tr w14:paraId="4CF5081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2B6BCB2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w:t>
                  </w:r>
                </w:p>
              </w:tc>
              <w:tc>
                <w:tcPr>
                  <w:tcW w:w="0" w:type="auto"/>
                  <w:shd w:val="clear" w:color="auto" w:fill="auto"/>
                  <w:vAlign w:val="center"/>
                </w:tcPr>
                <w:p w14:paraId="3153265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西墙外30cm处</w:t>
                  </w:r>
                </w:p>
              </w:tc>
              <w:tc>
                <w:tcPr>
                  <w:tcW w:w="0" w:type="auto"/>
                  <w:vAlign w:val="center"/>
                </w:tcPr>
                <w:p w14:paraId="1132905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0D3E768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2.68E-01</w:t>
                  </w:r>
                </w:p>
              </w:tc>
              <w:tc>
                <w:tcPr>
                  <w:tcW w:w="915" w:type="dxa"/>
                  <w:vAlign w:val="center"/>
                </w:tcPr>
                <w:p w14:paraId="2C993A7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37EADF4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6D70BE5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4.19E-02</w:t>
                  </w:r>
                </w:p>
              </w:tc>
            </w:tr>
            <w:tr w14:paraId="1AF3E9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4C40CD3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19</w:t>
                  </w:r>
                </w:p>
              </w:tc>
              <w:tc>
                <w:tcPr>
                  <w:tcW w:w="0" w:type="auto"/>
                  <w:shd w:val="clear" w:color="auto" w:fill="auto"/>
                  <w:vAlign w:val="center"/>
                </w:tcPr>
                <w:p w14:paraId="19D78FB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0" w:type="auto"/>
                  <w:vAlign w:val="center"/>
                </w:tcPr>
                <w:p w14:paraId="4DE04A3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75AC9B5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3.36E-03</w:t>
                  </w:r>
                </w:p>
              </w:tc>
              <w:tc>
                <w:tcPr>
                  <w:tcW w:w="915" w:type="dxa"/>
                  <w:vAlign w:val="center"/>
                </w:tcPr>
                <w:p w14:paraId="4F6A4B2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12157A4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298136B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5.25E-04</w:t>
                  </w:r>
                </w:p>
              </w:tc>
            </w:tr>
            <w:tr w14:paraId="4233C7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2B22B65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20</w:t>
                  </w:r>
                </w:p>
              </w:tc>
              <w:tc>
                <w:tcPr>
                  <w:tcW w:w="0" w:type="auto"/>
                  <w:shd w:val="clear" w:color="auto" w:fill="auto"/>
                  <w:vAlign w:val="center"/>
                </w:tcPr>
                <w:p w14:paraId="638DF28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0" w:type="auto"/>
                  <w:vAlign w:val="center"/>
                </w:tcPr>
                <w:p w14:paraId="5AA5F21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0E1D870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3.65E-03</w:t>
                  </w:r>
                </w:p>
              </w:tc>
              <w:tc>
                <w:tcPr>
                  <w:tcW w:w="915" w:type="dxa"/>
                  <w:vAlign w:val="center"/>
                </w:tcPr>
                <w:p w14:paraId="753DD30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4AE80A5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6172096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5.70E-04</w:t>
                  </w:r>
                </w:p>
              </w:tc>
            </w:tr>
            <w:tr w14:paraId="519EE9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7A7C79A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w:t>
                  </w:r>
                </w:p>
              </w:tc>
              <w:tc>
                <w:tcPr>
                  <w:tcW w:w="0" w:type="auto"/>
                  <w:shd w:val="clear" w:color="auto" w:fill="auto"/>
                  <w:vAlign w:val="center"/>
                </w:tcPr>
                <w:p w14:paraId="05A429E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0" w:type="auto"/>
                  <w:vAlign w:val="center"/>
                </w:tcPr>
                <w:p w14:paraId="09D0E8C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072EB4B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6.15E-03</w:t>
                  </w:r>
                </w:p>
              </w:tc>
              <w:tc>
                <w:tcPr>
                  <w:tcW w:w="915" w:type="dxa"/>
                  <w:vAlign w:val="center"/>
                </w:tcPr>
                <w:p w14:paraId="13E6E79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2886C2D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33561E2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9.61E-04</w:t>
                  </w:r>
                </w:p>
              </w:tc>
            </w:tr>
            <w:tr w14:paraId="229E77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156" w:type="dxa"/>
                  <w:gridSpan w:val="7"/>
                  <w:shd w:val="clear" w:color="auto" w:fill="auto"/>
                  <w:vAlign w:val="center"/>
                </w:tcPr>
                <w:p w14:paraId="79A6331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一层SPECT诊断区储源室</w:t>
                  </w:r>
                </w:p>
              </w:tc>
            </w:tr>
            <w:tr w14:paraId="558C6C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2AD7CE8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w:t>
                  </w:r>
                </w:p>
              </w:tc>
              <w:tc>
                <w:tcPr>
                  <w:tcW w:w="0" w:type="auto"/>
                  <w:shd w:val="clear" w:color="auto" w:fill="auto"/>
                  <w:vAlign w:val="center"/>
                </w:tcPr>
                <w:p w14:paraId="1E0E3FA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西</w:t>
                  </w: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0" w:type="auto"/>
                  <w:vAlign w:val="center"/>
                </w:tcPr>
                <w:p w14:paraId="7095D29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065BD92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5.86E-01</w:t>
                  </w:r>
                </w:p>
              </w:tc>
              <w:tc>
                <w:tcPr>
                  <w:tcW w:w="915" w:type="dxa"/>
                  <w:vAlign w:val="center"/>
                </w:tcPr>
                <w:p w14:paraId="70DA62D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481A345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18844DB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9.16E-02</w:t>
                  </w:r>
                </w:p>
              </w:tc>
            </w:tr>
            <w:tr w14:paraId="76D007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51BA694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23</w:t>
                  </w:r>
                </w:p>
              </w:tc>
              <w:tc>
                <w:tcPr>
                  <w:tcW w:w="0" w:type="auto"/>
                  <w:shd w:val="clear" w:color="auto" w:fill="auto"/>
                  <w:vAlign w:val="center"/>
                </w:tcPr>
                <w:p w14:paraId="085C420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0" w:type="auto"/>
                  <w:vAlign w:val="center"/>
                </w:tcPr>
                <w:p w14:paraId="73D9533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274B243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15" w:type="dxa"/>
                  <w:vAlign w:val="center"/>
                </w:tcPr>
                <w:p w14:paraId="1BE0341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026ECB7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2A7E77D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2.63E-04</w:t>
                  </w:r>
                </w:p>
              </w:tc>
            </w:tr>
            <w:tr w14:paraId="15D114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42A04FA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w:t>
                  </w:r>
                </w:p>
              </w:tc>
              <w:tc>
                <w:tcPr>
                  <w:tcW w:w="0" w:type="auto"/>
                  <w:shd w:val="clear" w:color="auto" w:fill="auto"/>
                  <w:vAlign w:val="center"/>
                </w:tcPr>
                <w:p w14:paraId="0D43AC7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0" w:type="auto"/>
                  <w:vAlign w:val="center"/>
                </w:tcPr>
                <w:p w14:paraId="586095C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67534F5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15" w:type="dxa"/>
                  <w:vAlign w:val="center"/>
                </w:tcPr>
                <w:p w14:paraId="1D8D113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1924C27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5446F77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2.84E-04</w:t>
                  </w:r>
                </w:p>
              </w:tc>
            </w:tr>
            <w:tr w14:paraId="52A922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3507110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25</w:t>
                  </w:r>
                </w:p>
              </w:tc>
              <w:tc>
                <w:tcPr>
                  <w:tcW w:w="0" w:type="auto"/>
                  <w:shd w:val="clear" w:color="auto" w:fill="auto"/>
                  <w:vAlign w:val="center"/>
                </w:tcPr>
                <w:p w14:paraId="59DEACB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0" w:type="auto"/>
                  <w:vAlign w:val="center"/>
                </w:tcPr>
                <w:p w14:paraId="6A21868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0C3FA22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3.89E-03</w:t>
                  </w:r>
                </w:p>
              </w:tc>
              <w:tc>
                <w:tcPr>
                  <w:tcW w:w="915" w:type="dxa"/>
                  <w:vAlign w:val="center"/>
                </w:tcPr>
                <w:p w14:paraId="599ED26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333B927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3816EAC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6.08E-04</w:t>
                  </w:r>
                </w:p>
              </w:tc>
            </w:tr>
            <w:tr w14:paraId="0E090B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156" w:type="dxa"/>
                  <w:gridSpan w:val="7"/>
                  <w:shd w:val="clear" w:color="auto" w:fill="auto"/>
                  <w:vAlign w:val="center"/>
                </w:tcPr>
                <w:p w14:paraId="30778AE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一层SPECT诊断区注射室</w:t>
                  </w:r>
                </w:p>
              </w:tc>
            </w:tr>
            <w:tr w14:paraId="451959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74EC387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26</w:t>
                  </w:r>
                </w:p>
              </w:tc>
              <w:tc>
                <w:tcPr>
                  <w:tcW w:w="0" w:type="auto"/>
                  <w:shd w:val="clear" w:color="auto" w:fill="auto"/>
                  <w:vAlign w:val="center"/>
                </w:tcPr>
                <w:p w14:paraId="548B842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墙外30cm处</w:t>
                  </w:r>
                </w:p>
              </w:tc>
              <w:tc>
                <w:tcPr>
                  <w:tcW w:w="0" w:type="auto"/>
                  <w:vAlign w:val="center"/>
                </w:tcPr>
                <w:p w14:paraId="4FEDA3E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6C92801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3.15E-01</w:t>
                  </w:r>
                </w:p>
              </w:tc>
              <w:tc>
                <w:tcPr>
                  <w:tcW w:w="915" w:type="dxa"/>
                  <w:vAlign w:val="center"/>
                </w:tcPr>
                <w:p w14:paraId="7B06CEB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5BCE0F9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6E92A5A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4.92E-02</w:t>
                  </w:r>
                </w:p>
              </w:tc>
            </w:tr>
            <w:tr w14:paraId="408493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7AC95DF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27</w:t>
                  </w:r>
                </w:p>
              </w:tc>
              <w:tc>
                <w:tcPr>
                  <w:tcW w:w="0" w:type="auto"/>
                  <w:shd w:val="clear" w:color="auto" w:fill="auto"/>
                  <w:vAlign w:val="center"/>
                </w:tcPr>
                <w:p w14:paraId="156D8B7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0" w:type="auto"/>
                  <w:vAlign w:val="center"/>
                </w:tcPr>
                <w:p w14:paraId="5FA1F79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1A08366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7.76E-03</w:t>
                  </w:r>
                </w:p>
              </w:tc>
              <w:tc>
                <w:tcPr>
                  <w:tcW w:w="915" w:type="dxa"/>
                  <w:vAlign w:val="center"/>
                </w:tcPr>
                <w:p w14:paraId="6A58DE6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7153C2D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7852F0A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1.21E-03</w:t>
                  </w:r>
                </w:p>
              </w:tc>
            </w:tr>
            <w:tr w14:paraId="5B4484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4F54E18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28</w:t>
                  </w:r>
                </w:p>
              </w:tc>
              <w:tc>
                <w:tcPr>
                  <w:tcW w:w="0" w:type="auto"/>
                  <w:shd w:val="clear" w:color="auto" w:fill="auto"/>
                  <w:vAlign w:val="center"/>
                </w:tcPr>
                <w:p w14:paraId="083A25A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0" w:type="auto"/>
                  <w:vAlign w:val="center"/>
                </w:tcPr>
                <w:p w14:paraId="24237F5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5BDC0B8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15" w:type="dxa"/>
                  <w:vAlign w:val="center"/>
                </w:tcPr>
                <w:p w14:paraId="60BE0DD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0E97A02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3567964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2.63E-04</w:t>
                  </w:r>
                </w:p>
              </w:tc>
            </w:tr>
            <w:tr w14:paraId="180F3D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540546F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29</w:t>
                  </w:r>
                </w:p>
              </w:tc>
              <w:tc>
                <w:tcPr>
                  <w:tcW w:w="0" w:type="auto"/>
                  <w:shd w:val="clear" w:color="auto" w:fill="auto"/>
                  <w:vAlign w:val="center"/>
                </w:tcPr>
                <w:p w14:paraId="2C102F3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0" w:type="auto"/>
                  <w:vAlign w:val="center"/>
                </w:tcPr>
                <w:p w14:paraId="4794276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12329A3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15" w:type="dxa"/>
                  <w:vAlign w:val="center"/>
                </w:tcPr>
                <w:p w14:paraId="4515501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0C89204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72B1C9B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2.84E-04</w:t>
                  </w:r>
                </w:p>
              </w:tc>
            </w:tr>
            <w:tr w14:paraId="58179E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0A8F3F1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30</w:t>
                  </w:r>
                </w:p>
              </w:tc>
              <w:tc>
                <w:tcPr>
                  <w:tcW w:w="0" w:type="auto"/>
                  <w:shd w:val="clear" w:color="auto" w:fill="auto"/>
                  <w:vAlign w:val="center"/>
                </w:tcPr>
                <w:p w14:paraId="2A8AF71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注射窗</w:t>
                  </w:r>
                </w:p>
              </w:tc>
              <w:tc>
                <w:tcPr>
                  <w:tcW w:w="0" w:type="auto"/>
                  <w:vAlign w:val="center"/>
                </w:tcPr>
                <w:p w14:paraId="59A7906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746214E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7.76E-03</w:t>
                  </w:r>
                </w:p>
              </w:tc>
              <w:tc>
                <w:tcPr>
                  <w:tcW w:w="915" w:type="dxa"/>
                  <w:vAlign w:val="center"/>
                </w:tcPr>
                <w:p w14:paraId="4B4875C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55F343E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23ACE7A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1.21E-03</w:t>
                  </w:r>
                </w:p>
              </w:tc>
            </w:tr>
            <w:tr w14:paraId="06E623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156" w:type="dxa"/>
                  <w:gridSpan w:val="7"/>
                  <w:shd w:val="clear" w:color="auto" w:fill="auto"/>
                  <w:vAlign w:val="center"/>
                </w:tcPr>
                <w:p w14:paraId="0CBBD6E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一层SPECT诊断区注射准备室</w:t>
                  </w:r>
                </w:p>
              </w:tc>
            </w:tr>
            <w:tr w14:paraId="71AE3E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6D999DC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31</w:t>
                  </w:r>
                </w:p>
              </w:tc>
              <w:tc>
                <w:tcPr>
                  <w:tcW w:w="0" w:type="auto"/>
                  <w:shd w:val="clear" w:color="auto" w:fill="auto"/>
                  <w:vAlign w:val="center"/>
                </w:tcPr>
                <w:p w14:paraId="5712B7F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四周墙体</w:t>
                  </w:r>
                </w:p>
              </w:tc>
              <w:tc>
                <w:tcPr>
                  <w:tcW w:w="0" w:type="auto"/>
                  <w:vAlign w:val="center"/>
                </w:tcPr>
                <w:p w14:paraId="550990D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5317D84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2.19E-01</w:t>
                  </w:r>
                </w:p>
              </w:tc>
              <w:tc>
                <w:tcPr>
                  <w:tcW w:w="915" w:type="dxa"/>
                  <w:vAlign w:val="center"/>
                </w:tcPr>
                <w:p w14:paraId="77070AF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58A6B87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4F814B7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3.42E-02</w:t>
                  </w:r>
                </w:p>
              </w:tc>
            </w:tr>
            <w:tr w14:paraId="3EC7B3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701D6DD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32</w:t>
                  </w:r>
                </w:p>
              </w:tc>
              <w:tc>
                <w:tcPr>
                  <w:tcW w:w="0" w:type="auto"/>
                  <w:shd w:val="clear" w:color="auto" w:fill="auto"/>
                  <w:vAlign w:val="center"/>
                </w:tcPr>
                <w:p w14:paraId="69588FD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0" w:type="auto"/>
                  <w:vAlign w:val="center"/>
                </w:tcPr>
                <w:p w14:paraId="07F10C5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3FE7618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15" w:type="dxa"/>
                  <w:vAlign w:val="center"/>
                </w:tcPr>
                <w:p w14:paraId="4F4F95B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50DAD1B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5F5B148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2.63E-04</w:t>
                  </w:r>
                </w:p>
              </w:tc>
            </w:tr>
            <w:tr w14:paraId="75AC5B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1E16D3A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33</w:t>
                  </w:r>
                </w:p>
              </w:tc>
              <w:tc>
                <w:tcPr>
                  <w:tcW w:w="0" w:type="auto"/>
                  <w:shd w:val="clear" w:color="auto" w:fill="auto"/>
                  <w:vAlign w:val="center"/>
                </w:tcPr>
                <w:p w14:paraId="0170287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0" w:type="auto"/>
                  <w:vAlign w:val="center"/>
                </w:tcPr>
                <w:p w14:paraId="571108C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6356516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15" w:type="dxa"/>
                  <w:vAlign w:val="center"/>
                </w:tcPr>
                <w:p w14:paraId="64457F6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47E39D2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1D787F3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2.84E-04</w:t>
                  </w:r>
                </w:p>
              </w:tc>
            </w:tr>
            <w:tr w14:paraId="0E6590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5F91E5A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34</w:t>
                  </w:r>
                </w:p>
              </w:tc>
              <w:tc>
                <w:tcPr>
                  <w:tcW w:w="0" w:type="auto"/>
                  <w:shd w:val="clear" w:color="auto" w:fill="auto"/>
                  <w:vAlign w:val="center"/>
                </w:tcPr>
                <w:p w14:paraId="426AA33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0" w:type="auto"/>
                  <w:vAlign w:val="center"/>
                </w:tcPr>
                <w:p w14:paraId="20C0F07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28117F6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6.92E-03</w:t>
                  </w:r>
                </w:p>
              </w:tc>
              <w:tc>
                <w:tcPr>
                  <w:tcW w:w="915" w:type="dxa"/>
                  <w:vAlign w:val="center"/>
                </w:tcPr>
                <w:p w14:paraId="6A1A543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1A4F56B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0D59078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1.08E-03</w:t>
                  </w:r>
                </w:p>
              </w:tc>
            </w:tr>
            <w:tr w14:paraId="5AD96B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156" w:type="dxa"/>
                  <w:gridSpan w:val="7"/>
                  <w:shd w:val="clear" w:color="auto" w:fill="auto"/>
                  <w:vAlign w:val="center"/>
                </w:tcPr>
                <w:p w14:paraId="5C15D06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一层SPECT诊断区放废库</w:t>
                  </w:r>
                </w:p>
              </w:tc>
            </w:tr>
            <w:tr w14:paraId="283FC6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2ECFF6E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35</w:t>
                  </w:r>
                </w:p>
              </w:tc>
              <w:tc>
                <w:tcPr>
                  <w:tcW w:w="0" w:type="auto"/>
                  <w:shd w:val="clear" w:color="auto" w:fill="auto"/>
                  <w:vAlign w:val="center"/>
                </w:tcPr>
                <w:p w14:paraId="595D231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四周墙体</w:t>
                  </w:r>
                </w:p>
              </w:tc>
              <w:tc>
                <w:tcPr>
                  <w:tcW w:w="0" w:type="auto"/>
                  <w:vAlign w:val="center"/>
                </w:tcPr>
                <w:p w14:paraId="7ED3ACD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0B6BAD5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2.77E-01</w:t>
                  </w:r>
                </w:p>
              </w:tc>
              <w:tc>
                <w:tcPr>
                  <w:tcW w:w="915" w:type="dxa"/>
                  <w:vAlign w:val="center"/>
                </w:tcPr>
                <w:p w14:paraId="66815CC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58E6B34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686EBA0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4.33E-02</w:t>
                  </w:r>
                </w:p>
              </w:tc>
            </w:tr>
            <w:tr w14:paraId="548350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3EBFE9F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36</w:t>
                  </w:r>
                </w:p>
              </w:tc>
              <w:tc>
                <w:tcPr>
                  <w:tcW w:w="0" w:type="auto"/>
                  <w:shd w:val="clear" w:color="auto" w:fill="auto"/>
                  <w:vAlign w:val="center"/>
                </w:tcPr>
                <w:p w14:paraId="22E4D75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0" w:type="auto"/>
                  <w:vAlign w:val="center"/>
                </w:tcPr>
                <w:p w14:paraId="61D8A73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455BEC1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15" w:type="dxa"/>
                  <w:vAlign w:val="center"/>
                </w:tcPr>
                <w:p w14:paraId="3E4C4E0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24250CA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5F6D40A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2.63E-04</w:t>
                  </w:r>
                </w:p>
              </w:tc>
            </w:tr>
            <w:tr w14:paraId="150420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175333B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37</w:t>
                  </w:r>
                </w:p>
              </w:tc>
              <w:tc>
                <w:tcPr>
                  <w:tcW w:w="0" w:type="auto"/>
                  <w:shd w:val="clear" w:color="auto" w:fill="auto"/>
                  <w:vAlign w:val="center"/>
                </w:tcPr>
                <w:p w14:paraId="65B372A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0" w:type="auto"/>
                  <w:vAlign w:val="center"/>
                </w:tcPr>
                <w:p w14:paraId="6C5CDF7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2C10DC8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15" w:type="dxa"/>
                  <w:vAlign w:val="center"/>
                </w:tcPr>
                <w:p w14:paraId="01EDD97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5C1F4DD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1D3D264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2.84E-04</w:t>
                  </w:r>
                </w:p>
              </w:tc>
            </w:tr>
            <w:tr w14:paraId="4D16A2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6866DD9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38</w:t>
                  </w:r>
                </w:p>
              </w:tc>
              <w:tc>
                <w:tcPr>
                  <w:tcW w:w="0" w:type="auto"/>
                  <w:shd w:val="clear" w:color="auto" w:fill="auto"/>
                  <w:vAlign w:val="center"/>
                </w:tcPr>
                <w:p w14:paraId="7E434C8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0" w:type="auto"/>
                  <w:vAlign w:val="center"/>
                </w:tcPr>
                <w:p w14:paraId="26566C0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43DF83A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8.76E-03</w:t>
                  </w:r>
                </w:p>
              </w:tc>
              <w:tc>
                <w:tcPr>
                  <w:tcW w:w="915" w:type="dxa"/>
                  <w:vAlign w:val="center"/>
                </w:tcPr>
                <w:p w14:paraId="0B72796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34D1CA6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7C0ADFA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1.37E-03</w:t>
                  </w:r>
                </w:p>
              </w:tc>
            </w:tr>
            <w:tr w14:paraId="359EB8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9156" w:type="dxa"/>
                  <w:gridSpan w:val="7"/>
                  <w:shd w:val="clear" w:color="auto" w:fill="auto"/>
                  <w:vAlign w:val="center"/>
                </w:tcPr>
                <w:p w14:paraId="3CBC5B9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一层SPECT诊断区SPECT-CT机房</w:t>
                  </w:r>
                </w:p>
              </w:tc>
            </w:tr>
            <w:tr w14:paraId="6BB3AE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0DBB934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39</w:t>
                  </w:r>
                </w:p>
              </w:tc>
              <w:tc>
                <w:tcPr>
                  <w:tcW w:w="0" w:type="auto"/>
                  <w:shd w:val="clear" w:color="auto" w:fill="auto"/>
                  <w:vAlign w:val="center"/>
                </w:tcPr>
                <w:p w14:paraId="755C3F7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四周墙体</w:t>
                  </w:r>
                </w:p>
              </w:tc>
              <w:tc>
                <w:tcPr>
                  <w:tcW w:w="0" w:type="auto"/>
                  <w:vAlign w:val="center"/>
                </w:tcPr>
                <w:p w14:paraId="0B4DD8B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7002AE1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1.07E-02</w:t>
                  </w:r>
                </w:p>
              </w:tc>
              <w:tc>
                <w:tcPr>
                  <w:tcW w:w="915" w:type="dxa"/>
                  <w:vAlign w:val="center"/>
                </w:tcPr>
                <w:p w14:paraId="55B2C90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383DADC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40637F2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1.67E-03</w:t>
                  </w:r>
                </w:p>
              </w:tc>
            </w:tr>
            <w:tr w14:paraId="3F75AED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5B63AE6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40</w:t>
                  </w:r>
                </w:p>
              </w:tc>
              <w:tc>
                <w:tcPr>
                  <w:tcW w:w="0" w:type="auto"/>
                  <w:shd w:val="clear" w:color="auto" w:fill="auto"/>
                  <w:vAlign w:val="center"/>
                </w:tcPr>
                <w:p w14:paraId="35A3797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顶棚上方50cm处</w:t>
                  </w:r>
                </w:p>
              </w:tc>
              <w:tc>
                <w:tcPr>
                  <w:tcW w:w="0" w:type="auto"/>
                  <w:vAlign w:val="center"/>
                </w:tcPr>
                <w:p w14:paraId="23DFA32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432F99D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1.68E-03</w:t>
                  </w:r>
                </w:p>
              </w:tc>
              <w:tc>
                <w:tcPr>
                  <w:tcW w:w="915" w:type="dxa"/>
                  <w:vAlign w:val="center"/>
                </w:tcPr>
                <w:p w14:paraId="2B22957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5A3FA34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0530023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2.63E-04</w:t>
                  </w:r>
                </w:p>
              </w:tc>
            </w:tr>
            <w:tr w14:paraId="2840A6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14C2920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41</w:t>
                  </w:r>
                </w:p>
              </w:tc>
              <w:tc>
                <w:tcPr>
                  <w:tcW w:w="0" w:type="auto"/>
                  <w:shd w:val="clear" w:color="auto" w:fill="auto"/>
                  <w:vAlign w:val="center"/>
                </w:tcPr>
                <w:p w14:paraId="15E37E5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楼下距地1.7m处</w:t>
                  </w:r>
                </w:p>
              </w:tc>
              <w:tc>
                <w:tcPr>
                  <w:tcW w:w="0" w:type="auto"/>
                  <w:vAlign w:val="center"/>
                </w:tcPr>
                <w:p w14:paraId="43BCA20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67CAF6B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1.82E-03</w:t>
                  </w:r>
                </w:p>
              </w:tc>
              <w:tc>
                <w:tcPr>
                  <w:tcW w:w="915" w:type="dxa"/>
                  <w:vAlign w:val="center"/>
                </w:tcPr>
                <w:p w14:paraId="60E36ED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607D3F4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35DCFEB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2.84E-04</w:t>
                  </w:r>
                </w:p>
              </w:tc>
            </w:tr>
            <w:tr w14:paraId="5B757A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2D4858C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42</w:t>
                  </w:r>
                </w:p>
              </w:tc>
              <w:tc>
                <w:tcPr>
                  <w:tcW w:w="0" w:type="auto"/>
                  <w:shd w:val="clear" w:color="auto" w:fill="auto"/>
                  <w:vAlign w:val="center"/>
                </w:tcPr>
                <w:p w14:paraId="4DEBBA3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防护门</w:t>
                  </w:r>
                </w:p>
              </w:tc>
              <w:tc>
                <w:tcPr>
                  <w:tcW w:w="0" w:type="auto"/>
                  <w:vAlign w:val="center"/>
                </w:tcPr>
                <w:p w14:paraId="1B10F06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75E365B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1.40E-03</w:t>
                  </w:r>
                </w:p>
              </w:tc>
              <w:tc>
                <w:tcPr>
                  <w:tcW w:w="915" w:type="dxa"/>
                  <w:vAlign w:val="center"/>
                </w:tcPr>
                <w:p w14:paraId="1EC8E62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0FE49FC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4D8A6F0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2.19E-04</w:t>
                  </w:r>
                </w:p>
              </w:tc>
            </w:tr>
            <w:tr w14:paraId="3BD0E3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0" w:type="auto"/>
                  <w:shd w:val="clear" w:color="auto" w:fill="auto"/>
                  <w:vAlign w:val="center"/>
                </w:tcPr>
                <w:p w14:paraId="33FCE37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43</w:t>
                  </w:r>
                </w:p>
              </w:tc>
              <w:tc>
                <w:tcPr>
                  <w:tcW w:w="0" w:type="auto"/>
                  <w:shd w:val="clear" w:color="auto" w:fill="auto"/>
                  <w:vAlign w:val="center"/>
                </w:tcPr>
                <w:p w14:paraId="2714013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观察窗</w:t>
                  </w:r>
                </w:p>
              </w:tc>
              <w:tc>
                <w:tcPr>
                  <w:tcW w:w="0" w:type="auto"/>
                  <w:vAlign w:val="center"/>
                </w:tcPr>
                <w:p w14:paraId="57C1078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07" w:type="dxa"/>
                  <w:shd w:val="clear" w:color="auto" w:fill="auto"/>
                  <w:vAlign w:val="center"/>
                </w:tcPr>
                <w:p w14:paraId="193193F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2.19E-03</w:t>
                  </w:r>
                </w:p>
              </w:tc>
              <w:tc>
                <w:tcPr>
                  <w:tcW w:w="915" w:type="dxa"/>
                  <w:vAlign w:val="center"/>
                </w:tcPr>
                <w:p w14:paraId="504C182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0" w:type="auto"/>
                  <w:vAlign w:val="center"/>
                </w:tcPr>
                <w:p w14:paraId="7A6AB06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0" w:type="auto"/>
                  <w:shd w:val="clear" w:color="auto" w:fill="auto"/>
                  <w:vAlign w:val="center"/>
                </w:tcPr>
                <w:p w14:paraId="4352AA3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3.42E-04</w:t>
                  </w:r>
                </w:p>
              </w:tc>
            </w:tr>
          </w:tbl>
          <w:p w14:paraId="5E373125">
            <w:pPr>
              <w:keepNext w:val="0"/>
              <w:keepLines w:val="0"/>
              <w:suppressLineNumbers w:val="0"/>
              <w:spacing w:before="0" w:beforeAutospacing="0" w:after="0" w:afterAutospacing="0"/>
              <w:ind w:left="0" w:right="0" w:firstLine="180" w:firstLineChars="100"/>
              <w:jc w:val="both"/>
              <w:rPr>
                <w:rFonts w:hint="default" w:ascii="Times New Roman" w:hAnsi="Times New Roman" w:eastAsia="宋体" w:cs="Times New Roman"/>
                <w:b w:val="0"/>
                <w:bCs/>
                <w:color w:val="auto"/>
                <w:sz w:val="18"/>
                <w:szCs w:val="16"/>
                <w:highlight w:val="none"/>
                <w:lang w:val="en-US" w:eastAsia="zh-CN"/>
              </w:rPr>
            </w:pPr>
            <w:r>
              <w:rPr>
                <w:rFonts w:hint="default" w:ascii="Times New Roman" w:hAnsi="Times New Roman" w:eastAsia="宋体" w:cs="Times New Roman"/>
                <w:b w:val="0"/>
                <w:bCs/>
                <w:color w:val="auto"/>
                <w:sz w:val="18"/>
                <w:szCs w:val="16"/>
                <w:highlight w:val="none"/>
                <w:lang w:val="en-US" w:eastAsia="zh-CN"/>
              </w:rPr>
              <w:t>注：SPECT诊断区</w:t>
            </w:r>
            <w:r>
              <w:rPr>
                <w:rFonts w:hint="eastAsia" w:cs="Times New Roman"/>
                <w:b w:val="0"/>
                <w:bCs/>
                <w:color w:val="auto"/>
                <w:sz w:val="18"/>
                <w:szCs w:val="16"/>
                <w:highlight w:val="none"/>
                <w:lang w:val="en-US" w:eastAsia="zh-CN"/>
              </w:rPr>
              <w:t>位于一层</w:t>
            </w:r>
            <w:r>
              <w:rPr>
                <w:rFonts w:hint="default" w:ascii="Times New Roman" w:hAnsi="Times New Roman" w:eastAsia="宋体" w:cs="Times New Roman"/>
                <w:b w:val="0"/>
                <w:bCs/>
                <w:color w:val="auto"/>
                <w:sz w:val="18"/>
                <w:szCs w:val="16"/>
                <w:highlight w:val="none"/>
                <w:lang w:val="en-US" w:eastAsia="zh-CN"/>
              </w:rPr>
              <w:t>，公众部分居留，居留因子取1/</w:t>
            </w:r>
            <w:r>
              <w:rPr>
                <w:rFonts w:hint="eastAsia" w:cs="Times New Roman"/>
                <w:b w:val="0"/>
                <w:bCs/>
                <w:color w:val="auto"/>
                <w:sz w:val="18"/>
                <w:szCs w:val="16"/>
                <w:highlight w:val="none"/>
                <w:lang w:val="en-US" w:eastAsia="zh-CN"/>
              </w:rPr>
              <w:t>4</w:t>
            </w:r>
            <w:r>
              <w:rPr>
                <w:rFonts w:hint="default" w:ascii="Times New Roman" w:hAnsi="Times New Roman" w:eastAsia="宋体" w:cs="Times New Roman"/>
                <w:b w:val="0"/>
                <w:bCs/>
                <w:color w:val="auto"/>
                <w:sz w:val="18"/>
                <w:szCs w:val="16"/>
                <w:highlight w:val="none"/>
                <w:lang w:val="en-US" w:eastAsia="zh-CN"/>
              </w:rPr>
              <w:t>。</w:t>
            </w:r>
          </w:p>
          <w:p w14:paraId="0D43C26C">
            <w:pPr>
              <w:keepNext w:val="0"/>
              <w:keepLines w:val="0"/>
              <w:suppressLineNumbers w:val="0"/>
              <w:spacing w:before="0" w:beforeAutospacing="0" w:after="0" w:afterAutospacing="0"/>
              <w:ind w:left="0" w:right="0"/>
              <w:jc w:val="both"/>
              <w:rPr>
                <w:rFonts w:hint="default" w:ascii="Times New Roman" w:hAnsi="Times New Roman" w:eastAsia="宋体" w:cs="Times New Roman"/>
                <w:b/>
                <w:color w:val="auto"/>
                <w:sz w:val="24"/>
                <w:szCs w:val="22"/>
                <w:highlight w:val="none"/>
                <w:lang w:val="en-US" w:eastAsia="zh-CN"/>
              </w:rPr>
            </w:pPr>
          </w:p>
          <w:p w14:paraId="00AFA095">
            <w:pPr>
              <w:keepNext w:val="0"/>
              <w:keepLines w:val="0"/>
              <w:suppressLineNumbers w:val="0"/>
              <w:spacing w:before="0" w:beforeAutospacing="0" w:after="0" w:afterAutospacing="0"/>
              <w:ind w:left="0" w:right="0"/>
              <w:jc w:val="center"/>
              <w:rPr>
                <w:rFonts w:hint="eastAsia" w:ascii="Times New Roman" w:hAnsi="Times New Roman" w:eastAsia="宋体" w:cs="Times New Roman"/>
                <w:b/>
                <w:color w:val="auto"/>
                <w:sz w:val="24"/>
                <w:szCs w:val="22"/>
                <w:highlight w:val="none"/>
                <w:lang w:val="en-US" w:eastAsia="zh-CN" w:bidi="ar-SA"/>
              </w:rPr>
            </w:pPr>
            <w:r>
              <w:rPr>
                <w:rFonts w:hint="default" w:ascii="Times New Roman" w:hAnsi="Times New Roman" w:eastAsia="宋体" w:cs="Times New Roman"/>
                <w:b/>
                <w:color w:val="auto"/>
                <w:sz w:val="24"/>
                <w:szCs w:val="22"/>
                <w:highlight w:val="none"/>
                <w:lang w:val="en-US" w:eastAsia="zh-CN" w:bidi="ar-SA"/>
              </w:rPr>
              <w:t>表11-</w:t>
            </w:r>
            <w:r>
              <w:rPr>
                <w:rFonts w:hint="eastAsia" w:cs="Times New Roman"/>
                <w:b/>
                <w:color w:val="auto"/>
                <w:sz w:val="24"/>
                <w:szCs w:val="22"/>
                <w:highlight w:val="none"/>
                <w:lang w:val="en-US" w:eastAsia="zh-CN" w:bidi="ar-SA"/>
              </w:rPr>
              <w:t>17</w:t>
            </w:r>
            <w:r>
              <w:rPr>
                <w:rFonts w:hint="default" w:ascii="Times New Roman" w:hAnsi="Times New Roman" w:eastAsia="宋体" w:cs="Times New Roman"/>
                <w:b/>
                <w:color w:val="auto"/>
                <w:sz w:val="24"/>
                <w:szCs w:val="22"/>
                <w:highlight w:val="none"/>
                <w:lang w:val="en-US" w:eastAsia="zh-CN" w:bidi="ar-SA"/>
              </w:rPr>
              <w:t xml:space="preserve">  一层SPECT诊断区公众人员受照射剂量预测结果</w:t>
            </w:r>
            <w:r>
              <w:rPr>
                <w:rFonts w:hint="eastAsia" w:ascii="Times New Roman" w:hAnsi="Times New Roman" w:eastAsia="宋体" w:cs="Times New Roman"/>
                <w:b/>
                <w:color w:val="auto"/>
                <w:sz w:val="24"/>
                <w:szCs w:val="22"/>
                <w:highlight w:val="none"/>
                <w:lang w:val="en-US" w:eastAsia="zh-CN" w:bidi="ar-SA"/>
              </w:rPr>
              <w:t>（使用I-131）</w:t>
            </w:r>
          </w:p>
          <w:tbl>
            <w:tblPr>
              <w:tblStyle w:val="22"/>
              <w:tblW w:w="927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4"/>
              <w:gridCol w:w="1800"/>
              <w:gridCol w:w="1320"/>
              <w:gridCol w:w="1476"/>
              <w:gridCol w:w="1257"/>
              <w:gridCol w:w="895"/>
              <w:gridCol w:w="1445"/>
            </w:tblGrid>
            <w:tr w14:paraId="24F5B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exact"/>
              </w:trPr>
              <w:tc>
                <w:tcPr>
                  <w:tcW w:w="1084" w:type="dxa"/>
                  <w:tcBorders>
                    <w:top w:val="single" w:color="000000" w:sz="12" w:space="0"/>
                    <w:left w:val="single" w:color="000000" w:sz="12" w:space="0"/>
                    <w:bottom w:val="single" w:color="000000" w:sz="4" w:space="0"/>
                    <w:right w:val="single" w:color="000000" w:sz="4" w:space="0"/>
                  </w:tcBorders>
                  <w:shd w:val="clear" w:color="auto" w:fill="auto"/>
                  <w:vAlign w:val="center"/>
                </w:tcPr>
                <w:p w14:paraId="5B78843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目标点位</w:t>
                  </w:r>
                </w:p>
              </w:tc>
              <w:tc>
                <w:tcPr>
                  <w:tcW w:w="1800"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624A798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与机房关系</w:t>
                  </w:r>
                </w:p>
              </w:tc>
              <w:tc>
                <w:tcPr>
                  <w:tcW w:w="1320"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06EFBE8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照射类型</w:t>
                  </w:r>
                </w:p>
              </w:tc>
              <w:tc>
                <w:tcPr>
                  <w:tcW w:w="1476"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1643EC4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剂量率(μSv/h)</w:t>
                  </w:r>
                </w:p>
              </w:tc>
              <w:tc>
                <w:tcPr>
                  <w:tcW w:w="1257"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3693156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年受照时间，h</w:t>
                  </w:r>
                </w:p>
              </w:tc>
              <w:tc>
                <w:tcPr>
                  <w:tcW w:w="895"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7E232D9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居留因子</w:t>
                  </w:r>
                </w:p>
              </w:tc>
              <w:tc>
                <w:tcPr>
                  <w:tcW w:w="1445"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14013D0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年有效剂量mSv/a</w:t>
                  </w:r>
                </w:p>
              </w:tc>
            </w:tr>
            <w:tr w14:paraId="09E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927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40AE134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一层SPECT诊断区抢救室</w:t>
                  </w:r>
                </w:p>
              </w:tc>
            </w:tr>
            <w:tr w14:paraId="0D1DB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1CC35C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5CD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北墙外30cm处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D3B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67B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8.17E-02</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CA2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402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B99462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1.28E-02</w:t>
                  </w:r>
                </w:p>
              </w:tc>
            </w:tr>
            <w:tr w14:paraId="11D56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4BF71B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59A7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东墙外30cm处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BF9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A75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3.40E-01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8A44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70B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2CF930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5.31E-02</w:t>
                  </w:r>
                </w:p>
              </w:tc>
            </w:tr>
            <w:tr w14:paraId="2FEEB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4E65BA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3F3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南墙外30cm处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AB2D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B47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1.76E-01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AA95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27F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2BA80D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2.75E-02</w:t>
                  </w:r>
                </w:p>
              </w:tc>
            </w:tr>
            <w:tr w14:paraId="3DFDC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5EE3D4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789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西墙外30cm处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9C8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7A3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3.40E-01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066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577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0E1B2D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5.31E-02</w:t>
                  </w:r>
                </w:p>
              </w:tc>
            </w:tr>
            <w:tr w14:paraId="2063D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1F9AF3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A59C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150D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ED0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7.57E-03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447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6D0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924615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1.18E-03</w:t>
                  </w:r>
                </w:p>
              </w:tc>
            </w:tr>
            <w:tr w14:paraId="6CF2E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E8E511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394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882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7FAE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8.21E-03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1D98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D27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06DCE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1.28E-03</w:t>
                  </w:r>
                </w:p>
              </w:tc>
            </w:tr>
            <w:tr w14:paraId="53234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036AEB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838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CBC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344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9.40E-01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912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9EB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4530C8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1.47E-01</w:t>
                  </w:r>
                </w:p>
              </w:tc>
            </w:tr>
            <w:tr w14:paraId="7B348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927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28118F9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一层SPECT诊断区注射后休息室</w:t>
                  </w:r>
                </w:p>
              </w:tc>
            </w:tr>
            <w:tr w14:paraId="010E0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755EC2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739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北墙外30cm处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0573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387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8.17E-02</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559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6C3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B7EE54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1.28E-02</w:t>
                  </w:r>
                </w:p>
              </w:tc>
            </w:tr>
            <w:tr w14:paraId="597C3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54AF69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C5E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东墙外30cm处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66E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907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3.92E-02</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6FC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F01F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52FD5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6.13E-03</w:t>
                  </w:r>
                </w:p>
              </w:tc>
            </w:tr>
            <w:tr w14:paraId="0752C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DCDF5F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E40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南墙外30cm处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401A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4F9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1.76E-01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67D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584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FB2D0F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2.75E-02</w:t>
                  </w:r>
                </w:p>
              </w:tc>
            </w:tr>
            <w:tr w14:paraId="27B16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6C2BA4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9474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西墙外30cm处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E37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0E1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3.92E-02</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94D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A5B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8224D2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6.13E-03</w:t>
                  </w:r>
                </w:p>
              </w:tc>
            </w:tr>
            <w:tr w14:paraId="510AA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D3755C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68FB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2F6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578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7.57E-03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AA7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B4B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59FF9A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1.18E-03</w:t>
                  </w:r>
                </w:p>
              </w:tc>
            </w:tr>
            <w:tr w14:paraId="5E9AF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72D03B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13</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A8A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D275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7C2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8.21E-03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C70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F34D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AAEEE7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1.28E-03</w:t>
                  </w:r>
                </w:p>
              </w:tc>
            </w:tr>
            <w:tr w14:paraId="69159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8AF7CD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D9D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9FCE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3B2B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9.40E-01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8D9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A007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B3CAF6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1.47E-01</w:t>
                  </w:r>
                </w:p>
              </w:tc>
            </w:tr>
            <w:tr w14:paraId="30B22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927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2A2EB33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一层SPECT诊断区留观室</w:t>
                  </w:r>
                </w:p>
              </w:tc>
            </w:tr>
            <w:tr w14:paraId="47AD6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4BE26E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2E4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北墙外30cm处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F9CC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D3B2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7.01E-02</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3B1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672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8F0014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1.10E-02</w:t>
                  </w:r>
                </w:p>
              </w:tc>
            </w:tr>
            <w:tr w14:paraId="02C61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13EACD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16</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239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东墙外30cm处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4E7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9E0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2.08E-01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90A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386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0D690D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3.25E-02</w:t>
                  </w:r>
                </w:p>
              </w:tc>
            </w:tr>
            <w:tr w14:paraId="59179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0BEE6A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17</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BDF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北墙外30cm处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233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B4B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1.51E-01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AC1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380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5792F5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2.36E-02</w:t>
                  </w:r>
                </w:p>
              </w:tc>
            </w:tr>
            <w:tr w14:paraId="0C86F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E4E9CD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18</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7A2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西墙外30cm处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8A20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042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2.08E-01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BEB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1F1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C4CB04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3.25E-02</w:t>
                  </w:r>
                </w:p>
              </w:tc>
            </w:tr>
            <w:tr w14:paraId="40E67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94B9D7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19</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1B7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077A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543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7.57E-03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C16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D178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676F8F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1.18E-03</w:t>
                  </w:r>
                </w:p>
              </w:tc>
            </w:tr>
            <w:tr w14:paraId="31682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3FA17E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8D2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8B9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9B98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8.21E-03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CEA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6BB6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840255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1.28E-03</w:t>
                  </w:r>
                </w:p>
              </w:tc>
            </w:tr>
            <w:tr w14:paraId="11EF3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AED4A2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4B1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BA5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4DC8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8.06E-01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8983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935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1/4</w:t>
                  </w:r>
                  <w:r>
                    <w:rPr>
                      <w:rFonts w:hint="eastAsia" w:ascii="Times New Roman" w:hAnsi="Times New Roman" w:eastAsia="宋体" w:cs="Times New Roman"/>
                      <w:i w:val="0"/>
                      <w:iCs w:val="0"/>
                      <w:color w:val="auto"/>
                      <w:kern w:val="0"/>
                      <w:sz w:val="16"/>
                      <w:szCs w:val="16"/>
                      <w:highlight w:val="none"/>
                      <w:u w:val="none"/>
                      <w:lang w:val="en-US" w:eastAsia="zh-CN" w:bidi="ar"/>
                    </w:rPr>
                    <w:t xml:space="preserve"> </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24FD28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1.26E-01</w:t>
                  </w:r>
                </w:p>
              </w:tc>
            </w:tr>
            <w:tr w14:paraId="79BC7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9277" w:type="dxa"/>
                  <w:gridSpan w:val="7"/>
                  <w:tcBorders>
                    <w:top w:val="single" w:color="000000" w:sz="4" w:space="0"/>
                    <w:left w:val="single" w:color="000000" w:sz="12" w:space="0"/>
                    <w:bottom w:val="single" w:color="000000" w:sz="4" w:space="0"/>
                    <w:right w:val="single" w:color="000000" w:sz="12" w:space="0"/>
                  </w:tcBorders>
                  <w:shd w:val="clear" w:color="auto" w:fill="auto"/>
                  <w:noWrap/>
                  <w:vAlign w:val="center"/>
                </w:tcPr>
                <w:p w14:paraId="2A98C43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一层SPECT诊断区储源室</w:t>
                  </w:r>
                </w:p>
              </w:tc>
            </w:tr>
            <w:tr w14:paraId="1BB74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C630DD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7A5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西墙外30cm处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A7D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D2C4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9.10E-01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C31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20D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F2B420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1.42E-01</w:t>
                  </w:r>
                </w:p>
              </w:tc>
            </w:tr>
            <w:tr w14:paraId="232BA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161988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23</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79F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DFC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E456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7.57E-03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867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CB7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6550A5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1.18E-03</w:t>
                  </w:r>
                </w:p>
              </w:tc>
            </w:tr>
            <w:tr w14:paraId="4909D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C666CA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24</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4BD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6EF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203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8.21E-03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5FD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D3B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517A4D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1.28E-03</w:t>
                  </w:r>
                </w:p>
              </w:tc>
            </w:tr>
            <w:tr w14:paraId="66C83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D0EB3F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E12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95EF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9E3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1.02E+00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615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D0D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019831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1.59E-01</w:t>
                  </w:r>
                </w:p>
              </w:tc>
            </w:tr>
            <w:tr w14:paraId="0689D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927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086FD31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一层SPECT诊断区注射室</w:t>
                  </w:r>
                </w:p>
              </w:tc>
            </w:tr>
            <w:tr w14:paraId="12916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EDE88A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26</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552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F01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005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4.89E-01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042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F85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1D4865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7.64E-02</w:t>
                  </w:r>
                </w:p>
              </w:tc>
            </w:tr>
            <w:tr w14:paraId="6FC61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C2ECE5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27</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0FD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E7B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D9BE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2.03E+00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93D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CC4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0ACA4C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3.17E-01</w:t>
                  </w:r>
                </w:p>
              </w:tc>
            </w:tr>
            <w:tr w14:paraId="4B053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754CA2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28</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B3B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4C0A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FF92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7.57E-03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B5F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5C3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70FCC5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1.18E-03</w:t>
                  </w:r>
                </w:p>
              </w:tc>
            </w:tr>
            <w:tr w14:paraId="3EE0B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4A14F4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29</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424F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8FF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1C30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8.21E-03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6680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8139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F98C4B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1.28E-03</w:t>
                  </w:r>
                </w:p>
              </w:tc>
            </w:tr>
            <w:tr w14:paraId="32E5A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CF0BAF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B998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注射窗</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345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D05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2.03E+00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DDA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ED5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1C992F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3.17E-01</w:t>
                  </w:r>
                </w:p>
              </w:tc>
            </w:tr>
            <w:tr w14:paraId="18C81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927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5CBB765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一层SPECT诊断区注射准备室</w:t>
                  </w:r>
                </w:p>
              </w:tc>
            </w:tr>
            <w:tr w14:paraId="0D5C1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05D00E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C806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四周墙体</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AF92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629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3.40E-01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787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3C38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6E6351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5.31E-02</w:t>
                  </w:r>
                </w:p>
              </w:tc>
            </w:tr>
            <w:tr w14:paraId="6214A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C02461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EDF0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DE5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F36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7.57E-03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911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721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2FB209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1.18E-03</w:t>
                  </w:r>
                </w:p>
              </w:tc>
            </w:tr>
            <w:tr w14:paraId="3DBA3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BE917D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33</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2C4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0FC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5DBA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8.21E-03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B9D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7D0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4EBA1A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1.28E-03</w:t>
                  </w:r>
                </w:p>
              </w:tc>
            </w:tr>
            <w:tr w14:paraId="5B8D2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8D47E8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34</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76E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83C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746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1.81E+00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AC18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03E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09FFF9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2.83E-01</w:t>
                  </w:r>
                </w:p>
              </w:tc>
            </w:tr>
            <w:tr w14:paraId="4CAF2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927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0BD752C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一层SPECT诊断区放废库</w:t>
                  </w:r>
                </w:p>
              </w:tc>
            </w:tr>
            <w:tr w14:paraId="770DE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90C239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35</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9AB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四周墙体</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CE8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79D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4.30E-01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7B2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B0F1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036B60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6.72E-02</w:t>
                  </w:r>
                </w:p>
              </w:tc>
            </w:tr>
            <w:tr w14:paraId="2C8B0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AB776B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36</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80E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63F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6156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7.57E-03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D45D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9162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0423EE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1.18E-03</w:t>
                  </w:r>
                </w:p>
              </w:tc>
            </w:tr>
            <w:tr w14:paraId="0F64C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50EAD7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37</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1C0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7DF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E45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8.21E-03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C422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B6B6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F73B47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1.28E-03</w:t>
                  </w:r>
                </w:p>
              </w:tc>
            </w:tr>
            <w:tr w14:paraId="29E5B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02BA8F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38</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9E0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DA4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197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2.29E+00</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202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49B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F3F93D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3.58E-01</w:t>
                  </w:r>
                </w:p>
              </w:tc>
            </w:tr>
            <w:tr w14:paraId="3666A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927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0C4C1D2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一层SPECT诊断区SPECT-CT机房</w:t>
                  </w:r>
                </w:p>
              </w:tc>
            </w:tr>
            <w:tr w14:paraId="58BAB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3C26F8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39</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B0D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四周墙体</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E1F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8A6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3.09E-02</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EDD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FBF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30958A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4.83E-03</w:t>
                  </w:r>
                </w:p>
              </w:tc>
            </w:tr>
            <w:tr w14:paraId="2C512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0A7B11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475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F86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9784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7.57E-03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7FDD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39F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C848A9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1.18E-03</w:t>
                  </w:r>
                </w:p>
              </w:tc>
            </w:tr>
            <w:tr w14:paraId="27DB0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BBC555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3CC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F3A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8D0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8.21E-03</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A0EB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F66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D6816F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1.28E-03</w:t>
                  </w:r>
                </w:p>
              </w:tc>
            </w:tr>
            <w:tr w14:paraId="697E5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776110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3F88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8E5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FDFF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3.67E-01</w:t>
                  </w: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FD4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0BD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6C6B47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5.73E-02</w:t>
                  </w:r>
                </w:p>
              </w:tc>
            </w:tr>
            <w:tr w14:paraId="2B059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trPr>
              <w:tc>
                <w:tcPr>
                  <w:tcW w:w="1084" w:type="dxa"/>
                  <w:tcBorders>
                    <w:top w:val="single" w:color="000000" w:sz="4" w:space="0"/>
                    <w:left w:val="single" w:color="000000" w:sz="12" w:space="0"/>
                    <w:bottom w:val="single" w:color="000000" w:sz="12" w:space="0"/>
                    <w:right w:val="single" w:color="000000" w:sz="4" w:space="0"/>
                  </w:tcBorders>
                  <w:shd w:val="clear" w:color="auto" w:fill="auto"/>
                  <w:vAlign w:val="center"/>
                </w:tcPr>
                <w:p w14:paraId="553C875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43</w:t>
                  </w:r>
                </w:p>
              </w:tc>
              <w:tc>
                <w:tcPr>
                  <w:tcW w:w="1800"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6868240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观察窗</w:t>
                  </w:r>
                </w:p>
              </w:tc>
              <w:tc>
                <w:tcPr>
                  <w:tcW w:w="1320"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5F7CF58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76"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55992FD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5.74E-01</w:t>
                  </w:r>
                </w:p>
              </w:tc>
              <w:tc>
                <w:tcPr>
                  <w:tcW w:w="1257"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4E35915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625</w:t>
                  </w:r>
                </w:p>
              </w:tc>
              <w:tc>
                <w:tcPr>
                  <w:tcW w:w="895"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568006D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1/4</w:t>
                  </w:r>
                </w:p>
              </w:tc>
              <w:tc>
                <w:tcPr>
                  <w:tcW w:w="1445" w:type="dxa"/>
                  <w:tcBorders>
                    <w:top w:val="single" w:color="000000" w:sz="4" w:space="0"/>
                    <w:left w:val="single" w:color="000000" w:sz="4" w:space="0"/>
                    <w:bottom w:val="single" w:color="000000" w:sz="12" w:space="0"/>
                    <w:right w:val="single" w:color="000000" w:sz="12" w:space="0"/>
                  </w:tcBorders>
                  <w:shd w:val="clear" w:color="auto" w:fill="auto"/>
                  <w:vAlign w:val="center"/>
                </w:tcPr>
                <w:p w14:paraId="3C9F9E5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8.97E-02</w:t>
                  </w:r>
                </w:p>
              </w:tc>
            </w:tr>
          </w:tbl>
          <w:p w14:paraId="04296A14">
            <w:pPr>
              <w:keepNext w:val="0"/>
              <w:keepLines w:val="0"/>
              <w:suppressLineNumbers w:val="0"/>
              <w:spacing w:before="0" w:beforeAutospacing="0" w:after="0" w:afterAutospacing="0"/>
              <w:ind w:left="0" w:right="0"/>
              <w:jc w:val="both"/>
              <w:rPr>
                <w:rFonts w:hint="default" w:ascii="Times New Roman" w:hAnsi="Times New Roman" w:eastAsia="宋体" w:cs="Times New Roman"/>
                <w:b/>
                <w:color w:val="auto"/>
                <w:sz w:val="24"/>
                <w:szCs w:val="22"/>
                <w:highlight w:val="none"/>
                <w:lang w:val="en-US" w:eastAsia="zh-CN"/>
              </w:rPr>
            </w:pPr>
          </w:p>
          <w:p w14:paraId="32AF07A5">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4"/>
                <w:szCs w:val="22"/>
                <w:highlight w:val="none"/>
                <w:lang w:val="en-US" w:eastAsia="zh-CN"/>
              </w:rPr>
            </w:pPr>
            <w:r>
              <w:rPr>
                <w:rFonts w:hint="default" w:ascii="Times New Roman" w:hAnsi="Times New Roman" w:eastAsia="宋体" w:cs="Times New Roman"/>
                <w:b/>
                <w:color w:val="auto"/>
                <w:sz w:val="24"/>
                <w:szCs w:val="22"/>
                <w:highlight w:val="none"/>
                <w:lang w:val="en-US" w:eastAsia="zh-CN"/>
              </w:rPr>
              <w:t>表11-</w:t>
            </w:r>
            <w:r>
              <w:rPr>
                <w:rFonts w:hint="eastAsia" w:cs="Times New Roman"/>
                <w:b/>
                <w:color w:val="auto"/>
                <w:sz w:val="24"/>
                <w:szCs w:val="22"/>
                <w:highlight w:val="none"/>
                <w:lang w:val="en-US" w:eastAsia="zh-CN"/>
              </w:rPr>
              <w:t>18</w:t>
            </w:r>
            <w:r>
              <w:rPr>
                <w:rFonts w:hint="default" w:ascii="Times New Roman" w:hAnsi="Times New Roman" w:eastAsia="宋体" w:cs="Times New Roman"/>
                <w:b/>
                <w:color w:val="auto"/>
                <w:sz w:val="24"/>
                <w:szCs w:val="22"/>
                <w:highlight w:val="none"/>
                <w:lang w:val="en-US" w:eastAsia="zh-CN"/>
              </w:rPr>
              <w:t xml:space="preserve">  二层PET诊断区公众人员受照射剂量预测结果（使用</w:t>
            </w:r>
            <w:r>
              <w:rPr>
                <w:rFonts w:hint="eastAsia" w:cs="Times New Roman"/>
                <w:b/>
                <w:color w:val="auto"/>
                <w:sz w:val="24"/>
                <w:szCs w:val="22"/>
                <w:highlight w:val="none"/>
                <w:lang w:val="en-US" w:eastAsia="zh-CN"/>
              </w:rPr>
              <w:t>F-18</w:t>
            </w:r>
            <w:r>
              <w:rPr>
                <w:rFonts w:hint="default" w:ascii="Times New Roman" w:hAnsi="Times New Roman" w:eastAsia="宋体" w:cs="Times New Roman"/>
                <w:b/>
                <w:color w:val="auto"/>
                <w:sz w:val="24"/>
                <w:szCs w:val="22"/>
                <w:highlight w:val="none"/>
                <w:lang w:val="en-US" w:eastAsia="zh-CN"/>
              </w:rPr>
              <w:t>）</w:t>
            </w:r>
          </w:p>
          <w:tbl>
            <w:tblPr>
              <w:tblStyle w:val="22"/>
              <w:tblW w:w="94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7"/>
              <w:gridCol w:w="1964"/>
              <w:gridCol w:w="942"/>
              <w:gridCol w:w="1866"/>
              <w:gridCol w:w="1486"/>
              <w:gridCol w:w="939"/>
              <w:gridCol w:w="1653"/>
            </w:tblGrid>
            <w:tr w14:paraId="683AD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jc w:val="center"/>
              </w:trPr>
              <w:tc>
                <w:tcPr>
                  <w:tcW w:w="647" w:type="dxa"/>
                  <w:tcBorders>
                    <w:top w:val="single" w:color="000000" w:sz="12" w:space="0"/>
                    <w:left w:val="single" w:color="000000" w:sz="12" w:space="0"/>
                    <w:bottom w:val="single" w:color="000000" w:sz="4" w:space="0"/>
                    <w:right w:val="single" w:color="000000" w:sz="4" w:space="0"/>
                  </w:tcBorders>
                  <w:shd w:val="clear" w:color="auto" w:fill="auto"/>
                  <w:vAlign w:val="center"/>
                </w:tcPr>
                <w:p w14:paraId="4311AB8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目标点位</w:t>
                  </w:r>
                </w:p>
              </w:tc>
              <w:tc>
                <w:tcPr>
                  <w:tcW w:w="1964"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74D28F1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与机房关系</w:t>
                  </w:r>
                </w:p>
              </w:tc>
              <w:tc>
                <w:tcPr>
                  <w:tcW w:w="942"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14:paraId="25C6751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照射类型</w:t>
                  </w:r>
                </w:p>
              </w:tc>
              <w:tc>
                <w:tcPr>
                  <w:tcW w:w="1866" w:type="dxa"/>
                  <w:tcBorders>
                    <w:top w:val="single" w:color="000000" w:sz="12" w:space="0"/>
                    <w:left w:val="single" w:color="000000" w:sz="4" w:space="0"/>
                    <w:bottom w:val="single" w:color="000000" w:sz="4" w:space="0"/>
                    <w:right w:val="single" w:color="000000" w:sz="4" w:space="0"/>
                  </w:tcBorders>
                  <w:shd w:val="clear" w:color="auto" w:fill="auto"/>
                  <w:noWrap/>
                  <w:vAlign w:val="center"/>
                </w:tcPr>
                <w:p w14:paraId="55BBCBE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剂量率(μSv/h)</w:t>
                  </w:r>
                </w:p>
              </w:tc>
              <w:tc>
                <w:tcPr>
                  <w:tcW w:w="1486"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1E9AC6D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年受照时间，h</w:t>
                  </w:r>
                </w:p>
              </w:tc>
              <w:tc>
                <w:tcPr>
                  <w:tcW w:w="939" w:type="dxa"/>
                  <w:tcBorders>
                    <w:top w:val="single" w:color="000000" w:sz="12" w:space="0"/>
                    <w:left w:val="single" w:color="000000" w:sz="4" w:space="0"/>
                    <w:bottom w:val="single" w:color="000000" w:sz="4" w:space="0"/>
                    <w:right w:val="single" w:color="000000" w:sz="4" w:space="0"/>
                  </w:tcBorders>
                  <w:shd w:val="clear" w:color="auto" w:fill="auto"/>
                  <w:vAlign w:val="center"/>
                </w:tcPr>
                <w:p w14:paraId="411421C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居留因子</w:t>
                  </w:r>
                </w:p>
              </w:tc>
              <w:tc>
                <w:tcPr>
                  <w:tcW w:w="1653" w:type="dxa"/>
                  <w:tcBorders>
                    <w:top w:val="single" w:color="000000" w:sz="12" w:space="0"/>
                    <w:left w:val="single" w:color="000000" w:sz="4" w:space="0"/>
                    <w:bottom w:val="single" w:color="000000" w:sz="4" w:space="0"/>
                    <w:right w:val="single" w:color="000000" w:sz="12" w:space="0"/>
                  </w:tcBorders>
                  <w:shd w:val="clear" w:color="auto" w:fill="auto"/>
                  <w:vAlign w:val="center"/>
                </w:tcPr>
                <w:p w14:paraId="7636F6B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年有效剂量mSv/a</w:t>
                  </w:r>
                </w:p>
              </w:tc>
            </w:tr>
            <w:tr w14:paraId="1A9E3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949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62465E5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二层</w:t>
                  </w:r>
                  <w:r>
                    <w:rPr>
                      <w:rFonts w:hint="default" w:ascii="Times New Roman" w:hAnsi="Times New Roman" w:eastAsia="宋体" w:cs="Times New Roman"/>
                      <w:i w:val="0"/>
                      <w:iCs w:val="0"/>
                      <w:color w:val="auto"/>
                      <w:kern w:val="0"/>
                      <w:sz w:val="16"/>
                      <w:szCs w:val="16"/>
                      <w:highlight w:val="none"/>
                      <w:u w:val="none"/>
                      <w:lang w:val="en-US" w:eastAsia="zh-CN" w:bidi="ar"/>
                    </w:rPr>
                    <w:t>PET</w:t>
                  </w:r>
                  <w:r>
                    <w:rPr>
                      <w:rFonts w:hint="eastAsia" w:ascii="Times New Roman" w:hAnsi="Times New Roman" w:eastAsia="宋体" w:cs="Times New Roman"/>
                      <w:i w:val="0"/>
                      <w:iCs w:val="0"/>
                      <w:color w:val="auto"/>
                      <w:kern w:val="0"/>
                      <w:sz w:val="16"/>
                      <w:szCs w:val="16"/>
                      <w:highlight w:val="none"/>
                      <w:u w:val="none"/>
                      <w:lang w:val="en-US" w:eastAsia="zh-CN" w:bidi="ar"/>
                    </w:rPr>
                    <w:t>诊断区抢救室</w:t>
                  </w:r>
                </w:p>
              </w:tc>
            </w:tr>
            <w:tr w14:paraId="38BAD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92FC05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44</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FED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5DDA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2408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2.45E+00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79BA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37D0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292AA6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4.79E-02</w:t>
                  </w:r>
                </w:p>
              </w:tc>
            </w:tr>
            <w:tr w14:paraId="46BC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727C50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45</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A39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DAB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799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7405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2223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B19686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1.64E-03</w:t>
                  </w:r>
                </w:p>
              </w:tc>
            </w:tr>
            <w:tr w14:paraId="590DD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CBF431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46</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8EDB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F82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D5A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FB4A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D9C8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DF9C9E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1.77E-03</w:t>
                  </w:r>
                </w:p>
              </w:tc>
            </w:tr>
            <w:tr w14:paraId="5858D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008B7C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47</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78B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57C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D261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2.16E+00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21B5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A3BA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573A9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4.22E-02</w:t>
                  </w:r>
                </w:p>
              </w:tc>
            </w:tr>
            <w:tr w14:paraId="62CC3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96DDFA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48</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BC6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DE2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AFA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7.84E-01</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33CE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3E80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C7A76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1.53E-02</w:t>
                  </w:r>
                </w:p>
              </w:tc>
            </w:tr>
            <w:tr w14:paraId="0BF2C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9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0CEB301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二层</w:t>
                  </w:r>
                  <w:r>
                    <w:rPr>
                      <w:rFonts w:hint="default" w:ascii="Times New Roman" w:hAnsi="Times New Roman" w:eastAsia="宋体" w:cs="Times New Roman"/>
                      <w:i w:val="0"/>
                      <w:iCs w:val="0"/>
                      <w:color w:val="auto"/>
                      <w:kern w:val="0"/>
                      <w:sz w:val="16"/>
                      <w:szCs w:val="16"/>
                      <w:highlight w:val="none"/>
                      <w:u w:val="none"/>
                      <w:lang w:val="en-US" w:eastAsia="zh-CN" w:bidi="ar"/>
                    </w:rPr>
                    <w:t>PET</w:t>
                  </w:r>
                  <w:r>
                    <w:rPr>
                      <w:rFonts w:hint="eastAsia" w:ascii="Times New Roman" w:hAnsi="Times New Roman" w:eastAsia="宋体" w:cs="Times New Roman"/>
                      <w:i w:val="0"/>
                      <w:iCs w:val="0"/>
                      <w:color w:val="auto"/>
                      <w:kern w:val="0"/>
                      <w:sz w:val="16"/>
                      <w:szCs w:val="16"/>
                      <w:highlight w:val="none"/>
                      <w:u w:val="none"/>
                      <w:lang w:val="en-US" w:eastAsia="zh-CN" w:bidi="ar"/>
                    </w:rPr>
                    <w:t>诊断区注射后休息室</w:t>
                  </w:r>
                </w:p>
              </w:tc>
            </w:tr>
            <w:tr w14:paraId="21322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B9904A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49</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38C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F95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EB71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4042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CE2D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60838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1.64E-03</w:t>
                  </w:r>
                </w:p>
              </w:tc>
            </w:tr>
            <w:tr w14:paraId="6F2A8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EC5C70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50</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CD5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705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564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B0F4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5CA5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E7328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1.77E-03</w:t>
                  </w:r>
                </w:p>
              </w:tc>
            </w:tr>
            <w:tr w14:paraId="17ACC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F99A95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51</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1FC6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2EAB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BB4A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1.50E+00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4DB6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2C9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EBF64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2.93E-02</w:t>
                  </w:r>
                </w:p>
              </w:tc>
            </w:tr>
            <w:tr w14:paraId="5649F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9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1F22391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二层</w:t>
                  </w:r>
                  <w:r>
                    <w:rPr>
                      <w:rFonts w:hint="default" w:ascii="Times New Roman" w:hAnsi="Times New Roman" w:eastAsia="宋体" w:cs="Times New Roman"/>
                      <w:i w:val="0"/>
                      <w:iCs w:val="0"/>
                      <w:color w:val="auto"/>
                      <w:kern w:val="0"/>
                      <w:sz w:val="16"/>
                      <w:szCs w:val="16"/>
                      <w:highlight w:val="none"/>
                      <w:u w:val="none"/>
                      <w:lang w:val="en-US" w:eastAsia="zh-CN" w:bidi="ar"/>
                    </w:rPr>
                    <w:t>PET</w:t>
                  </w:r>
                  <w:r>
                    <w:rPr>
                      <w:rFonts w:hint="eastAsia" w:ascii="Times New Roman" w:hAnsi="Times New Roman" w:eastAsia="宋体" w:cs="Times New Roman"/>
                      <w:i w:val="0"/>
                      <w:iCs w:val="0"/>
                      <w:color w:val="auto"/>
                      <w:kern w:val="0"/>
                      <w:sz w:val="16"/>
                      <w:szCs w:val="16"/>
                      <w:highlight w:val="none"/>
                      <w:u w:val="none"/>
                      <w:lang w:val="en-US" w:eastAsia="zh-CN" w:bidi="ar"/>
                    </w:rPr>
                    <w:t>诊断区储源室</w:t>
                  </w:r>
                </w:p>
              </w:tc>
            </w:tr>
            <w:tr w14:paraId="495D6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D81898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52</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9B1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176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597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7.84E-01</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04A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66BF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D4A598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1.53E-02</w:t>
                  </w:r>
                </w:p>
              </w:tc>
            </w:tr>
            <w:tr w14:paraId="29637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D05F4F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53</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2134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2C2A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E3AF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37C1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3BC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E8436C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1.64E-03</w:t>
                  </w:r>
                </w:p>
              </w:tc>
            </w:tr>
            <w:tr w14:paraId="44258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75DD14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54</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5B1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4F4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187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FF13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4F87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695172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1.77E-03</w:t>
                  </w:r>
                </w:p>
              </w:tc>
            </w:tr>
            <w:tr w14:paraId="069BD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6FDB1F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55</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757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D26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7E0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2.43E+00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6857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0EC1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3BD0C7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4.75E-02</w:t>
                  </w:r>
                </w:p>
              </w:tc>
            </w:tr>
            <w:tr w14:paraId="7BACB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9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71E5638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二层</w:t>
                  </w:r>
                  <w:r>
                    <w:rPr>
                      <w:rFonts w:hint="default" w:ascii="Times New Roman" w:hAnsi="Times New Roman" w:eastAsia="宋体" w:cs="Times New Roman"/>
                      <w:i w:val="0"/>
                      <w:iCs w:val="0"/>
                      <w:color w:val="auto"/>
                      <w:kern w:val="0"/>
                      <w:sz w:val="16"/>
                      <w:szCs w:val="16"/>
                      <w:highlight w:val="none"/>
                      <w:u w:val="none"/>
                      <w:lang w:val="en-US" w:eastAsia="zh-CN" w:bidi="ar"/>
                    </w:rPr>
                    <w:t>PET</w:t>
                  </w:r>
                  <w:r>
                    <w:rPr>
                      <w:rFonts w:hint="eastAsia" w:ascii="Times New Roman" w:hAnsi="Times New Roman" w:eastAsia="宋体" w:cs="Times New Roman"/>
                      <w:i w:val="0"/>
                      <w:iCs w:val="0"/>
                      <w:color w:val="auto"/>
                      <w:kern w:val="0"/>
                      <w:sz w:val="16"/>
                      <w:szCs w:val="16"/>
                      <w:highlight w:val="none"/>
                      <w:u w:val="none"/>
                      <w:lang w:val="en-US" w:eastAsia="zh-CN" w:bidi="ar"/>
                    </w:rPr>
                    <w:t>诊断区注射准备室</w:t>
                  </w:r>
                </w:p>
              </w:tc>
            </w:tr>
            <w:tr w14:paraId="10C40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D55898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56</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EA0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4C8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CB88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1.62E+00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65EE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6924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69CDA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3.17E-02</w:t>
                  </w:r>
                </w:p>
              </w:tc>
            </w:tr>
            <w:tr w14:paraId="27307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639039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57</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EF1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F9F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1239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FBD7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3444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A7078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1.64E-03</w:t>
                  </w:r>
                </w:p>
              </w:tc>
            </w:tr>
            <w:tr w14:paraId="399DA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1065C3E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58</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2C5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D3C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6E0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6A9C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F9B5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BCA1DA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1.77E-03</w:t>
                  </w:r>
                </w:p>
              </w:tc>
            </w:tr>
            <w:tr w14:paraId="799ED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BF3A58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59</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FDF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E88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1D16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2.43E+00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20E7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08C7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076BBA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4.75E-02</w:t>
                  </w:r>
                </w:p>
              </w:tc>
            </w:tr>
            <w:tr w14:paraId="4986E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949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4E59542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二层</w:t>
                  </w:r>
                  <w:r>
                    <w:rPr>
                      <w:rFonts w:hint="default" w:ascii="Times New Roman" w:hAnsi="Times New Roman" w:eastAsia="宋体" w:cs="Times New Roman"/>
                      <w:i w:val="0"/>
                      <w:iCs w:val="0"/>
                      <w:color w:val="auto"/>
                      <w:kern w:val="0"/>
                      <w:sz w:val="16"/>
                      <w:szCs w:val="16"/>
                      <w:highlight w:val="none"/>
                      <w:u w:val="none"/>
                      <w:lang w:val="en-US" w:eastAsia="zh-CN" w:bidi="ar"/>
                    </w:rPr>
                    <w:t>PET</w:t>
                  </w:r>
                  <w:r>
                    <w:rPr>
                      <w:rFonts w:hint="eastAsia" w:ascii="Times New Roman" w:hAnsi="Times New Roman" w:eastAsia="宋体" w:cs="Times New Roman"/>
                      <w:i w:val="0"/>
                      <w:iCs w:val="0"/>
                      <w:color w:val="auto"/>
                      <w:kern w:val="0"/>
                      <w:sz w:val="16"/>
                      <w:szCs w:val="16"/>
                      <w:highlight w:val="none"/>
                      <w:u w:val="none"/>
                      <w:lang w:val="en-US" w:eastAsia="zh-CN" w:bidi="ar"/>
                    </w:rPr>
                    <w:t>诊断区注射室</w:t>
                  </w:r>
                </w:p>
              </w:tc>
            </w:tr>
            <w:tr w14:paraId="0EC73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455389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60</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B73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8EA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3FB0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1.84E+00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E69C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DA5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1ABDB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3.60E-02</w:t>
                  </w:r>
                </w:p>
              </w:tc>
            </w:tr>
            <w:tr w14:paraId="69862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48DF9F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61</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CBC1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0C2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084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0BF0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7E58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D8235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1.64E-03</w:t>
                  </w:r>
                </w:p>
              </w:tc>
            </w:tr>
            <w:tr w14:paraId="34060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192C20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62</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8F0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15B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4AC2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7C04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3C49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B1E56C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1.77E-03</w:t>
                  </w:r>
                </w:p>
              </w:tc>
            </w:tr>
            <w:tr w14:paraId="1E54D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435FCD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63</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4B5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4D0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693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2.16E+00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FC1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A23A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AA19E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4.22E-02</w:t>
                  </w:r>
                </w:p>
              </w:tc>
            </w:tr>
            <w:tr w14:paraId="1196A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A71B37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64</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594E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注射窗</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D80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CE2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1.65E+00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88A8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F1BE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B376B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3.23E-02</w:t>
                  </w:r>
                </w:p>
              </w:tc>
            </w:tr>
            <w:tr w14:paraId="30F91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9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6A4D366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二层</w:t>
                  </w:r>
                  <w:r>
                    <w:rPr>
                      <w:rFonts w:hint="default" w:ascii="Times New Roman" w:hAnsi="Times New Roman" w:eastAsia="宋体" w:cs="Times New Roman"/>
                      <w:i w:val="0"/>
                      <w:iCs w:val="0"/>
                      <w:color w:val="auto"/>
                      <w:kern w:val="0"/>
                      <w:sz w:val="16"/>
                      <w:szCs w:val="16"/>
                      <w:highlight w:val="none"/>
                      <w:u w:val="none"/>
                      <w:lang w:val="en-US" w:eastAsia="zh-CN" w:bidi="ar"/>
                    </w:rPr>
                    <w:t>PET</w:t>
                  </w:r>
                  <w:r>
                    <w:rPr>
                      <w:rFonts w:hint="eastAsia" w:ascii="Times New Roman" w:hAnsi="Times New Roman" w:eastAsia="宋体" w:cs="Times New Roman"/>
                      <w:i w:val="0"/>
                      <w:iCs w:val="0"/>
                      <w:color w:val="auto"/>
                      <w:kern w:val="0"/>
                      <w:sz w:val="16"/>
                      <w:szCs w:val="16"/>
                      <w:highlight w:val="none"/>
                      <w:u w:val="none"/>
                      <w:lang w:val="en-US" w:eastAsia="zh-CN" w:bidi="ar"/>
                    </w:rPr>
                    <w:t>诊断区放废库</w:t>
                  </w:r>
                </w:p>
              </w:tc>
            </w:tr>
            <w:tr w14:paraId="22D29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97B161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65</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E93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E13B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46D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1.62E+00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3FFD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A15C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CA1995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3.17E-02</w:t>
                  </w:r>
                </w:p>
              </w:tc>
            </w:tr>
            <w:tr w14:paraId="7AEF0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380BD9A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66</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A28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6A8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645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E77A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0C8E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D3207E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1.64E-03</w:t>
                  </w:r>
                </w:p>
              </w:tc>
            </w:tr>
            <w:tr w14:paraId="7E43C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5FEE53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67</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AAE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B410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A3DB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80C3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A23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65E7E78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1.77E-03</w:t>
                  </w:r>
                </w:p>
              </w:tc>
            </w:tr>
            <w:tr w14:paraId="4D558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A5A206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68</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3EA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311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C69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2.43E+00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D12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6795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618EC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4.75E-02</w:t>
                  </w:r>
                </w:p>
              </w:tc>
            </w:tr>
            <w:tr w14:paraId="117AC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9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4790960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二层</w:t>
                  </w:r>
                  <w:r>
                    <w:rPr>
                      <w:rFonts w:hint="default" w:ascii="Times New Roman" w:hAnsi="Times New Roman" w:eastAsia="宋体" w:cs="Times New Roman"/>
                      <w:i w:val="0"/>
                      <w:iCs w:val="0"/>
                      <w:color w:val="auto"/>
                      <w:kern w:val="0"/>
                      <w:sz w:val="16"/>
                      <w:szCs w:val="16"/>
                      <w:highlight w:val="none"/>
                      <w:u w:val="none"/>
                      <w:lang w:val="en-US" w:eastAsia="zh-CN" w:bidi="ar"/>
                    </w:rPr>
                    <w:t>PET</w:t>
                  </w:r>
                  <w:r>
                    <w:rPr>
                      <w:rFonts w:hint="eastAsia" w:ascii="Times New Roman" w:hAnsi="Times New Roman" w:eastAsia="宋体" w:cs="Times New Roman"/>
                      <w:i w:val="0"/>
                      <w:iCs w:val="0"/>
                      <w:color w:val="auto"/>
                      <w:kern w:val="0"/>
                      <w:sz w:val="16"/>
                      <w:szCs w:val="16"/>
                      <w:highlight w:val="none"/>
                      <w:u w:val="none"/>
                      <w:lang w:val="en-US" w:eastAsia="zh-CN" w:bidi="ar"/>
                    </w:rPr>
                    <w:t>诊断区PET-CT机房</w:t>
                  </w:r>
                </w:p>
              </w:tc>
            </w:tr>
            <w:tr w14:paraId="56FD2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2B46BDE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69</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696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086D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C0C4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4.05E-01</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E32D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BDCF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BE744B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7.90E-03</w:t>
                  </w:r>
                </w:p>
              </w:tc>
            </w:tr>
            <w:tr w14:paraId="5CB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0288909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70</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2E5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D783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6AC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DBD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E13C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1CEE9A9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1.64E-03</w:t>
                  </w:r>
                </w:p>
              </w:tc>
            </w:tr>
            <w:tr w14:paraId="310A1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428CA1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71</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3CB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865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E4B8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A639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6FE2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E48544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1.77E-03</w:t>
                  </w:r>
                </w:p>
              </w:tc>
            </w:tr>
            <w:tr w14:paraId="4EA85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188BE3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72</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B1C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28F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C3D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2.04E+00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C0AA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F8C0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6CC320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3.99E-02</w:t>
                  </w:r>
                </w:p>
              </w:tc>
            </w:tr>
            <w:tr w14:paraId="6D12A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266150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73</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E96B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观察窗</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E28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C1C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2.43E+00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8826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D9F0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A4C74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4.75E-02</w:t>
                  </w:r>
                </w:p>
              </w:tc>
            </w:tr>
            <w:tr w14:paraId="14658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9497" w:type="dxa"/>
                  <w:gridSpan w:val="7"/>
                  <w:tcBorders>
                    <w:top w:val="single" w:color="000000" w:sz="4" w:space="0"/>
                    <w:left w:val="single" w:color="000000" w:sz="12" w:space="0"/>
                    <w:bottom w:val="single" w:color="000000" w:sz="4" w:space="0"/>
                    <w:right w:val="single" w:color="000000" w:sz="12" w:space="0"/>
                  </w:tcBorders>
                  <w:shd w:val="clear" w:color="auto" w:fill="auto"/>
                  <w:vAlign w:val="center"/>
                </w:tcPr>
                <w:p w14:paraId="0BF2F2B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二层</w:t>
                  </w:r>
                  <w:r>
                    <w:rPr>
                      <w:rFonts w:hint="default" w:ascii="Times New Roman" w:hAnsi="Times New Roman" w:eastAsia="宋体" w:cs="Times New Roman"/>
                      <w:i w:val="0"/>
                      <w:iCs w:val="0"/>
                      <w:color w:val="auto"/>
                      <w:kern w:val="0"/>
                      <w:sz w:val="16"/>
                      <w:szCs w:val="16"/>
                      <w:highlight w:val="none"/>
                      <w:u w:val="none"/>
                      <w:lang w:val="en-US" w:eastAsia="zh-CN" w:bidi="ar"/>
                    </w:rPr>
                    <w:t>PET</w:t>
                  </w:r>
                  <w:r>
                    <w:rPr>
                      <w:rFonts w:hint="eastAsia" w:ascii="Times New Roman" w:hAnsi="Times New Roman" w:eastAsia="宋体" w:cs="Times New Roman"/>
                      <w:i w:val="0"/>
                      <w:iCs w:val="0"/>
                      <w:color w:val="auto"/>
                      <w:kern w:val="0"/>
                      <w:sz w:val="16"/>
                      <w:szCs w:val="16"/>
                      <w:highlight w:val="none"/>
                      <w:u w:val="none"/>
                      <w:lang w:val="en-US" w:eastAsia="zh-CN" w:bidi="ar"/>
                    </w:rPr>
                    <w:t>诊断区留观室</w:t>
                  </w:r>
                </w:p>
              </w:tc>
            </w:tr>
            <w:tr w14:paraId="137E6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807698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74</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F44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BA0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ACE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1.15E+00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4F81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3BFF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3DCC5C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2.25E-02</w:t>
                  </w:r>
                </w:p>
              </w:tc>
            </w:tr>
            <w:tr w14:paraId="43D0A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134BD3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75</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092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5539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893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8.36E-02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77F7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682D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495D86B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1.64E-03</w:t>
                  </w:r>
                </w:p>
              </w:tc>
            </w:tr>
            <w:tr w14:paraId="7AE18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D5993D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76</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B71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B4CA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2E19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9.07E-02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8525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0DA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220293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1.77E-03</w:t>
                  </w:r>
                </w:p>
              </w:tc>
            </w:tr>
            <w:tr w14:paraId="6C10C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exact"/>
                <w:jc w:val="center"/>
              </w:trPr>
              <w:tc>
                <w:tcPr>
                  <w:tcW w:w="647" w:type="dxa"/>
                  <w:tcBorders>
                    <w:top w:val="single" w:color="000000" w:sz="4" w:space="0"/>
                    <w:left w:val="single" w:color="000000" w:sz="12" w:space="0"/>
                    <w:bottom w:val="single" w:color="000000" w:sz="12" w:space="0"/>
                    <w:right w:val="single" w:color="000000" w:sz="4" w:space="0"/>
                  </w:tcBorders>
                  <w:shd w:val="clear" w:color="auto" w:fill="auto"/>
                  <w:vAlign w:val="center"/>
                </w:tcPr>
                <w:p w14:paraId="60FB61D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77</w:t>
                  </w:r>
                </w:p>
              </w:tc>
              <w:tc>
                <w:tcPr>
                  <w:tcW w:w="1964"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0630EA4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42"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2AF2733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866" w:type="dxa"/>
                  <w:tcBorders>
                    <w:top w:val="single" w:color="000000" w:sz="4" w:space="0"/>
                    <w:left w:val="single" w:color="000000" w:sz="4" w:space="0"/>
                    <w:bottom w:val="single" w:color="000000" w:sz="12" w:space="0"/>
                    <w:right w:val="single" w:color="000000" w:sz="4" w:space="0"/>
                  </w:tcBorders>
                  <w:shd w:val="clear" w:color="auto" w:fill="auto"/>
                  <w:vAlign w:val="center"/>
                </w:tcPr>
                <w:p w14:paraId="237B33E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2.43E+00</w:t>
                  </w:r>
                </w:p>
              </w:tc>
              <w:tc>
                <w:tcPr>
                  <w:tcW w:w="1486"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09E1C3D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156.25</w:t>
                  </w:r>
                </w:p>
              </w:tc>
              <w:tc>
                <w:tcPr>
                  <w:tcW w:w="939" w:type="dxa"/>
                  <w:tcBorders>
                    <w:top w:val="single" w:color="000000" w:sz="4" w:space="0"/>
                    <w:left w:val="single" w:color="000000" w:sz="4" w:space="0"/>
                    <w:bottom w:val="single" w:color="000000" w:sz="12" w:space="0"/>
                    <w:right w:val="single" w:color="000000" w:sz="4" w:space="0"/>
                  </w:tcBorders>
                  <w:shd w:val="clear" w:color="auto" w:fill="auto"/>
                  <w:noWrap/>
                  <w:vAlign w:val="center"/>
                </w:tcPr>
                <w:p w14:paraId="598D74F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1/8</w:t>
                  </w:r>
                </w:p>
              </w:tc>
              <w:tc>
                <w:tcPr>
                  <w:tcW w:w="1653" w:type="dxa"/>
                  <w:tcBorders>
                    <w:top w:val="single" w:color="000000" w:sz="4" w:space="0"/>
                    <w:left w:val="single" w:color="000000" w:sz="4" w:space="0"/>
                    <w:bottom w:val="single" w:color="000000" w:sz="12" w:space="0"/>
                    <w:right w:val="single" w:color="000000" w:sz="12" w:space="0"/>
                  </w:tcBorders>
                  <w:shd w:val="clear" w:color="auto" w:fill="auto"/>
                  <w:vAlign w:val="center"/>
                </w:tcPr>
                <w:p w14:paraId="5ADF6D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4.75E-02</w:t>
                  </w:r>
                </w:p>
              </w:tc>
            </w:tr>
          </w:tbl>
          <w:p w14:paraId="19E54455">
            <w:pPr>
              <w:keepNext w:val="0"/>
              <w:keepLines w:val="0"/>
              <w:suppressLineNumbers w:val="0"/>
              <w:spacing w:before="0" w:beforeAutospacing="0" w:after="0" w:afterAutospacing="0"/>
              <w:ind w:left="0" w:right="0" w:firstLine="180" w:firstLineChars="100"/>
              <w:jc w:val="both"/>
              <w:rPr>
                <w:rFonts w:hint="default" w:ascii="Times New Roman" w:hAnsi="Times New Roman" w:eastAsia="宋体" w:cs="Times New Roman"/>
                <w:b w:val="0"/>
                <w:bCs/>
                <w:color w:val="auto"/>
                <w:sz w:val="18"/>
                <w:szCs w:val="16"/>
                <w:highlight w:val="none"/>
                <w:lang w:val="en-US" w:eastAsia="zh-CN"/>
              </w:rPr>
            </w:pPr>
            <w:r>
              <w:rPr>
                <w:rFonts w:hint="default" w:ascii="Times New Roman" w:hAnsi="Times New Roman" w:eastAsia="宋体" w:cs="Times New Roman"/>
                <w:b w:val="0"/>
                <w:bCs/>
                <w:color w:val="auto"/>
                <w:sz w:val="18"/>
                <w:szCs w:val="16"/>
                <w:highlight w:val="none"/>
                <w:lang w:val="en-US" w:eastAsia="zh-CN"/>
              </w:rPr>
              <w:t>注：</w:t>
            </w:r>
            <w:r>
              <w:rPr>
                <w:rFonts w:hint="eastAsia" w:ascii="Times New Roman" w:hAnsi="Times New Roman" w:cs="Times New Roman"/>
                <w:b w:val="0"/>
                <w:bCs/>
                <w:color w:val="auto"/>
                <w:sz w:val="18"/>
                <w:szCs w:val="16"/>
                <w:highlight w:val="none"/>
                <w:lang w:val="en-US" w:eastAsia="zh-CN"/>
              </w:rPr>
              <w:t>PET</w:t>
            </w:r>
            <w:r>
              <w:rPr>
                <w:rFonts w:hint="default" w:ascii="Times New Roman" w:hAnsi="Times New Roman" w:eastAsia="宋体" w:cs="Times New Roman"/>
                <w:b w:val="0"/>
                <w:bCs/>
                <w:color w:val="auto"/>
                <w:sz w:val="18"/>
                <w:szCs w:val="16"/>
                <w:highlight w:val="none"/>
                <w:lang w:val="en-US" w:eastAsia="zh-CN"/>
              </w:rPr>
              <w:t>诊断区</w:t>
            </w:r>
            <w:r>
              <w:rPr>
                <w:rFonts w:hint="eastAsia" w:cs="Times New Roman"/>
                <w:b w:val="0"/>
                <w:bCs/>
                <w:color w:val="auto"/>
                <w:sz w:val="18"/>
                <w:szCs w:val="16"/>
                <w:highlight w:val="none"/>
                <w:lang w:val="en-US" w:eastAsia="zh-CN"/>
              </w:rPr>
              <w:t>位于二层</w:t>
            </w:r>
            <w:r>
              <w:rPr>
                <w:rFonts w:hint="default" w:ascii="Times New Roman" w:hAnsi="Times New Roman" w:eastAsia="宋体" w:cs="Times New Roman"/>
                <w:b w:val="0"/>
                <w:bCs/>
                <w:color w:val="auto"/>
                <w:sz w:val="18"/>
                <w:szCs w:val="16"/>
                <w:highlight w:val="none"/>
                <w:lang w:val="en-US" w:eastAsia="zh-CN"/>
              </w:rPr>
              <w:t>，公众</w:t>
            </w:r>
            <w:r>
              <w:rPr>
                <w:rFonts w:hint="eastAsia" w:ascii="Times New Roman" w:hAnsi="Times New Roman" w:cs="Times New Roman"/>
                <w:b w:val="0"/>
                <w:bCs/>
                <w:color w:val="auto"/>
                <w:sz w:val="18"/>
                <w:szCs w:val="16"/>
                <w:highlight w:val="none"/>
                <w:lang w:val="en-US" w:eastAsia="zh-CN"/>
              </w:rPr>
              <w:t>活动较少</w:t>
            </w:r>
            <w:r>
              <w:rPr>
                <w:rFonts w:hint="default" w:ascii="Times New Roman" w:hAnsi="Times New Roman" w:eastAsia="宋体" w:cs="Times New Roman"/>
                <w:b w:val="0"/>
                <w:bCs/>
                <w:color w:val="auto"/>
                <w:sz w:val="18"/>
                <w:szCs w:val="16"/>
                <w:highlight w:val="none"/>
                <w:lang w:val="en-US" w:eastAsia="zh-CN"/>
              </w:rPr>
              <w:t>偶然居留，居留因子取1/</w:t>
            </w:r>
            <w:r>
              <w:rPr>
                <w:rFonts w:hint="eastAsia" w:cs="Times New Roman"/>
                <w:b w:val="0"/>
                <w:bCs/>
                <w:color w:val="auto"/>
                <w:sz w:val="18"/>
                <w:szCs w:val="16"/>
                <w:highlight w:val="none"/>
                <w:lang w:val="en-US" w:eastAsia="zh-CN"/>
              </w:rPr>
              <w:t>8</w:t>
            </w:r>
            <w:r>
              <w:rPr>
                <w:rFonts w:hint="default" w:ascii="Times New Roman" w:hAnsi="Times New Roman" w:eastAsia="宋体" w:cs="Times New Roman"/>
                <w:b w:val="0"/>
                <w:bCs/>
                <w:color w:val="auto"/>
                <w:sz w:val="18"/>
                <w:szCs w:val="16"/>
                <w:highlight w:val="none"/>
                <w:lang w:val="en-US" w:eastAsia="zh-CN"/>
              </w:rPr>
              <w:t>。</w:t>
            </w:r>
          </w:p>
          <w:p w14:paraId="68658B75">
            <w:pPr>
              <w:keepNext w:val="0"/>
              <w:keepLines w:val="0"/>
              <w:suppressLineNumbers w:val="0"/>
              <w:spacing w:before="0" w:beforeAutospacing="0" w:after="0" w:afterAutospacing="0"/>
              <w:ind w:left="0" w:right="0"/>
              <w:jc w:val="both"/>
              <w:rPr>
                <w:rFonts w:hint="default" w:ascii="Times New Roman" w:hAnsi="Times New Roman" w:eastAsia="宋体" w:cs="Times New Roman"/>
                <w:b/>
                <w:color w:val="auto"/>
                <w:sz w:val="24"/>
                <w:szCs w:val="22"/>
                <w:highlight w:val="none"/>
                <w:lang w:val="en-US" w:eastAsia="zh-CN"/>
              </w:rPr>
            </w:pPr>
          </w:p>
          <w:p w14:paraId="488ED07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4"/>
                <w:szCs w:val="22"/>
                <w:highlight w:val="none"/>
                <w:lang w:val="en-US" w:eastAsia="zh-CN"/>
              </w:rPr>
            </w:pPr>
            <w:r>
              <w:rPr>
                <w:rFonts w:hint="default" w:ascii="Times New Roman" w:hAnsi="Times New Roman" w:eastAsia="宋体" w:cs="Times New Roman"/>
                <w:b/>
                <w:color w:val="auto"/>
                <w:sz w:val="24"/>
                <w:szCs w:val="22"/>
                <w:highlight w:val="none"/>
                <w:lang w:val="en-US" w:eastAsia="zh-CN"/>
              </w:rPr>
              <w:t>表11-</w:t>
            </w:r>
            <w:r>
              <w:rPr>
                <w:rFonts w:hint="eastAsia" w:cs="Times New Roman"/>
                <w:b/>
                <w:color w:val="auto"/>
                <w:sz w:val="24"/>
                <w:szCs w:val="22"/>
                <w:highlight w:val="none"/>
                <w:lang w:val="en-US" w:eastAsia="zh-CN"/>
              </w:rPr>
              <w:t>19</w:t>
            </w:r>
            <w:r>
              <w:rPr>
                <w:rFonts w:hint="default" w:ascii="Times New Roman" w:hAnsi="Times New Roman" w:eastAsia="宋体" w:cs="Times New Roman"/>
                <w:b/>
                <w:color w:val="auto"/>
                <w:sz w:val="24"/>
                <w:szCs w:val="22"/>
                <w:highlight w:val="none"/>
                <w:lang w:val="en-US" w:eastAsia="zh-CN"/>
              </w:rPr>
              <w:t xml:space="preserve"> </w:t>
            </w:r>
            <w:r>
              <w:rPr>
                <w:rFonts w:hint="eastAsia" w:ascii="Times New Roman" w:hAnsi="Times New Roman" w:eastAsia="宋体" w:cs="Times New Roman"/>
                <w:b/>
                <w:color w:val="auto"/>
                <w:sz w:val="24"/>
                <w:szCs w:val="22"/>
                <w:highlight w:val="none"/>
                <w:lang w:val="en-US" w:eastAsia="zh-CN"/>
              </w:rPr>
              <w:t>三</w:t>
            </w:r>
            <w:r>
              <w:rPr>
                <w:rFonts w:hint="default" w:ascii="Times New Roman" w:hAnsi="Times New Roman" w:eastAsia="宋体" w:cs="Times New Roman"/>
                <w:b/>
                <w:color w:val="auto"/>
                <w:sz w:val="24"/>
                <w:szCs w:val="22"/>
                <w:highlight w:val="none"/>
                <w:lang w:val="en-US" w:eastAsia="zh-CN"/>
              </w:rPr>
              <w:t>层核素治疗区公众人员受照射剂量预测结果（使用</w:t>
            </w:r>
            <w:r>
              <w:rPr>
                <w:rFonts w:hint="eastAsia" w:cs="Times New Roman"/>
                <w:b/>
                <w:color w:val="auto"/>
                <w:sz w:val="24"/>
                <w:szCs w:val="22"/>
                <w:highlight w:val="none"/>
                <w:lang w:val="en-US" w:eastAsia="zh-CN"/>
              </w:rPr>
              <w:t>I-131</w:t>
            </w:r>
            <w:r>
              <w:rPr>
                <w:rFonts w:hint="default" w:ascii="Times New Roman" w:hAnsi="Times New Roman" w:eastAsia="宋体" w:cs="Times New Roman"/>
                <w:b/>
                <w:color w:val="auto"/>
                <w:sz w:val="24"/>
                <w:szCs w:val="22"/>
                <w:highlight w:val="none"/>
                <w:lang w:val="en-US" w:eastAsia="zh-CN"/>
              </w:rPr>
              <w:t>）</w:t>
            </w:r>
          </w:p>
          <w:tbl>
            <w:tblPr>
              <w:tblStyle w:val="22"/>
              <w:tblW w:w="949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987"/>
              <w:gridCol w:w="2136"/>
              <w:gridCol w:w="989"/>
              <w:gridCol w:w="1419"/>
              <w:gridCol w:w="1461"/>
              <w:gridCol w:w="992"/>
              <w:gridCol w:w="1512"/>
            </w:tblGrid>
            <w:tr w14:paraId="4A6E08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3" w:hRule="exact"/>
                <w:tblHeader/>
                <w:jc w:val="center"/>
              </w:trPr>
              <w:tc>
                <w:tcPr>
                  <w:tcW w:w="987" w:type="dxa"/>
                  <w:tcBorders>
                    <w:tl2br w:val="nil"/>
                    <w:tr2bl w:val="nil"/>
                  </w:tcBorders>
                  <w:shd w:val="clear" w:color="auto" w:fill="auto"/>
                  <w:vAlign w:val="center"/>
                </w:tcPr>
                <w:p w14:paraId="7791347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目标点位</w:t>
                  </w:r>
                </w:p>
              </w:tc>
              <w:tc>
                <w:tcPr>
                  <w:tcW w:w="2136" w:type="dxa"/>
                  <w:tcBorders>
                    <w:tl2br w:val="nil"/>
                    <w:tr2bl w:val="nil"/>
                  </w:tcBorders>
                  <w:shd w:val="clear" w:color="auto" w:fill="auto"/>
                  <w:vAlign w:val="center"/>
                </w:tcPr>
                <w:p w14:paraId="7445CAC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与机房关系</w:t>
                  </w:r>
                </w:p>
              </w:tc>
              <w:tc>
                <w:tcPr>
                  <w:tcW w:w="989" w:type="dxa"/>
                  <w:tcBorders>
                    <w:tl2br w:val="nil"/>
                    <w:tr2bl w:val="nil"/>
                  </w:tcBorders>
                  <w:shd w:val="clear" w:color="auto" w:fill="auto"/>
                  <w:noWrap/>
                  <w:vAlign w:val="center"/>
                </w:tcPr>
                <w:p w14:paraId="6A6B9C7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照射类型</w:t>
                  </w:r>
                </w:p>
              </w:tc>
              <w:tc>
                <w:tcPr>
                  <w:tcW w:w="1419" w:type="dxa"/>
                  <w:tcBorders>
                    <w:tl2br w:val="nil"/>
                    <w:tr2bl w:val="nil"/>
                  </w:tcBorders>
                  <w:shd w:val="clear" w:color="auto" w:fill="auto"/>
                  <w:noWrap/>
                  <w:vAlign w:val="center"/>
                </w:tcPr>
                <w:p w14:paraId="306131D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剂量率</w:t>
                  </w:r>
                  <w:r>
                    <w:rPr>
                      <w:rFonts w:hint="default" w:ascii="Times New Roman" w:hAnsi="Times New Roman" w:eastAsia="宋体" w:cs="Times New Roman"/>
                      <w:i w:val="0"/>
                      <w:iCs w:val="0"/>
                      <w:color w:val="auto"/>
                      <w:kern w:val="0"/>
                      <w:sz w:val="16"/>
                      <w:szCs w:val="16"/>
                      <w:highlight w:val="none"/>
                      <w:u w:val="none"/>
                      <w:lang w:val="en-US" w:eastAsia="zh-CN" w:bidi="ar"/>
                    </w:rPr>
                    <w:t>(μSv/h)</w:t>
                  </w:r>
                </w:p>
              </w:tc>
              <w:tc>
                <w:tcPr>
                  <w:tcW w:w="1461" w:type="dxa"/>
                  <w:tcBorders>
                    <w:tl2br w:val="nil"/>
                    <w:tr2bl w:val="nil"/>
                  </w:tcBorders>
                  <w:shd w:val="clear" w:color="auto" w:fill="auto"/>
                  <w:vAlign w:val="center"/>
                </w:tcPr>
                <w:p w14:paraId="63BC252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年受照时间，</w:t>
                  </w:r>
                  <w:r>
                    <w:rPr>
                      <w:rFonts w:hint="default" w:ascii="Times New Roman" w:hAnsi="Times New Roman" w:eastAsia="宋体" w:cs="Times New Roman"/>
                      <w:i w:val="0"/>
                      <w:iCs w:val="0"/>
                      <w:color w:val="auto"/>
                      <w:kern w:val="0"/>
                      <w:sz w:val="16"/>
                      <w:szCs w:val="16"/>
                      <w:highlight w:val="none"/>
                      <w:u w:val="none"/>
                      <w:lang w:val="en-US" w:eastAsia="zh-CN" w:bidi="ar"/>
                    </w:rPr>
                    <w:t>h</w:t>
                  </w:r>
                </w:p>
              </w:tc>
              <w:tc>
                <w:tcPr>
                  <w:tcW w:w="992" w:type="dxa"/>
                  <w:tcBorders>
                    <w:tl2br w:val="nil"/>
                    <w:tr2bl w:val="nil"/>
                  </w:tcBorders>
                  <w:shd w:val="clear" w:color="auto" w:fill="auto"/>
                  <w:vAlign w:val="center"/>
                </w:tcPr>
                <w:p w14:paraId="1BE5017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居留因子</w:t>
                  </w:r>
                </w:p>
              </w:tc>
              <w:tc>
                <w:tcPr>
                  <w:tcW w:w="1512" w:type="dxa"/>
                  <w:tcBorders>
                    <w:tl2br w:val="nil"/>
                    <w:tr2bl w:val="nil"/>
                  </w:tcBorders>
                  <w:shd w:val="clear" w:color="auto" w:fill="auto"/>
                  <w:vAlign w:val="center"/>
                </w:tcPr>
                <w:p w14:paraId="754EA57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年有效剂量mSv/a</w:t>
                  </w:r>
                </w:p>
              </w:tc>
            </w:tr>
            <w:tr w14:paraId="149FB9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496" w:type="dxa"/>
                  <w:gridSpan w:val="7"/>
                  <w:tcBorders>
                    <w:tl2br w:val="nil"/>
                    <w:tr2bl w:val="nil"/>
                  </w:tcBorders>
                  <w:shd w:val="clear" w:color="auto" w:fill="auto"/>
                  <w:vAlign w:val="center"/>
                </w:tcPr>
                <w:p w14:paraId="503A07B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三层核素治疗区储源室</w:t>
                  </w:r>
                </w:p>
              </w:tc>
            </w:tr>
            <w:tr w14:paraId="340C03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00067DA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78</w:t>
                  </w:r>
                </w:p>
              </w:tc>
              <w:tc>
                <w:tcPr>
                  <w:tcW w:w="2136" w:type="dxa"/>
                  <w:tcBorders>
                    <w:tl2br w:val="nil"/>
                    <w:tr2bl w:val="nil"/>
                  </w:tcBorders>
                  <w:shd w:val="clear" w:color="auto" w:fill="auto"/>
                  <w:vAlign w:val="center"/>
                </w:tcPr>
                <w:p w14:paraId="43E9FAE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89" w:type="dxa"/>
                  <w:tcBorders>
                    <w:tl2br w:val="nil"/>
                    <w:tr2bl w:val="nil"/>
                  </w:tcBorders>
                  <w:shd w:val="clear" w:color="auto" w:fill="auto"/>
                  <w:vAlign w:val="center"/>
                </w:tcPr>
                <w:p w14:paraId="15ACC42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2F9191A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2.22E+00</w:t>
                  </w:r>
                </w:p>
              </w:tc>
              <w:tc>
                <w:tcPr>
                  <w:tcW w:w="1461" w:type="dxa"/>
                  <w:tcBorders>
                    <w:tl2br w:val="nil"/>
                    <w:tr2bl w:val="nil"/>
                  </w:tcBorders>
                  <w:shd w:val="clear" w:color="auto" w:fill="auto"/>
                  <w:vAlign w:val="center"/>
                </w:tcPr>
                <w:p w14:paraId="271135F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6603B1C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17CC1B1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6.66E-01</w:t>
                  </w:r>
                </w:p>
              </w:tc>
            </w:tr>
            <w:tr w14:paraId="3E9CEA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382B859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79</w:t>
                  </w:r>
                </w:p>
              </w:tc>
              <w:tc>
                <w:tcPr>
                  <w:tcW w:w="2136" w:type="dxa"/>
                  <w:tcBorders>
                    <w:tl2br w:val="nil"/>
                    <w:tr2bl w:val="nil"/>
                  </w:tcBorders>
                  <w:shd w:val="clear" w:color="auto" w:fill="auto"/>
                  <w:vAlign w:val="center"/>
                </w:tcPr>
                <w:p w14:paraId="15FC9C7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89" w:type="dxa"/>
                  <w:tcBorders>
                    <w:tl2br w:val="nil"/>
                    <w:tr2bl w:val="nil"/>
                  </w:tcBorders>
                  <w:shd w:val="clear" w:color="auto" w:fill="auto"/>
                  <w:vAlign w:val="center"/>
                </w:tcPr>
                <w:p w14:paraId="5CF38D0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25E4B79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2.11E+00</w:t>
                  </w:r>
                </w:p>
              </w:tc>
              <w:tc>
                <w:tcPr>
                  <w:tcW w:w="1461" w:type="dxa"/>
                  <w:tcBorders>
                    <w:tl2br w:val="nil"/>
                    <w:tr2bl w:val="nil"/>
                  </w:tcBorders>
                  <w:shd w:val="clear" w:color="auto" w:fill="auto"/>
                  <w:vAlign w:val="center"/>
                </w:tcPr>
                <w:p w14:paraId="316DB08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597C321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1013C76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6.33E-01</w:t>
                  </w:r>
                </w:p>
              </w:tc>
            </w:tr>
            <w:tr w14:paraId="2E69BF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348A44A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80</w:t>
                  </w:r>
                </w:p>
              </w:tc>
              <w:tc>
                <w:tcPr>
                  <w:tcW w:w="2136" w:type="dxa"/>
                  <w:tcBorders>
                    <w:tl2br w:val="nil"/>
                    <w:tr2bl w:val="nil"/>
                  </w:tcBorders>
                  <w:shd w:val="clear" w:color="auto" w:fill="auto"/>
                  <w:vAlign w:val="center"/>
                </w:tcPr>
                <w:p w14:paraId="1E72A09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89" w:type="dxa"/>
                  <w:tcBorders>
                    <w:tl2br w:val="nil"/>
                    <w:tr2bl w:val="nil"/>
                  </w:tcBorders>
                  <w:shd w:val="clear" w:color="auto" w:fill="auto"/>
                  <w:vAlign w:val="center"/>
                </w:tcPr>
                <w:p w14:paraId="63BD822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036A5FE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2.27E-01</w:t>
                  </w:r>
                </w:p>
              </w:tc>
              <w:tc>
                <w:tcPr>
                  <w:tcW w:w="1461" w:type="dxa"/>
                  <w:tcBorders>
                    <w:tl2br w:val="nil"/>
                    <w:tr2bl w:val="nil"/>
                  </w:tcBorders>
                  <w:shd w:val="clear" w:color="auto" w:fill="auto"/>
                  <w:vAlign w:val="center"/>
                </w:tcPr>
                <w:p w14:paraId="627F8ED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6081B0D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1C6F63A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6.81E-02</w:t>
                  </w:r>
                </w:p>
              </w:tc>
            </w:tr>
            <w:tr w14:paraId="61E707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2645234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81</w:t>
                  </w:r>
                </w:p>
              </w:tc>
              <w:tc>
                <w:tcPr>
                  <w:tcW w:w="2136" w:type="dxa"/>
                  <w:tcBorders>
                    <w:tl2br w:val="nil"/>
                    <w:tr2bl w:val="nil"/>
                  </w:tcBorders>
                  <w:shd w:val="clear" w:color="auto" w:fill="auto"/>
                  <w:vAlign w:val="center"/>
                </w:tcPr>
                <w:p w14:paraId="7C9D676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89" w:type="dxa"/>
                  <w:tcBorders>
                    <w:tl2br w:val="nil"/>
                    <w:tr2bl w:val="nil"/>
                  </w:tcBorders>
                  <w:shd w:val="clear" w:color="auto" w:fill="auto"/>
                  <w:vAlign w:val="center"/>
                </w:tcPr>
                <w:p w14:paraId="6EB9176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4FF2409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2.46E-01</w:t>
                  </w:r>
                </w:p>
              </w:tc>
              <w:tc>
                <w:tcPr>
                  <w:tcW w:w="1461" w:type="dxa"/>
                  <w:tcBorders>
                    <w:tl2br w:val="nil"/>
                    <w:tr2bl w:val="nil"/>
                  </w:tcBorders>
                  <w:shd w:val="clear" w:color="auto" w:fill="auto"/>
                  <w:vAlign w:val="center"/>
                </w:tcPr>
                <w:p w14:paraId="2BF16BE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1013473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4819C91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7.38E-02</w:t>
                  </w:r>
                </w:p>
              </w:tc>
            </w:tr>
            <w:tr w14:paraId="2A8E65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496" w:type="dxa"/>
                  <w:gridSpan w:val="7"/>
                  <w:tcBorders>
                    <w:tl2br w:val="nil"/>
                    <w:tr2bl w:val="nil"/>
                  </w:tcBorders>
                  <w:shd w:val="clear" w:color="auto" w:fill="auto"/>
                  <w:vAlign w:val="center"/>
                </w:tcPr>
                <w:p w14:paraId="506C3B1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三层核素治疗区分碘室</w:t>
                  </w:r>
                </w:p>
              </w:tc>
            </w:tr>
            <w:tr w14:paraId="1A82A6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4956C9A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82</w:t>
                  </w:r>
                </w:p>
              </w:tc>
              <w:tc>
                <w:tcPr>
                  <w:tcW w:w="2136" w:type="dxa"/>
                  <w:tcBorders>
                    <w:tl2br w:val="nil"/>
                    <w:tr2bl w:val="nil"/>
                  </w:tcBorders>
                  <w:shd w:val="clear" w:color="auto" w:fill="auto"/>
                  <w:vAlign w:val="center"/>
                </w:tcPr>
                <w:p w14:paraId="435910D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89" w:type="dxa"/>
                  <w:tcBorders>
                    <w:tl2br w:val="nil"/>
                    <w:tr2bl w:val="nil"/>
                  </w:tcBorders>
                  <w:shd w:val="clear" w:color="auto" w:fill="auto"/>
                  <w:vAlign w:val="center"/>
                </w:tcPr>
                <w:p w14:paraId="4F92B46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4A53268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1.99E+00</w:t>
                  </w:r>
                </w:p>
              </w:tc>
              <w:tc>
                <w:tcPr>
                  <w:tcW w:w="1461" w:type="dxa"/>
                  <w:tcBorders>
                    <w:tl2br w:val="nil"/>
                    <w:tr2bl w:val="nil"/>
                  </w:tcBorders>
                  <w:shd w:val="clear" w:color="auto" w:fill="auto"/>
                  <w:vAlign w:val="center"/>
                </w:tcPr>
                <w:p w14:paraId="69F928F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79B1D12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5394E82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5.97E-01</w:t>
                  </w:r>
                </w:p>
              </w:tc>
            </w:tr>
            <w:tr w14:paraId="222CF7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2707B7D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83</w:t>
                  </w:r>
                </w:p>
              </w:tc>
              <w:tc>
                <w:tcPr>
                  <w:tcW w:w="2136" w:type="dxa"/>
                  <w:tcBorders>
                    <w:tl2br w:val="nil"/>
                    <w:tr2bl w:val="nil"/>
                  </w:tcBorders>
                  <w:shd w:val="clear" w:color="auto" w:fill="auto"/>
                  <w:vAlign w:val="center"/>
                </w:tcPr>
                <w:p w14:paraId="23200AC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89" w:type="dxa"/>
                  <w:tcBorders>
                    <w:tl2br w:val="nil"/>
                    <w:tr2bl w:val="nil"/>
                  </w:tcBorders>
                  <w:shd w:val="clear" w:color="auto" w:fill="auto"/>
                  <w:vAlign w:val="center"/>
                </w:tcPr>
                <w:p w14:paraId="4F05EF8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4F1891D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2.29E+00</w:t>
                  </w:r>
                </w:p>
              </w:tc>
              <w:tc>
                <w:tcPr>
                  <w:tcW w:w="1461" w:type="dxa"/>
                  <w:tcBorders>
                    <w:tl2br w:val="nil"/>
                    <w:tr2bl w:val="nil"/>
                  </w:tcBorders>
                  <w:shd w:val="clear" w:color="auto" w:fill="auto"/>
                  <w:vAlign w:val="center"/>
                </w:tcPr>
                <w:p w14:paraId="4D73D13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093BC85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7CE4A08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6.87E-01</w:t>
                  </w:r>
                </w:p>
              </w:tc>
            </w:tr>
            <w:tr w14:paraId="69F5F7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02141EA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84</w:t>
                  </w:r>
                </w:p>
              </w:tc>
              <w:tc>
                <w:tcPr>
                  <w:tcW w:w="2136" w:type="dxa"/>
                  <w:tcBorders>
                    <w:tl2br w:val="nil"/>
                    <w:tr2bl w:val="nil"/>
                  </w:tcBorders>
                  <w:shd w:val="clear" w:color="auto" w:fill="auto"/>
                  <w:vAlign w:val="center"/>
                </w:tcPr>
                <w:p w14:paraId="0AE3810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89" w:type="dxa"/>
                  <w:tcBorders>
                    <w:tl2br w:val="nil"/>
                    <w:tr2bl w:val="nil"/>
                  </w:tcBorders>
                  <w:shd w:val="clear" w:color="auto" w:fill="auto"/>
                  <w:vAlign w:val="center"/>
                </w:tcPr>
                <w:p w14:paraId="1DA680B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4C94117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2.27E-01</w:t>
                  </w:r>
                </w:p>
              </w:tc>
              <w:tc>
                <w:tcPr>
                  <w:tcW w:w="1461" w:type="dxa"/>
                  <w:tcBorders>
                    <w:tl2br w:val="nil"/>
                    <w:tr2bl w:val="nil"/>
                  </w:tcBorders>
                  <w:shd w:val="clear" w:color="auto" w:fill="auto"/>
                  <w:vAlign w:val="center"/>
                </w:tcPr>
                <w:p w14:paraId="581A7E3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517B2EB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223F25C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6.81E-02</w:t>
                  </w:r>
                </w:p>
              </w:tc>
            </w:tr>
            <w:tr w14:paraId="622F16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3E49116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85</w:t>
                  </w:r>
                </w:p>
              </w:tc>
              <w:tc>
                <w:tcPr>
                  <w:tcW w:w="2136" w:type="dxa"/>
                  <w:tcBorders>
                    <w:tl2br w:val="nil"/>
                    <w:tr2bl w:val="nil"/>
                  </w:tcBorders>
                  <w:shd w:val="clear" w:color="auto" w:fill="auto"/>
                  <w:vAlign w:val="center"/>
                </w:tcPr>
                <w:p w14:paraId="617DA5D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89" w:type="dxa"/>
                  <w:tcBorders>
                    <w:tl2br w:val="nil"/>
                    <w:tr2bl w:val="nil"/>
                  </w:tcBorders>
                  <w:shd w:val="clear" w:color="auto" w:fill="auto"/>
                  <w:vAlign w:val="center"/>
                </w:tcPr>
                <w:p w14:paraId="3CB24E5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4E722DE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2.46E-01</w:t>
                  </w:r>
                </w:p>
              </w:tc>
              <w:tc>
                <w:tcPr>
                  <w:tcW w:w="1461" w:type="dxa"/>
                  <w:tcBorders>
                    <w:tl2br w:val="nil"/>
                    <w:tr2bl w:val="nil"/>
                  </w:tcBorders>
                  <w:shd w:val="clear" w:color="auto" w:fill="auto"/>
                  <w:vAlign w:val="center"/>
                </w:tcPr>
                <w:p w14:paraId="2CDA3B0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7DE806E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4360193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7.38E-02</w:t>
                  </w:r>
                </w:p>
              </w:tc>
            </w:tr>
            <w:tr w14:paraId="2A704B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496" w:type="dxa"/>
                  <w:gridSpan w:val="7"/>
                  <w:tcBorders>
                    <w:tl2br w:val="nil"/>
                    <w:tr2bl w:val="nil"/>
                  </w:tcBorders>
                  <w:shd w:val="clear" w:color="auto" w:fill="auto"/>
                  <w:vAlign w:val="center"/>
                </w:tcPr>
                <w:p w14:paraId="2875F2E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三层核素治疗区服碘室</w:t>
                  </w:r>
                </w:p>
              </w:tc>
            </w:tr>
            <w:tr w14:paraId="572B6C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7985548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86</w:t>
                  </w:r>
                </w:p>
              </w:tc>
              <w:tc>
                <w:tcPr>
                  <w:tcW w:w="2136" w:type="dxa"/>
                  <w:tcBorders>
                    <w:tl2br w:val="nil"/>
                    <w:tr2bl w:val="nil"/>
                  </w:tcBorders>
                  <w:shd w:val="clear" w:color="auto" w:fill="auto"/>
                  <w:vAlign w:val="center"/>
                </w:tcPr>
                <w:p w14:paraId="1A2293A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89" w:type="dxa"/>
                  <w:tcBorders>
                    <w:tl2br w:val="nil"/>
                    <w:tr2bl w:val="nil"/>
                  </w:tcBorders>
                  <w:shd w:val="clear" w:color="auto" w:fill="auto"/>
                  <w:vAlign w:val="center"/>
                </w:tcPr>
                <w:p w14:paraId="53C1B6D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2B32C72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2.22E+00</w:t>
                  </w:r>
                </w:p>
              </w:tc>
              <w:tc>
                <w:tcPr>
                  <w:tcW w:w="1461" w:type="dxa"/>
                  <w:tcBorders>
                    <w:tl2br w:val="nil"/>
                    <w:tr2bl w:val="nil"/>
                  </w:tcBorders>
                  <w:shd w:val="clear" w:color="auto" w:fill="auto"/>
                  <w:vAlign w:val="center"/>
                </w:tcPr>
                <w:p w14:paraId="7CD9BC2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1376029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2E9E82E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6.66E-01</w:t>
                  </w:r>
                </w:p>
              </w:tc>
            </w:tr>
            <w:tr w14:paraId="515046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0929020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87</w:t>
                  </w:r>
                </w:p>
              </w:tc>
              <w:tc>
                <w:tcPr>
                  <w:tcW w:w="2136" w:type="dxa"/>
                  <w:tcBorders>
                    <w:tl2br w:val="nil"/>
                    <w:tr2bl w:val="nil"/>
                  </w:tcBorders>
                  <w:shd w:val="clear" w:color="auto" w:fill="auto"/>
                  <w:vAlign w:val="center"/>
                </w:tcPr>
                <w:p w14:paraId="0FB28DB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89" w:type="dxa"/>
                  <w:tcBorders>
                    <w:tl2br w:val="nil"/>
                    <w:tr2bl w:val="nil"/>
                  </w:tcBorders>
                  <w:shd w:val="clear" w:color="auto" w:fill="auto"/>
                  <w:vAlign w:val="center"/>
                </w:tcPr>
                <w:p w14:paraId="2A94628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2301E66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2.46E+00</w:t>
                  </w:r>
                </w:p>
              </w:tc>
              <w:tc>
                <w:tcPr>
                  <w:tcW w:w="1461" w:type="dxa"/>
                  <w:tcBorders>
                    <w:tl2br w:val="nil"/>
                    <w:tr2bl w:val="nil"/>
                  </w:tcBorders>
                  <w:shd w:val="clear" w:color="auto" w:fill="auto"/>
                  <w:vAlign w:val="center"/>
                </w:tcPr>
                <w:p w14:paraId="13A258E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7BE3902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6DEAE41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b/>
                      <w:bCs/>
                      <w:i w:val="0"/>
                      <w:iCs w:val="0"/>
                      <w:color w:val="auto"/>
                      <w:kern w:val="0"/>
                      <w:sz w:val="16"/>
                      <w:szCs w:val="16"/>
                      <w:highlight w:val="none"/>
                      <w:u w:val="none"/>
                      <w:lang w:val="en-US" w:eastAsia="zh-CN" w:bidi="ar"/>
                    </w:rPr>
                    <w:t>7.38E-01</w:t>
                  </w:r>
                </w:p>
              </w:tc>
            </w:tr>
            <w:tr w14:paraId="7DA5C1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2DAAE5F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88</w:t>
                  </w:r>
                </w:p>
              </w:tc>
              <w:tc>
                <w:tcPr>
                  <w:tcW w:w="2136" w:type="dxa"/>
                  <w:tcBorders>
                    <w:tl2br w:val="nil"/>
                    <w:tr2bl w:val="nil"/>
                  </w:tcBorders>
                  <w:shd w:val="clear" w:color="auto" w:fill="auto"/>
                  <w:vAlign w:val="center"/>
                </w:tcPr>
                <w:p w14:paraId="148086E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89" w:type="dxa"/>
                  <w:tcBorders>
                    <w:tl2br w:val="nil"/>
                    <w:tr2bl w:val="nil"/>
                  </w:tcBorders>
                  <w:shd w:val="clear" w:color="auto" w:fill="auto"/>
                  <w:vAlign w:val="center"/>
                </w:tcPr>
                <w:p w14:paraId="49C9F42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2265742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2.27E-01</w:t>
                  </w:r>
                </w:p>
              </w:tc>
              <w:tc>
                <w:tcPr>
                  <w:tcW w:w="1461" w:type="dxa"/>
                  <w:tcBorders>
                    <w:tl2br w:val="nil"/>
                    <w:tr2bl w:val="nil"/>
                  </w:tcBorders>
                  <w:shd w:val="clear" w:color="auto" w:fill="auto"/>
                  <w:vAlign w:val="center"/>
                </w:tcPr>
                <w:p w14:paraId="539701B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596FE60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6672B30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6.81E-02</w:t>
                  </w:r>
                </w:p>
              </w:tc>
            </w:tr>
            <w:tr w14:paraId="6C6A09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1CC9817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89</w:t>
                  </w:r>
                </w:p>
              </w:tc>
              <w:tc>
                <w:tcPr>
                  <w:tcW w:w="2136" w:type="dxa"/>
                  <w:tcBorders>
                    <w:tl2br w:val="nil"/>
                    <w:tr2bl w:val="nil"/>
                  </w:tcBorders>
                  <w:shd w:val="clear" w:color="auto" w:fill="auto"/>
                  <w:vAlign w:val="center"/>
                </w:tcPr>
                <w:p w14:paraId="6BEBE89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89" w:type="dxa"/>
                  <w:tcBorders>
                    <w:tl2br w:val="nil"/>
                    <w:tr2bl w:val="nil"/>
                  </w:tcBorders>
                  <w:shd w:val="clear" w:color="auto" w:fill="auto"/>
                  <w:vAlign w:val="center"/>
                </w:tcPr>
                <w:p w14:paraId="525BEAC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0FFEE7F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2.46E-01</w:t>
                  </w:r>
                </w:p>
              </w:tc>
              <w:tc>
                <w:tcPr>
                  <w:tcW w:w="1461" w:type="dxa"/>
                  <w:tcBorders>
                    <w:tl2br w:val="nil"/>
                    <w:tr2bl w:val="nil"/>
                  </w:tcBorders>
                  <w:shd w:val="clear" w:color="auto" w:fill="auto"/>
                  <w:vAlign w:val="center"/>
                </w:tcPr>
                <w:p w14:paraId="7DC88A0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5D479F8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3EA00CE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7.38E-02</w:t>
                  </w:r>
                </w:p>
              </w:tc>
            </w:tr>
            <w:tr w14:paraId="1BBA3E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496" w:type="dxa"/>
                  <w:gridSpan w:val="7"/>
                  <w:tcBorders>
                    <w:tl2br w:val="nil"/>
                    <w:tr2bl w:val="nil"/>
                  </w:tcBorders>
                  <w:shd w:val="clear" w:color="auto" w:fill="auto"/>
                  <w:vAlign w:val="center"/>
                </w:tcPr>
                <w:p w14:paraId="46BC744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三层核素治疗区甲癌治疗病房</w:t>
                  </w:r>
                </w:p>
              </w:tc>
            </w:tr>
            <w:tr w14:paraId="601324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7609F98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90</w:t>
                  </w:r>
                </w:p>
              </w:tc>
              <w:tc>
                <w:tcPr>
                  <w:tcW w:w="2136" w:type="dxa"/>
                  <w:tcBorders>
                    <w:tl2br w:val="nil"/>
                    <w:tr2bl w:val="nil"/>
                  </w:tcBorders>
                  <w:shd w:val="clear" w:color="auto" w:fill="auto"/>
                  <w:vAlign w:val="center"/>
                </w:tcPr>
                <w:p w14:paraId="5E194B8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89" w:type="dxa"/>
                  <w:tcBorders>
                    <w:tl2br w:val="nil"/>
                    <w:tr2bl w:val="nil"/>
                  </w:tcBorders>
                  <w:shd w:val="clear" w:color="auto" w:fill="auto"/>
                  <w:vAlign w:val="center"/>
                </w:tcPr>
                <w:p w14:paraId="01E4D89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33E7431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1.36E+00</w:t>
                  </w:r>
                </w:p>
              </w:tc>
              <w:tc>
                <w:tcPr>
                  <w:tcW w:w="1461" w:type="dxa"/>
                  <w:tcBorders>
                    <w:tl2br w:val="nil"/>
                    <w:tr2bl w:val="nil"/>
                  </w:tcBorders>
                  <w:shd w:val="clear" w:color="auto" w:fill="auto"/>
                  <w:vAlign w:val="center"/>
                </w:tcPr>
                <w:p w14:paraId="2724372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0D34703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0C36812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4.08E-01</w:t>
                  </w:r>
                </w:p>
              </w:tc>
            </w:tr>
            <w:tr w14:paraId="729120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281F926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91</w:t>
                  </w:r>
                </w:p>
              </w:tc>
              <w:tc>
                <w:tcPr>
                  <w:tcW w:w="2136" w:type="dxa"/>
                  <w:tcBorders>
                    <w:tl2br w:val="nil"/>
                    <w:tr2bl w:val="nil"/>
                  </w:tcBorders>
                  <w:shd w:val="clear" w:color="auto" w:fill="auto"/>
                  <w:vAlign w:val="center"/>
                </w:tcPr>
                <w:p w14:paraId="4D29A1C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89" w:type="dxa"/>
                  <w:tcBorders>
                    <w:tl2br w:val="nil"/>
                    <w:tr2bl w:val="nil"/>
                  </w:tcBorders>
                  <w:shd w:val="clear" w:color="auto" w:fill="auto"/>
                  <w:vAlign w:val="center"/>
                </w:tcPr>
                <w:p w14:paraId="620CF6F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2D902CE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2.19E+00</w:t>
                  </w:r>
                </w:p>
              </w:tc>
              <w:tc>
                <w:tcPr>
                  <w:tcW w:w="1461" w:type="dxa"/>
                  <w:tcBorders>
                    <w:tl2br w:val="nil"/>
                    <w:tr2bl w:val="nil"/>
                  </w:tcBorders>
                  <w:shd w:val="clear" w:color="auto" w:fill="auto"/>
                  <w:vAlign w:val="center"/>
                </w:tcPr>
                <w:p w14:paraId="0430A25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60226D2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2E07CFE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6.57E-01</w:t>
                  </w:r>
                </w:p>
              </w:tc>
            </w:tr>
            <w:tr w14:paraId="624BB1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2DACF95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92</w:t>
                  </w:r>
                </w:p>
              </w:tc>
              <w:tc>
                <w:tcPr>
                  <w:tcW w:w="2136" w:type="dxa"/>
                  <w:tcBorders>
                    <w:tl2br w:val="nil"/>
                    <w:tr2bl w:val="nil"/>
                  </w:tcBorders>
                  <w:shd w:val="clear" w:color="auto" w:fill="auto"/>
                  <w:vAlign w:val="center"/>
                </w:tcPr>
                <w:p w14:paraId="4C142E5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89" w:type="dxa"/>
                  <w:tcBorders>
                    <w:tl2br w:val="nil"/>
                    <w:tr2bl w:val="nil"/>
                  </w:tcBorders>
                  <w:shd w:val="clear" w:color="auto" w:fill="auto"/>
                  <w:vAlign w:val="center"/>
                </w:tcPr>
                <w:p w14:paraId="5FCBD5B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57A7359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2.27E-01</w:t>
                  </w:r>
                </w:p>
              </w:tc>
              <w:tc>
                <w:tcPr>
                  <w:tcW w:w="1461" w:type="dxa"/>
                  <w:tcBorders>
                    <w:tl2br w:val="nil"/>
                    <w:tr2bl w:val="nil"/>
                  </w:tcBorders>
                  <w:shd w:val="clear" w:color="auto" w:fill="auto"/>
                  <w:vAlign w:val="center"/>
                </w:tcPr>
                <w:p w14:paraId="641144D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5AD9F9D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04EE233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6.81E-02</w:t>
                  </w:r>
                </w:p>
              </w:tc>
            </w:tr>
            <w:tr w14:paraId="4760B7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47D4B88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93</w:t>
                  </w:r>
                </w:p>
              </w:tc>
              <w:tc>
                <w:tcPr>
                  <w:tcW w:w="2136" w:type="dxa"/>
                  <w:tcBorders>
                    <w:tl2br w:val="nil"/>
                    <w:tr2bl w:val="nil"/>
                  </w:tcBorders>
                  <w:shd w:val="clear" w:color="auto" w:fill="auto"/>
                  <w:vAlign w:val="center"/>
                </w:tcPr>
                <w:p w14:paraId="3CE14DF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89" w:type="dxa"/>
                  <w:tcBorders>
                    <w:tl2br w:val="nil"/>
                    <w:tr2bl w:val="nil"/>
                  </w:tcBorders>
                  <w:shd w:val="clear" w:color="auto" w:fill="auto"/>
                  <w:vAlign w:val="center"/>
                </w:tcPr>
                <w:p w14:paraId="0A51113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08F4541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2.46E-01</w:t>
                  </w:r>
                </w:p>
              </w:tc>
              <w:tc>
                <w:tcPr>
                  <w:tcW w:w="1461" w:type="dxa"/>
                  <w:tcBorders>
                    <w:tl2br w:val="nil"/>
                    <w:tr2bl w:val="nil"/>
                  </w:tcBorders>
                  <w:shd w:val="clear" w:color="auto" w:fill="auto"/>
                  <w:vAlign w:val="center"/>
                </w:tcPr>
                <w:p w14:paraId="22C5EB1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75BC96D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2B26AB3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7.38E-02</w:t>
                  </w:r>
                </w:p>
              </w:tc>
            </w:tr>
            <w:tr w14:paraId="191355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3" w:hRule="exact"/>
                <w:jc w:val="center"/>
              </w:trPr>
              <w:tc>
                <w:tcPr>
                  <w:tcW w:w="9496" w:type="dxa"/>
                  <w:gridSpan w:val="7"/>
                  <w:tcBorders>
                    <w:tl2br w:val="nil"/>
                    <w:tr2bl w:val="nil"/>
                  </w:tcBorders>
                  <w:shd w:val="clear" w:color="auto" w:fill="auto"/>
                  <w:vAlign w:val="center"/>
                </w:tcPr>
                <w:p w14:paraId="319D407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三层核素治疗区放废库</w:t>
                  </w:r>
                </w:p>
              </w:tc>
            </w:tr>
            <w:tr w14:paraId="36780C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441B93F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94</w:t>
                  </w:r>
                </w:p>
              </w:tc>
              <w:tc>
                <w:tcPr>
                  <w:tcW w:w="2136" w:type="dxa"/>
                  <w:tcBorders>
                    <w:tl2br w:val="nil"/>
                    <w:tr2bl w:val="nil"/>
                  </w:tcBorders>
                  <w:shd w:val="clear" w:color="auto" w:fill="auto"/>
                  <w:vAlign w:val="center"/>
                </w:tcPr>
                <w:p w14:paraId="32A2914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89" w:type="dxa"/>
                  <w:tcBorders>
                    <w:tl2br w:val="nil"/>
                    <w:tr2bl w:val="nil"/>
                  </w:tcBorders>
                  <w:shd w:val="clear" w:color="auto" w:fill="auto"/>
                  <w:vAlign w:val="center"/>
                </w:tcPr>
                <w:p w14:paraId="259465A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43AEF76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1.15E+00</w:t>
                  </w:r>
                </w:p>
              </w:tc>
              <w:tc>
                <w:tcPr>
                  <w:tcW w:w="1461" w:type="dxa"/>
                  <w:tcBorders>
                    <w:tl2br w:val="nil"/>
                    <w:tr2bl w:val="nil"/>
                  </w:tcBorders>
                  <w:shd w:val="clear" w:color="auto" w:fill="auto"/>
                  <w:vAlign w:val="center"/>
                </w:tcPr>
                <w:p w14:paraId="76AE53A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19D957E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4211EAD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3.45E-01</w:t>
                  </w:r>
                </w:p>
              </w:tc>
            </w:tr>
            <w:tr w14:paraId="3584AC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1A8BE1F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95</w:t>
                  </w:r>
                </w:p>
              </w:tc>
              <w:tc>
                <w:tcPr>
                  <w:tcW w:w="2136" w:type="dxa"/>
                  <w:tcBorders>
                    <w:tl2br w:val="nil"/>
                    <w:tr2bl w:val="nil"/>
                  </w:tcBorders>
                  <w:shd w:val="clear" w:color="auto" w:fill="auto"/>
                  <w:vAlign w:val="center"/>
                </w:tcPr>
                <w:p w14:paraId="03A5560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89" w:type="dxa"/>
                  <w:tcBorders>
                    <w:tl2br w:val="nil"/>
                    <w:tr2bl w:val="nil"/>
                  </w:tcBorders>
                  <w:shd w:val="clear" w:color="auto" w:fill="auto"/>
                  <w:vAlign w:val="center"/>
                </w:tcPr>
                <w:p w14:paraId="10B4121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61862F7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1.96E+00</w:t>
                  </w:r>
                </w:p>
              </w:tc>
              <w:tc>
                <w:tcPr>
                  <w:tcW w:w="1461" w:type="dxa"/>
                  <w:tcBorders>
                    <w:tl2br w:val="nil"/>
                    <w:tr2bl w:val="nil"/>
                  </w:tcBorders>
                  <w:shd w:val="clear" w:color="auto" w:fill="auto"/>
                  <w:vAlign w:val="center"/>
                </w:tcPr>
                <w:p w14:paraId="0E90BC7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748F0F0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2F46F3B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5.88E-01</w:t>
                  </w:r>
                </w:p>
              </w:tc>
            </w:tr>
            <w:tr w14:paraId="6FCBBE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2AD28AA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96</w:t>
                  </w:r>
                </w:p>
              </w:tc>
              <w:tc>
                <w:tcPr>
                  <w:tcW w:w="2136" w:type="dxa"/>
                  <w:tcBorders>
                    <w:tl2br w:val="nil"/>
                    <w:tr2bl w:val="nil"/>
                  </w:tcBorders>
                  <w:shd w:val="clear" w:color="auto" w:fill="auto"/>
                  <w:vAlign w:val="center"/>
                </w:tcPr>
                <w:p w14:paraId="419E599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89" w:type="dxa"/>
                  <w:tcBorders>
                    <w:tl2br w:val="nil"/>
                    <w:tr2bl w:val="nil"/>
                  </w:tcBorders>
                  <w:shd w:val="clear" w:color="auto" w:fill="auto"/>
                  <w:vAlign w:val="center"/>
                </w:tcPr>
                <w:p w14:paraId="48D833E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787F95B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2.27E-01</w:t>
                  </w:r>
                </w:p>
              </w:tc>
              <w:tc>
                <w:tcPr>
                  <w:tcW w:w="1461" w:type="dxa"/>
                  <w:tcBorders>
                    <w:tl2br w:val="nil"/>
                    <w:tr2bl w:val="nil"/>
                  </w:tcBorders>
                  <w:shd w:val="clear" w:color="auto" w:fill="auto"/>
                  <w:vAlign w:val="center"/>
                </w:tcPr>
                <w:p w14:paraId="067A3D6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138DE52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1FC5EF0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6.81E-02</w:t>
                  </w:r>
                </w:p>
              </w:tc>
            </w:tr>
            <w:tr w14:paraId="188683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56B236D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97</w:t>
                  </w:r>
                </w:p>
              </w:tc>
              <w:tc>
                <w:tcPr>
                  <w:tcW w:w="2136" w:type="dxa"/>
                  <w:tcBorders>
                    <w:tl2br w:val="nil"/>
                    <w:tr2bl w:val="nil"/>
                  </w:tcBorders>
                  <w:shd w:val="clear" w:color="auto" w:fill="auto"/>
                  <w:vAlign w:val="center"/>
                </w:tcPr>
                <w:p w14:paraId="50E7217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89" w:type="dxa"/>
                  <w:tcBorders>
                    <w:tl2br w:val="nil"/>
                    <w:tr2bl w:val="nil"/>
                  </w:tcBorders>
                  <w:shd w:val="clear" w:color="auto" w:fill="auto"/>
                  <w:vAlign w:val="center"/>
                </w:tcPr>
                <w:p w14:paraId="6C43CAF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210C559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2.46E-01</w:t>
                  </w:r>
                </w:p>
              </w:tc>
              <w:tc>
                <w:tcPr>
                  <w:tcW w:w="1461" w:type="dxa"/>
                  <w:tcBorders>
                    <w:tl2br w:val="nil"/>
                    <w:tr2bl w:val="nil"/>
                  </w:tcBorders>
                  <w:shd w:val="clear" w:color="auto" w:fill="auto"/>
                  <w:vAlign w:val="center"/>
                </w:tcPr>
                <w:p w14:paraId="1266197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70863A5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5730915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7.38E-02</w:t>
                  </w:r>
                </w:p>
              </w:tc>
            </w:tr>
            <w:tr w14:paraId="34C38E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496" w:type="dxa"/>
                  <w:gridSpan w:val="7"/>
                  <w:tcBorders>
                    <w:tl2br w:val="nil"/>
                    <w:tr2bl w:val="nil"/>
                  </w:tcBorders>
                  <w:shd w:val="clear" w:color="auto" w:fill="auto"/>
                  <w:vAlign w:val="center"/>
                </w:tcPr>
                <w:p w14:paraId="6CD3636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三层核素治疗区抢救室</w:t>
                  </w:r>
                </w:p>
              </w:tc>
            </w:tr>
            <w:tr w14:paraId="4D2269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0C92587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98</w:t>
                  </w:r>
                </w:p>
              </w:tc>
              <w:tc>
                <w:tcPr>
                  <w:tcW w:w="2136" w:type="dxa"/>
                  <w:tcBorders>
                    <w:tl2br w:val="nil"/>
                    <w:tr2bl w:val="nil"/>
                  </w:tcBorders>
                  <w:shd w:val="clear" w:color="auto" w:fill="auto"/>
                  <w:vAlign w:val="center"/>
                </w:tcPr>
                <w:p w14:paraId="1B91F0D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89" w:type="dxa"/>
                  <w:tcBorders>
                    <w:tl2br w:val="nil"/>
                    <w:tr2bl w:val="nil"/>
                  </w:tcBorders>
                  <w:shd w:val="clear" w:color="auto" w:fill="auto"/>
                  <w:vAlign w:val="center"/>
                </w:tcPr>
                <w:p w14:paraId="43D4537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74DE33F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1.36E+00</w:t>
                  </w:r>
                </w:p>
              </w:tc>
              <w:tc>
                <w:tcPr>
                  <w:tcW w:w="1461" w:type="dxa"/>
                  <w:tcBorders>
                    <w:tl2br w:val="nil"/>
                    <w:tr2bl w:val="nil"/>
                  </w:tcBorders>
                  <w:shd w:val="clear" w:color="auto" w:fill="auto"/>
                  <w:vAlign w:val="center"/>
                </w:tcPr>
                <w:p w14:paraId="66FA043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759BF8C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403F50F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4.08E-01</w:t>
                  </w:r>
                </w:p>
              </w:tc>
            </w:tr>
            <w:tr w14:paraId="62DBB3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30BB3CC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99</w:t>
                  </w:r>
                </w:p>
              </w:tc>
              <w:tc>
                <w:tcPr>
                  <w:tcW w:w="2136" w:type="dxa"/>
                  <w:tcBorders>
                    <w:tl2br w:val="nil"/>
                    <w:tr2bl w:val="nil"/>
                  </w:tcBorders>
                  <w:shd w:val="clear" w:color="auto" w:fill="auto"/>
                  <w:vAlign w:val="center"/>
                </w:tcPr>
                <w:p w14:paraId="3FF9C78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89" w:type="dxa"/>
                  <w:tcBorders>
                    <w:tl2br w:val="nil"/>
                    <w:tr2bl w:val="nil"/>
                  </w:tcBorders>
                  <w:shd w:val="clear" w:color="auto" w:fill="auto"/>
                  <w:vAlign w:val="center"/>
                </w:tcPr>
                <w:p w14:paraId="5B18EA5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39190B3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2.32E+00</w:t>
                  </w:r>
                </w:p>
              </w:tc>
              <w:tc>
                <w:tcPr>
                  <w:tcW w:w="1461" w:type="dxa"/>
                  <w:tcBorders>
                    <w:tl2br w:val="nil"/>
                    <w:tr2bl w:val="nil"/>
                  </w:tcBorders>
                  <w:shd w:val="clear" w:color="auto" w:fill="auto"/>
                  <w:vAlign w:val="center"/>
                </w:tcPr>
                <w:p w14:paraId="40DF066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37A60F9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3864910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6.96E-01</w:t>
                  </w:r>
                </w:p>
              </w:tc>
            </w:tr>
            <w:tr w14:paraId="7C15D7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09E4472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100</w:t>
                  </w:r>
                </w:p>
              </w:tc>
              <w:tc>
                <w:tcPr>
                  <w:tcW w:w="2136" w:type="dxa"/>
                  <w:tcBorders>
                    <w:tl2br w:val="nil"/>
                    <w:tr2bl w:val="nil"/>
                  </w:tcBorders>
                  <w:shd w:val="clear" w:color="auto" w:fill="auto"/>
                  <w:vAlign w:val="center"/>
                </w:tcPr>
                <w:p w14:paraId="2262BDA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89" w:type="dxa"/>
                  <w:tcBorders>
                    <w:tl2br w:val="nil"/>
                    <w:tr2bl w:val="nil"/>
                  </w:tcBorders>
                  <w:shd w:val="clear" w:color="auto" w:fill="auto"/>
                  <w:vAlign w:val="center"/>
                </w:tcPr>
                <w:p w14:paraId="28CEE71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6A02C6D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2.27E-01</w:t>
                  </w:r>
                </w:p>
              </w:tc>
              <w:tc>
                <w:tcPr>
                  <w:tcW w:w="1461" w:type="dxa"/>
                  <w:tcBorders>
                    <w:tl2br w:val="nil"/>
                    <w:tr2bl w:val="nil"/>
                  </w:tcBorders>
                  <w:shd w:val="clear" w:color="auto" w:fill="auto"/>
                  <w:vAlign w:val="center"/>
                </w:tcPr>
                <w:p w14:paraId="25491E4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2EB54BC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1C01487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6.81E-02</w:t>
                  </w:r>
                </w:p>
              </w:tc>
            </w:tr>
            <w:tr w14:paraId="1288EF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3B30AEF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101</w:t>
                  </w:r>
                </w:p>
              </w:tc>
              <w:tc>
                <w:tcPr>
                  <w:tcW w:w="2136" w:type="dxa"/>
                  <w:tcBorders>
                    <w:tl2br w:val="nil"/>
                    <w:tr2bl w:val="nil"/>
                  </w:tcBorders>
                  <w:shd w:val="clear" w:color="auto" w:fill="auto"/>
                  <w:vAlign w:val="center"/>
                </w:tcPr>
                <w:p w14:paraId="4BE4AC3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89" w:type="dxa"/>
                  <w:tcBorders>
                    <w:tl2br w:val="nil"/>
                    <w:tr2bl w:val="nil"/>
                  </w:tcBorders>
                  <w:shd w:val="clear" w:color="auto" w:fill="auto"/>
                  <w:vAlign w:val="center"/>
                </w:tcPr>
                <w:p w14:paraId="2C16C23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5DA4AC8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2.46E-01</w:t>
                  </w:r>
                </w:p>
              </w:tc>
              <w:tc>
                <w:tcPr>
                  <w:tcW w:w="1461" w:type="dxa"/>
                  <w:tcBorders>
                    <w:tl2br w:val="nil"/>
                    <w:tr2bl w:val="nil"/>
                  </w:tcBorders>
                  <w:shd w:val="clear" w:color="auto" w:fill="auto"/>
                  <w:vAlign w:val="center"/>
                </w:tcPr>
                <w:p w14:paraId="7AA5DBE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0DD8C30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141F625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7.38E-02</w:t>
                  </w:r>
                </w:p>
              </w:tc>
            </w:tr>
            <w:tr w14:paraId="0494CD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3" w:hRule="exact"/>
                <w:jc w:val="center"/>
              </w:trPr>
              <w:tc>
                <w:tcPr>
                  <w:tcW w:w="9496" w:type="dxa"/>
                  <w:gridSpan w:val="7"/>
                  <w:tcBorders>
                    <w:tl2br w:val="nil"/>
                    <w:tr2bl w:val="nil"/>
                  </w:tcBorders>
                  <w:shd w:val="clear" w:color="auto" w:fill="auto"/>
                  <w:vAlign w:val="center"/>
                </w:tcPr>
                <w:p w14:paraId="04C13FC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三层核素治疗区被服间</w:t>
                  </w:r>
                </w:p>
              </w:tc>
            </w:tr>
            <w:tr w14:paraId="256140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2F802B8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102</w:t>
                  </w:r>
                </w:p>
              </w:tc>
              <w:tc>
                <w:tcPr>
                  <w:tcW w:w="2136" w:type="dxa"/>
                  <w:tcBorders>
                    <w:tl2br w:val="nil"/>
                    <w:tr2bl w:val="nil"/>
                  </w:tcBorders>
                  <w:shd w:val="clear" w:color="auto" w:fill="auto"/>
                  <w:vAlign w:val="center"/>
                </w:tcPr>
                <w:p w14:paraId="467469A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墙外30cm处</w:t>
                  </w:r>
                </w:p>
              </w:tc>
              <w:tc>
                <w:tcPr>
                  <w:tcW w:w="989" w:type="dxa"/>
                  <w:tcBorders>
                    <w:tl2br w:val="nil"/>
                    <w:tr2bl w:val="nil"/>
                  </w:tcBorders>
                  <w:shd w:val="clear" w:color="auto" w:fill="auto"/>
                  <w:vAlign w:val="center"/>
                </w:tcPr>
                <w:p w14:paraId="7E89103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0ACFB69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1.36E+00</w:t>
                  </w:r>
                </w:p>
              </w:tc>
              <w:tc>
                <w:tcPr>
                  <w:tcW w:w="1461" w:type="dxa"/>
                  <w:tcBorders>
                    <w:tl2br w:val="nil"/>
                    <w:tr2bl w:val="nil"/>
                  </w:tcBorders>
                  <w:shd w:val="clear" w:color="auto" w:fill="auto"/>
                  <w:vAlign w:val="center"/>
                </w:tcPr>
                <w:p w14:paraId="1CCF3E9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6A3C9BF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014F3FD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4.08E-01</w:t>
                  </w:r>
                </w:p>
              </w:tc>
            </w:tr>
            <w:tr w14:paraId="53C48B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6CA1D4A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103</w:t>
                  </w:r>
                </w:p>
              </w:tc>
              <w:tc>
                <w:tcPr>
                  <w:tcW w:w="2136" w:type="dxa"/>
                  <w:tcBorders>
                    <w:tl2br w:val="nil"/>
                    <w:tr2bl w:val="nil"/>
                  </w:tcBorders>
                  <w:shd w:val="clear" w:color="auto" w:fill="auto"/>
                  <w:vAlign w:val="center"/>
                </w:tcPr>
                <w:p w14:paraId="0A3F7EC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防护门</w:t>
                  </w:r>
                </w:p>
              </w:tc>
              <w:tc>
                <w:tcPr>
                  <w:tcW w:w="989" w:type="dxa"/>
                  <w:tcBorders>
                    <w:tl2br w:val="nil"/>
                    <w:tr2bl w:val="nil"/>
                  </w:tcBorders>
                  <w:shd w:val="clear" w:color="auto" w:fill="auto"/>
                  <w:vAlign w:val="center"/>
                </w:tcPr>
                <w:p w14:paraId="46910E1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22BD59F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1.96E+00</w:t>
                  </w:r>
                </w:p>
              </w:tc>
              <w:tc>
                <w:tcPr>
                  <w:tcW w:w="1461" w:type="dxa"/>
                  <w:tcBorders>
                    <w:tl2br w:val="nil"/>
                    <w:tr2bl w:val="nil"/>
                  </w:tcBorders>
                  <w:shd w:val="clear" w:color="auto" w:fill="auto"/>
                  <w:vAlign w:val="center"/>
                </w:tcPr>
                <w:p w14:paraId="0FF8F1A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7221952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12AB022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5.88E-01</w:t>
                  </w:r>
                </w:p>
              </w:tc>
            </w:tr>
            <w:tr w14:paraId="6602B6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1F67E36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104</w:t>
                  </w:r>
                </w:p>
              </w:tc>
              <w:tc>
                <w:tcPr>
                  <w:tcW w:w="2136" w:type="dxa"/>
                  <w:tcBorders>
                    <w:tl2br w:val="nil"/>
                    <w:tr2bl w:val="nil"/>
                  </w:tcBorders>
                  <w:shd w:val="clear" w:color="auto" w:fill="auto"/>
                  <w:vAlign w:val="center"/>
                </w:tcPr>
                <w:p w14:paraId="7B38063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顶棚上方50cm处</w:t>
                  </w:r>
                </w:p>
              </w:tc>
              <w:tc>
                <w:tcPr>
                  <w:tcW w:w="989" w:type="dxa"/>
                  <w:tcBorders>
                    <w:tl2br w:val="nil"/>
                    <w:tr2bl w:val="nil"/>
                  </w:tcBorders>
                  <w:shd w:val="clear" w:color="auto" w:fill="auto"/>
                  <w:vAlign w:val="center"/>
                </w:tcPr>
                <w:p w14:paraId="3F62643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790669C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2.27E-01</w:t>
                  </w:r>
                </w:p>
              </w:tc>
              <w:tc>
                <w:tcPr>
                  <w:tcW w:w="1461" w:type="dxa"/>
                  <w:tcBorders>
                    <w:tl2br w:val="nil"/>
                    <w:tr2bl w:val="nil"/>
                  </w:tcBorders>
                  <w:shd w:val="clear" w:color="auto" w:fill="auto"/>
                  <w:vAlign w:val="center"/>
                </w:tcPr>
                <w:p w14:paraId="79007A5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6BD56BD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4BBFCE6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6.81E-02</w:t>
                  </w:r>
                </w:p>
              </w:tc>
            </w:tr>
            <w:tr w14:paraId="4E245E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3" w:hRule="exact"/>
                <w:jc w:val="center"/>
              </w:trPr>
              <w:tc>
                <w:tcPr>
                  <w:tcW w:w="987" w:type="dxa"/>
                  <w:tcBorders>
                    <w:tl2br w:val="nil"/>
                    <w:tr2bl w:val="nil"/>
                  </w:tcBorders>
                  <w:shd w:val="clear" w:color="auto" w:fill="auto"/>
                  <w:vAlign w:val="center"/>
                </w:tcPr>
                <w:p w14:paraId="5E47A48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105</w:t>
                  </w:r>
                </w:p>
              </w:tc>
              <w:tc>
                <w:tcPr>
                  <w:tcW w:w="2136" w:type="dxa"/>
                  <w:tcBorders>
                    <w:tl2br w:val="nil"/>
                    <w:tr2bl w:val="nil"/>
                  </w:tcBorders>
                  <w:shd w:val="clear" w:color="auto" w:fill="auto"/>
                  <w:vAlign w:val="center"/>
                </w:tcPr>
                <w:p w14:paraId="64690D8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楼下距地1.7m处</w:t>
                  </w:r>
                </w:p>
              </w:tc>
              <w:tc>
                <w:tcPr>
                  <w:tcW w:w="989" w:type="dxa"/>
                  <w:tcBorders>
                    <w:tl2br w:val="nil"/>
                    <w:tr2bl w:val="nil"/>
                  </w:tcBorders>
                  <w:shd w:val="clear" w:color="auto" w:fill="auto"/>
                  <w:vAlign w:val="center"/>
                </w:tcPr>
                <w:p w14:paraId="50377BA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公众</w:t>
                  </w:r>
                </w:p>
              </w:tc>
              <w:tc>
                <w:tcPr>
                  <w:tcW w:w="1419" w:type="dxa"/>
                  <w:tcBorders>
                    <w:tl2br w:val="nil"/>
                    <w:tr2bl w:val="nil"/>
                  </w:tcBorders>
                  <w:shd w:val="clear" w:color="auto" w:fill="auto"/>
                  <w:vAlign w:val="center"/>
                </w:tcPr>
                <w:p w14:paraId="419CC71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2.46E-01</w:t>
                  </w:r>
                </w:p>
              </w:tc>
              <w:tc>
                <w:tcPr>
                  <w:tcW w:w="1461" w:type="dxa"/>
                  <w:tcBorders>
                    <w:tl2br w:val="nil"/>
                    <w:tr2bl w:val="nil"/>
                  </w:tcBorders>
                  <w:shd w:val="clear" w:color="auto" w:fill="auto"/>
                  <w:vAlign w:val="center"/>
                </w:tcPr>
                <w:p w14:paraId="339D6FB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6000</w:t>
                  </w:r>
                </w:p>
              </w:tc>
              <w:tc>
                <w:tcPr>
                  <w:tcW w:w="992" w:type="dxa"/>
                  <w:tcBorders>
                    <w:tl2br w:val="nil"/>
                    <w:tr2bl w:val="nil"/>
                  </w:tcBorders>
                  <w:shd w:val="clear" w:color="auto" w:fill="auto"/>
                  <w:noWrap/>
                  <w:vAlign w:val="center"/>
                </w:tcPr>
                <w:p w14:paraId="5365D53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1/20</w:t>
                  </w:r>
                </w:p>
              </w:tc>
              <w:tc>
                <w:tcPr>
                  <w:tcW w:w="1512" w:type="dxa"/>
                  <w:tcBorders>
                    <w:tl2br w:val="nil"/>
                    <w:tr2bl w:val="nil"/>
                  </w:tcBorders>
                  <w:shd w:val="clear" w:color="auto" w:fill="auto"/>
                  <w:vAlign w:val="center"/>
                </w:tcPr>
                <w:p w14:paraId="52FC995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7.38E-02</w:t>
                  </w:r>
                </w:p>
              </w:tc>
            </w:tr>
          </w:tbl>
          <w:p w14:paraId="5836AC9F">
            <w:pPr>
              <w:keepNext w:val="0"/>
              <w:keepLines w:val="0"/>
              <w:suppressLineNumbers w:val="0"/>
              <w:spacing w:before="0" w:beforeLines="0" w:beforeAutospacing="0" w:after="0" w:afterLines="0" w:afterAutospacing="0" w:line="360" w:lineRule="auto"/>
              <w:ind w:left="0" w:right="0" w:firstLine="360" w:firstLineChars="200"/>
              <w:jc w:val="both"/>
              <w:rPr>
                <w:rFonts w:hint="default" w:ascii="Times New Roman" w:hAnsi="Times New Roman" w:eastAsia="宋体" w:cs="Times New Roman"/>
                <w:color w:val="auto"/>
                <w:sz w:val="18"/>
                <w:szCs w:val="18"/>
                <w:highlight w:val="none"/>
                <w:lang w:val="en-US" w:eastAsia="zh-CN"/>
              </w:rPr>
            </w:pPr>
            <w:r>
              <w:rPr>
                <w:rFonts w:hint="default" w:ascii="Times New Roman" w:hAnsi="Times New Roman" w:eastAsia="宋体" w:cs="Times New Roman"/>
                <w:color w:val="auto"/>
                <w:sz w:val="18"/>
                <w:szCs w:val="18"/>
                <w:highlight w:val="none"/>
                <w:lang w:val="en-US" w:eastAsia="zh-CN"/>
              </w:rPr>
              <w:t>注：</w:t>
            </w:r>
            <w:r>
              <w:rPr>
                <w:rFonts w:hint="eastAsia" w:ascii="Times New Roman" w:hAnsi="Times New Roman" w:eastAsia="宋体" w:cs="Times New Roman"/>
                <w:color w:val="auto"/>
                <w:sz w:val="18"/>
                <w:szCs w:val="18"/>
                <w:highlight w:val="none"/>
                <w:lang w:val="en-US" w:eastAsia="zh-CN"/>
              </w:rPr>
              <w:t>核素治疗</w:t>
            </w:r>
            <w:r>
              <w:rPr>
                <w:rFonts w:hint="eastAsia" w:ascii="Times New Roman" w:hAnsi="Times New Roman" w:cs="Times New Roman"/>
                <w:color w:val="auto"/>
                <w:sz w:val="18"/>
                <w:szCs w:val="18"/>
                <w:highlight w:val="none"/>
                <w:lang w:val="en-US" w:eastAsia="zh-CN"/>
              </w:rPr>
              <w:t>区</w:t>
            </w:r>
            <w:r>
              <w:rPr>
                <w:rFonts w:hint="default" w:ascii="Times New Roman" w:hAnsi="Times New Roman" w:eastAsia="宋体" w:cs="Times New Roman"/>
                <w:color w:val="auto"/>
                <w:sz w:val="18"/>
                <w:szCs w:val="18"/>
                <w:highlight w:val="none"/>
                <w:lang w:val="en-US" w:eastAsia="zh-CN"/>
              </w:rPr>
              <w:t>位于</w:t>
            </w:r>
            <w:r>
              <w:rPr>
                <w:rFonts w:hint="eastAsia" w:ascii="Times New Roman" w:hAnsi="Times New Roman" w:eastAsia="宋体" w:cs="Times New Roman"/>
                <w:color w:val="auto"/>
                <w:sz w:val="18"/>
                <w:szCs w:val="18"/>
                <w:highlight w:val="none"/>
                <w:lang w:val="en-US" w:eastAsia="zh-CN"/>
              </w:rPr>
              <w:t>三</w:t>
            </w:r>
            <w:r>
              <w:rPr>
                <w:rFonts w:hint="default" w:ascii="Times New Roman" w:hAnsi="Times New Roman" w:eastAsia="宋体" w:cs="Times New Roman"/>
                <w:color w:val="auto"/>
                <w:sz w:val="18"/>
                <w:szCs w:val="18"/>
                <w:highlight w:val="none"/>
                <w:lang w:val="en-US" w:eastAsia="zh-CN"/>
              </w:rPr>
              <w:t>层，</w:t>
            </w:r>
            <w:r>
              <w:rPr>
                <w:rFonts w:hint="eastAsia" w:ascii="Times New Roman" w:hAnsi="Times New Roman" w:eastAsia="宋体" w:cs="Times New Roman"/>
                <w:color w:val="auto"/>
                <w:sz w:val="18"/>
                <w:szCs w:val="18"/>
                <w:highlight w:val="none"/>
                <w:lang w:val="en-US" w:eastAsia="zh-CN"/>
              </w:rPr>
              <w:t>无关人员不得入内</w:t>
            </w:r>
            <w:r>
              <w:rPr>
                <w:rFonts w:hint="default" w:ascii="Times New Roman" w:hAnsi="Times New Roman" w:eastAsia="宋体" w:cs="Times New Roman"/>
                <w:color w:val="auto"/>
                <w:sz w:val="18"/>
                <w:szCs w:val="18"/>
                <w:highlight w:val="none"/>
                <w:lang w:val="en-US" w:eastAsia="zh-CN"/>
              </w:rPr>
              <w:t>，居留因子取1/</w:t>
            </w:r>
            <w:r>
              <w:rPr>
                <w:rFonts w:hint="eastAsia" w:ascii="Times New Roman" w:hAnsi="Times New Roman" w:eastAsia="宋体" w:cs="Times New Roman"/>
                <w:color w:val="auto"/>
                <w:sz w:val="18"/>
                <w:szCs w:val="18"/>
                <w:highlight w:val="none"/>
                <w:lang w:val="en-US" w:eastAsia="zh-CN"/>
              </w:rPr>
              <w:t>20</w:t>
            </w:r>
            <w:r>
              <w:rPr>
                <w:rFonts w:hint="default" w:ascii="Times New Roman" w:hAnsi="Times New Roman" w:eastAsia="宋体" w:cs="Times New Roman"/>
                <w:color w:val="auto"/>
                <w:sz w:val="18"/>
                <w:szCs w:val="18"/>
                <w:highlight w:val="none"/>
                <w:lang w:val="en-US" w:eastAsia="zh-CN"/>
              </w:rPr>
              <w:t>。</w:t>
            </w:r>
          </w:p>
          <w:p w14:paraId="64A715F9">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由上表计算结果可知，本项目</w:t>
            </w:r>
            <w:r>
              <w:rPr>
                <w:rFonts w:hint="eastAsia" w:ascii="Times New Roman" w:hAnsi="Times New Roman" w:cs="Times New Roman"/>
                <w:color w:val="auto"/>
                <w:sz w:val="24"/>
                <w:szCs w:val="24"/>
                <w:highlight w:val="none"/>
                <w:lang w:val="en-US" w:eastAsia="zh-CN"/>
              </w:rPr>
              <w:t>核医学科周围</w:t>
            </w:r>
            <w:r>
              <w:rPr>
                <w:rFonts w:hint="eastAsia" w:ascii="Times New Roman" w:hAnsi="Times New Roman" w:eastAsia="宋体" w:cs="Times New Roman"/>
                <w:color w:val="auto"/>
                <w:sz w:val="24"/>
                <w:szCs w:val="24"/>
                <w:highlight w:val="none"/>
                <w:lang w:val="en-US" w:eastAsia="zh-CN"/>
              </w:rPr>
              <w:t>公众人员年有效剂量</w:t>
            </w:r>
            <w:r>
              <w:rPr>
                <w:rFonts w:hint="eastAsia" w:ascii="Times New Roman" w:hAnsi="Times New Roman" w:cs="Times New Roman"/>
                <w:color w:val="auto"/>
                <w:sz w:val="24"/>
                <w:szCs w:val="24"/>
                <w:highlight w:val="none"/>
                <w:lang w:val="en-US" w:eastAsia="zh-CN"/>
              </w:rPr>
              <w:t>最大值为7.38E-01mSv/a，满足</w:t>
            </w:r>
            <w:r>
              <w:rPr>
                <w:rFonts w:hint="eastAsia" w:ascii="Times New Roman" w:hAnsi="Times New Roman" w:eastAsia="宋体" w:cs="Times New Roman"/>
                <w:color w:val="auto"/>
                <w:sz w:val="24"/>
                <w:szCs w:val="24"/>
                <w:highlight w:val="none"/>
                <w:lang w:val="en-US" w:eastAsia="zh-CN"/>
              </w:rPr>
              <w:t>《电离辐射防护与辐射源安全基本标准》（GB18871-2002）公众照射1mSv/a</w:t>
            </w:r>
            <w:r>
              <w:rPr>
                <w:rFonts w:hint="eastAsia" w:ascii="Times New Roman" w:hAnsi="Times New Roman" w:cs="Times New Roman"/>
                <w:color w:val="auto"/>
                <w:sz w:val="24"/>
                <w:szCs w:val="24"/>
                <w:highlight w:val="none"/>
                <w:lang w:val="en-US" w:eastAsia="zh-CN"/>
              </w:rPr>
              <w:t>的限值要，不</w:t>
            </w:r>
            <w:r>
              <w:rPr>
                <w:rFonts w:hint="eastAsia" w:ascii="Times New Roman" w:hAnsi="Times New Roman" w:eastAsia="宋体" w:cs="Times New Roman"/>
                <w:color w:val="auto"/>
                <w:sz w:val="24"/>
                <w:szCs w:val="24"/>
                <w:highlight w:val="none"/>
                <w:lang w:val="en-US" w:eastAsia="zh-CN"/>
              </w:rPr>
              <w:t>满足《核医学辐射防护与安全要求》（HJ1188-2021）中规定的“公众照射的剂量约束值不超过 0.1mSv/a”限值要求。</w:t>
            </w:r>
            <w:r>
              <w:rPr>
                <w:rFonts w:hint="eastAsia" w:ascii="Times New Roman" w:hAnsi="Times New Roman" w:cs="Times New Roman"/>
                <w:color w:val="auto"/>
                <w:sz w:val="24"/>
                <w:szCs w:val="24"/>
                <w:highlight w:val="none"/>
                <w:lang w:val="en-US" w:eastAsia="zh-CN"/>
              </w:rPr>
              <w:t>超标原因是核素病房全年辐射照射时间长，影响较大，会对核医学科楼内的公众造成超标照射。为了避免公众年有效剂量超标，核医学科需要严格落实管控措施，无关人员不得进入核医学科楼，限制减少陪诊人员居留时间。</w:t>
            </w:r>
          </w:p>
          <w:p w14:paraId="5E64336F">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一层SPECT诊断区辐射人员受照射剂量预测：</w:t>
            </w:r>
          </w:p>
          <w:p w14:paraId="500BD4EA">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工程分析，一层SPECT诊断区辐射人员操作Tc-99m核素的过程为注射、摆位。辐射人员单次操作Tc-99m核素最大活度为7.40E+08Bq（20mCi），注射时注射器使用5mmPb铅注射器防护套，摆位时放射工作人员穿0.5mmPb铅衣。注射时距源0.3m，摆位时，距源0.5m。将以上</w:t>
            </w:r>
            <w:r>
              <w:rPr>
                <w:rFonts w:hint="eastAsia" w:cs="Times New Roman"/>
                <w:color w:val="auto"/>
                <w:sz w:val="24"/>
                <w:szCs w:val="24"/>
                <w:highlight w:val="none"/>
                <w:lang w:val="en-US" w:eastAsia="zh-CN"/>
              </w:rPr>
              <w:t>参数代入公式</w:t>
            </w:r>
            <w:r>
              <w:rPr>
                <w:rFonts w:hint="default" w:ascii="Times New Roman" w:hAnsi="Times New Roman" w:eastAsia="宋体" w:cs="Times New Roman"/>
                <w:color w:val="auto"/>
                <w:sz w:val="24"/>
                <w:szCs w:val="24"/>
                <w:highlight w:val="none"/>
                <w:lang w:val="en-US" w:eastAsia="zh-CN"/>
              </w:rPr>
              <w:t>11-2；得出注射时辐射人员受照射剂量率为2.49E-03μSv/h；摆位时辐射人员受照射剂量率为2.84E+01μSv/h</w:t>
            </w:r>
          </w:p>
          <w:p w14:paraId="7C97D126">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工程分析，一层SPECT诊断区辐射人员操作I-131核素的过程为注射、摆位。辐射人员单次操作I-131核素最大活度为1.85E+08Bq（5mCi），注射时注射器使用5mmPb铅注射器防护套，摆位时放射工作人员穿0.5mmPb铅衣。注射时距源0.3m，摆位时，距源0.5m。将以上</w:t>
            </w:r>
            <w:r>
              <w:rPr>
                <w:rFonts w:hint="eastAsia" w:cs="Times New Roman"/>
                <w:color w:val="auto"/>
                <w:sz w:val="24"/>
                <w:szCs w:val="24"/>
                <w:highlight w:val="none"/>
                <w:lang w:val="en-US" w:eastAsia="zh-CN"/>
              </w:rPr>
              <w:t>参数代入公式</w:t>
            </w:r>
            <w:r>
              <w:rPr>
                <w:rFonts w:hint="default" w:ascii="Times New Roman" w:hAnsi="Times New Roman" w:eastAsia="宋体" w:cs="Times New Roman"/>
                <w:color w:val="auto"/>
                <w:sz w:val="24"/>
                <w:szCs w:val="24"/>
                <w:highlight w:val="none"/>
                <w:lang w:val="en-US" w:eastAsia="zh-CN"/>
              </w:rPr>
              <w:t>11-2；得出注射时辐射人员受照射剂量率为4.29E+01μSv/h；摆位时辐射人员受照射剂量率为3.97E+01μSv/h。</w:t>
            </w:r>
          </w:p>
          <w:p w14:paraId="2A0444A8">
            <w:pPr>
              <w:keepNext w:val="0"/>
              <w:keepLines w:val="0"/>
              <w:suppressLineNumbers w:val="0"/>
              <w:spacing w:before="0" w:beforeLines="0" w:beforeAutospacing="0" w:after="0" w:afterLines="0" w:afterAutospacing="0" w:line="360" w:lineRule="auto"/>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二层PET诊断区辐射人员受照射剂量预测：</w:t>
            </w:r>
          </w:p>
          <w:p w14:paraId="628446AB">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二</w:t>
            </w:r>
            <w:r>
              <w:rPr>
                <w:rFonts w:hint="default" w:ascii="Times New Roman" w:hAnsi="Times New Roman" w:eastAsia="宋体" w:cs="Times New Roman"/>
                <w:color w:val="auto"/>
                <w:sz w:val="24"/>
                <w:szCs w:val="24"/>
                <w:highlight w:val="none"/>
                <w:lang w:val="en-US" w:eastAsia="zh-CN"/>
              </w:rPr>
              <w:t>层</w:t>
            </w:r>
            <w:r>
              <w:rPr>
                <w:rFonts w:hint="eastAsia" w:ascii="Times New Roman" w:hAnsi="Times New Roman" w:eastAsia="宋体" w:cs="Times New Roman"/>
                <w:color w:val="auto"/>
                <w:sz w:val="24"/>
                <w:szCs w:val="24"/>
                <w:highlight w:val="none"/>
                <w:lang w:val="en-US" w:eastAsia="zh-CN"/>
              </w:rPr>
              <w:t>PET</w:t>
            </w:r>
            <w:r>
              <w:rPr>
                <w:rFonts w:hint="default" w:ascii="Times New Roman" w:hAnsi="Times New Roman" w:eastAsia="宋体" w:cs="Times New Roman"/>
                <w:color w:val="auto"/>
                <w:sz w:val="24"/>
                <w:szCs w:val="24"/>
                <w:highlight w:val="none"/>
                <w:lang w:val="en-US" w:eastAsia="zh-CN"/>
              </w:rPr>
              <w:t>诊断区辐射人员操作</w:t>
            </w:r>
            <w:r>
              <w:rPr>
                <w:rFonts w:hint="eastAsia" w:ascii="Times New Roman" w:hAnsi="Times New Roman" w:eastAsia="宋体" w:cs="Times New Roman"/>
                <w:color w:val="auto"/>
                <w:sz w:val="24"/>
                <w:szCs w:val="24"/>
                <w:highlight w:val="none"/>
                <w:lang w:val="en-US" w:eastAsia="zh-CN"/>
              </w:rPr>
              <w:t>F-18、</w:t>
            </w:r>
            <w:r>
              <w:rPr>
                <w:rFonts w:hint="default" w:ascii="Times New Roman" w:hAnsi="Times New Roman" w:eastAsia="宋体" w:cs="Times New Roman"/>
                <w:color w:val="auto"/>
                <w:sz w:val="24"/>
                <w:szCs w:val="24"/>
                <w:highlight w:val="none"/>
                <w:lang w:val="en-US" w:eastAsia="zh-CN"/>
              </w:rPr>
              <w:t>C-11、N-13</w:t>
            </w:r>
            <w:r>
              <w:rPr>
                <w:rFonts w:hint="eastAsia" w:ascii="Times New Roman" w:hAnsi="Times New Roman" w:eastAsia="宋体" w:cs="Times New Roman"/>
                <w:color w:val="auto"/>
                <w:sz w:val="24"/>
                <w:szCs w:val="24"/>
                <w:highlight w:val="none"/>
                <w:lang w:val="en-US" w:eastAsia="zh-CN"/>
              </w:rPr>
              <w:t>、Ga-68</w:t>
            </w:r>
            <w:r>
              <w:rPr>
                <w:rFonts w:hint="default" w:ascii="Times New Roman" w:hAnsi="Times New Roman" w:eastAsia="宋体" w:cs="Times New Roman"/>
                <w:color w:val="auto"/>
                <w:sz w:val="24"/>
                <w:szCs w:val="24"/>
                <w:highlight w:val="none"/>
                <w:lang w:val="en-US" w:eastAsia="zh-CN"/>
              </w:rPr>
              <w:t>核素的过程为注射、摆位。辐射人员单次操作核素最大活度</w:t>
            </w:r>
            <w:r>
              <w:rPr>
                <w:rFonts w:hint="eastAsia" w:ascii="Times New Roman" w:hAnsi="Times New Roman" w:eastAsia="宋体" w:cs="Times New Roman"/>
                <w:color w:val="auto"/>
                <w:sz w:val="24"/>
                <w:szCs w:val="24"/>
                <w:highlight w:val="none"/>
                <w:lang w:val="en-US" w:eastAsia="zh-CN"/>
              </w:rPr>
              <w:t>均为</w:t>
            </w:r>
            <w:r>
              <w:rPr>
                <w:rFonts w:hint="default" w:ascii="Times New Roman" w:hAnsi="Times New Roman" w:eastAsia="宋体" w:cs="Times New Roman"/>
                <w:color w:val="auto"/>
                <w:sz w:val="24"/>
                <w:szCs w:val="24"/>
                <w:highlight w:val="none"/>
                <w:lang w:val="en-US" w:eastAsia="zh-CN"/>
              </w:rPr>
              <w:t>7.40E+08Bq（20mCi）</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选择周围剂量当量率常数较大的C-11（0.148μSv·m2/MBq·h）进行估算。注射时注射器使用</w:t>
            </w:r>
            <w:r>
              <w:rPr>
                <w:rFonts w:hint="eastAsia" w:ascii="Times New Roman" w:hAnsi="Times New Roman" w:eastAsia="宋体" w:cs="Times New Roman"/>
                <w:color w:val="auto"/>
                <w:sz w:val="24"/>
                <w:szCs w:val="24"/>
                <w:highlight w:val="none"/>
                <w:lang w:val="en-US" w:eastAsia="zh-CN"/>
              </w:rPr>
              <w:t>18</w:t>
            </w:r>
            <w:r>
              <w:rPr>
                <w:rFonts w:hint="default" w:ascii="Times New Roman" w:hAnsi="Times New Roman" w:eastAsia="宋体" w:cs="Times New Roman"/>
                <w:color w:val="auto"/>
                <w:sz w:val="24"/>
                <w:szCs w:val="24"/>
                <w:highlight w:val="none"/>
                <w:lang w:val="en-US" w:eastAsia="zh-CN"/>
              </w:rPr>
              <w:t>mmPb钨合金注射器防护套，摆位时放射工作人员穿0.5mmPb铅衣。注射时距源0.3m，摆位时，距源0.5m。将以上</w:t>
            </w:r>
            <w:r>
              <w:rPr>
                <w:rFonts w:hint="eastAsia" w:cs="Times New Roman"/>
                <w:color w:val="auto"/>
                <w:sz w:val="24"/>
                <w:szCs w:val="24"/>
                <w:highlight w:val="none"/>
                <w:lang w:val="en-US" w:eastAsia="zh-CN"/>
              </w:rPr>
              <w:t>参数代入公式</w:t>
            </w:r>
            <w:r>
              <w:rPr>
                <w:rFonts w:hint="default" w:ascii="Times New Roman" w:hAnsi="Times New Roman" w:eastAsia="宋体" w:cs="Times New Roman"/>
                <w:color w:val="auto"/>
                <w:sz w:val="24"/>
                <w:szCs w:val="24"/>
                <w:highlight w:val="none"/>
                <w:lang w:val="en-US" w:eastAsia="zh-CN"/>
              </w:rPr>
              <w:t>11-2；得出注射时辐射人员受照射剂量率为1.52E+02μSv/h；摆位时辐射人员受照射剂量率为4.09E+02μSv/h。</w:t>
            </w:r>
          </w:p>
          <w:p w14:paraId="70A9D44B">
            <w:pPr>
              <w:keepNext w:val="0"/>
              <w:keepLines w:val="0"/>
              <w:suppressLineNumbers w:val="0"/>
              <w:spacing w:before="0" w:beforeLines="0" w:beforeAutospacing="0" w:after="0" w:afterLines="0" w:afterAutospacing="0" w:line="360" w:lineRule="auto"/>
              <w:ind w:left="0" w:right="0"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三层核素治疗区辐射人员受照射剂量预测：</w:t>
            </w:r>
          </w:p>
          <w:p w14:paraId="624CB0B0">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三</w:t>
            </w:r>
            <w:r>
              <w:rPr>
                <w:rFonts w:hint="default" w:ascii="Times New Roman" w:hAnsi="Times New Roman" w:eastAsia="宋体" w:cs="Times New Roman"/>
                <w:color w:val="auto"/>
                <w:sz w:val="24"/>
                <w:szCs w:val="24"/>
                <w:highlight w:val="none"/>
                <w:lang w:val="en-US" w:eastAsia="zh-CN"/>
              </w:rPr>
              <w:t>层</w:t>
            </w:r>
            <w:r>
              <w:rPr>
                <w:rFonts w:hint="eastAsia" w:ascii="Times New Roman" w:hAnsi="Times New Roman" w:eastAsia="宋体" w:cs="Times New Roman"/>
                <w:color w:val="auto"/>
                <w:sz w:val="24"/>
                <w:szCs w:val="24"/>
                <w:highlight w:val="none"/>
                <w:lang w:val="en-US" w:eastAsia="zh-CN"/>
              </w:rPr>
              <w:t>核素治疗</w:t>
            </w:r>
            <w:r>
              <w:rPr>
                <w:rFonts w:hint="default" w:ascii="Times New Roman" w:hAnsi="Times New Roman" w:eastAsia="宋体" w:cs="Times New Roman"/>
                <w:color w:val="auto"/>
                <w:sz w:val="24"/>
                <w:szCs w:val="24"/>
                <w:highlight w:val="none"/>
                <w:lang w:val="en-US" w:eastAsia="zh-CN"/>
              </w:rPr>
              <w:t>区辐射人员操作</w:t>
            </w:r>
            <w:r>
              <w:rPr>
                <w:rFonts w:hint="eastAsia" w:ascii="Times New Roman" w:hAnsi="Times New Roman" w:eastAsia="宋体" w:cs="Times New Roman"/>
                <w:color w:val="auto"/>
                <w:sz w:val="24"/>
                <w:szCs w:val="24"/>
                <w:highlight w:val="none"/>
                <w:lang w:val="en-US" w:eastAsia="zh-CN"/>
              </w:rPr>
              <w:t>I-131、</w:t>
            </w:r>
            <w:r>
              <w:rPr>
                <w:rFonts w:hint="eastAsia" w:ascii="Times New Roman" w:hAnsi="Times New Roman" w:eastAsia="宋体" w:cs="Times New Roman"/>
                <w:color w:val="auto"/>
                <w:sz w:val="24"/>
                <w:szCs w:val="24"/>
                <w:highlight w:val="none"/>
                <w:vertAlign w:val="baseline"/>
                <w:lang w:val="en-US" w:eastAsia="zh-CN"/>
              </w:rPr>
              <w:t>Lu-177</w:t>
            </w:r>
            <w:r>
              <w:rPr>
                <w:rFonts w:hint="default" w:ascii="Times New Roman" w:hAnsi="Times New Roman" w:eastAsia="宋体" w:cs="Times New Roman"/>
                <w:color w:val="auto"/>
                <w:sz w:val="24"/>
                <w:szCs w:val="24"/>
                <w:highlight w:val="none"/>
                <w:lang w:val="en-US" w:eastAsia="zh-CN"/>
              </w:rPr>
              <w:t>核素的过程为I-131</w:t>
            </w:r>
            <w:r>
              <w:rPr>
                <w:rFonts w:hint="eastAsia" w:ascii="Times New Roman" w:hAnsi="Times New Roman" w:eastAsia="宋体" w:cs="Times New Roman"/>
                <w:color w:val="auto"/>
                <w:sz w:val="24"/>
                <w:szCs w:val="24"/>
                <w:highlight w:val="none"/>
                <w:lang w:val="en-US" w:eastAsia="zh-CN"/>
              </w:rPr>
              <w:t>发药，</w:t>
            </w:r>
            <w:r>
              <w:rPr>
                <w:rFonts w:hint="eastAsia" w:ascii="Times New Roman" w:hAnsi="Times New Roman" w:eastAsia="宋体" w:cs="Times New Roman"/>
                <w:color w:val="auto"/>
                <w:sz w:val="24"/>
                <w:szCs w:val="24"/>
                <w:highlight w:val="none"/>
                <w:vertAlign w:val="baseline"/>
                <w:lang w:val="en-US" w:eastAsia="zh-CN"/>
              </w:rPr>
              <w:t>Lu-177</w:t>
            </w:r>
            <w:r>
              <w:rPr>
                <w:rFonts w:hint="default" w:ascii="Times New Roman" w:hAnsi="Times New Roman" w:eastAsia="宋体" w:cs="Times New Roman"/>
                <w:color w:val="auto"/>
                <w:sz w:val="24"/>
                <w:szCs w:val="24"/>
                <w:highlight w:val="none"/>
                <w:lang w:val="en-US" w:eastAsia="zh-CN"/>
              </w:rPr>
              <w:t>注射。辐射人员单次操作I-131核素最大活度</w:t>
            </w:r>
            <w:r>
              <w:rPr>
                <w:rFonts w:hint="eastAsia" w:ascii="Times New Roman" w:hAnsi="Times New Roman" w:eastAsia="宋体" w:cs="Times New Roman"/>
                <w:color w:val="auto"/>
                <w:sz w:val="24"/>
                <w:szCs w:val="24"/>
                <w:highlight w:val="none"/>
                <w:lang w:val="en-US" w:eastAsia="zh-CN"/>
              </w:rPr>
              <w:t>均为</w:t>
            </w:r>
            <w:r>
              <w:rPr>
                <w:rFonts w:hint="default" w:ascii="Times New Roman" w:hAnsi="Times New Roman" w:eastAsia="宋体" w:cs="Times New Roman"/>
                <w:color w:val="auto"/>
                <w:sz w:val="24"/>
                <w:szCs w:val="24"/>
                <w:highlight w:val="none"/>
                <w:lang w:val="en-US" w:eastAsia="zh-CN"/>
              </w:rPr>
              <w:t>5.50E+09 Bq（150mCi）</w:t>
            </w:r>
            <w:r>
              <w:rPr>
                <w:rFonts w:hint="eastAsia" w:ascii="Times New Roman" w:hAnsi="Times New Roman" w:eastAsia="宋体" w:cs="Times New Roman"/>
                <w:color w:val="auto"/>
                <w:sz w:val="24"/>
                <w:szCs w:val="24"/>
                <w:highlight w:val="none"/>
                <w:lang w:val="en-US" w:eastAsia="zh-CN"/>
              </w:rPr>
              <w:t>，辐射人员单次操作</w:t>
            </w:r>
            <w:r>
              <w:rPr>
                <w:rFonts w:hint="eastAsia" w:ascii="Times New Roman" w:hAnsi="Times New Roman" w:eastAsia="宋体" w:cs="Times New Roman"/>
                <w:color w:val="auto"/>
                <w:sz w:val="24"/>
                <w:szCs w:val="24"/>
                <w:highlight w:val="none"/>
                <w:vertAlign w:val="baseline"/>
                <w:lang w:val="en-US" w:eastAsia="zh-CN"/>
              </w:rPr>
              <w:t>Lu-177</w:t>
            </w:r>
            <w:r>
              <w:rPr>
                <w:rFonts w:hint="eastAsia" w:ascii="Times New Roman" w:hAnsi="Times New Roman" w:eastAsia="宋体" w:cs="Times New Roman"/>
                <w:color w:val="auto"/>
                <w:sz w:val="24"/>
                <w:szCs w:val="24"/>
                <w:highlight w:val="none"/>
                <w:lang w:val="en-US" w:eastAsia="zh-CN"/>
              </w:rPr>
              <w:t>核素最大活度均为1.11E+10 Bq（300mCi）。I-131胶囊发药时放射工作人员穿0.5mmPb铅衣，使用长柄镊子发药；</w:t>
            </w:r>
            <w:r>
              <w:rPr>
                <w:rFonts w:hint="eastAsia" w:ascii="Times New Roman" w:hAnsi="Times New Roman" w:eastAsia="宋体" w:cs="Times New Roman"/>
                <w:color w:val="auto"/>
                <w:sz w:val="24"/>
                <w:szCs w:val="24"/>
                <w:highlight w:val="none"/>
                <w:vertAlign w:val="baseline"/>
                <w:lang w:val="en-US" w:eastAsia="zh-CN"/>
              </w:rPr>
              <w:t>Lu-177</w:t>
            </w:r>
            <w:r>
              <w:rPr>
                <w:rFonts w:hint="eastAsia" w:ascii="Times New Roman" w:hAnsi="Times New Roman" w:eastAsia="宋体" w:cs="Times New Roman"/>
                <w:color w:val="auto"/>
                <w:sz w:val="24"/>
                <w:szCs w:val="24"/>
                <w:highlight w:val="none"/>
                <w:lang w:val="en-US" w:eastAsia="zh-CN"/>
              </w:rPr>
              <w:t>注射时注射器使用5mmPb铅注射器防护套</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发药</w:t>
            </w:r>
            <w:r>
              <w:rPr>
                <w:rFonts w:hint="default" w:ascii="Times New Roman" w:hAnsi="Times New Roman" w:eastAsia="宋体" w:cs="Times New Roman"/>
                <w:color w:val="auto"/>
                <w:sz w:val="24"/>
                <w:szCs w:val="24"/>
                <w:highlight w:val="none"/>
                <w:lang w:val="en-US" w:eastAsia="zh-CN"/>
              </w:rPr>
              <w:t>时距源</w:t>
            </w: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m，</w:t>
            </w:r>
            <w:r>
              <w:rPr>
                <w:rFonts w:hint="eastAsia" w:ascii="Times New Roman" w:hAnsi="Times New Roman" w:eastAsia="宋体" w:cs="Times New Roman"/>
                <w:color w:val="auto"/>
                <w:sz w:val="24"/>
                <w:szCs w:val="24"/>
                <w:highlight w:val="none"/>
                <w:lang w:val="en-US" w:eastAsia="zh-CN"/>
              </w:rPr>
              <w:t>注射</w:t>
            </w:r>
            <w:r>
              <w:rPr>
                <w:rFonts w:hint="default" w:ascii="Times New Roman" w:hAnsi="Times New Roman" w:eastAsia="宋体" w:cs="Times New Roman"/>
                <w:color w:val="auto"/>
                <w:sz w:val="24"/>
                <w:szCs w:val="24"/>
                <w:highlight w:val="none"/>
                <w:lang w:val="en-US" w:eastAsia="zh-CN"/>
              </w:rPr>
              <w:t>时，距源0.</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m。将以上</w:t>
            </w:r>
            <w:r>
              <w:rPr>
                <w:rFonts w:hint="eastAsia" w:cs="Times New Roman"/>
                <w:color w:val="auto"/>
                <w:sz w:val="24"/>
                <w:szCs w:val="24"/>
                <w:highlight w:val="none"/>
                <w:lang w:val="en-US" w:eastAsia="zh-CN"/>
              </w:rPr>
              <w:t>参数代入公式</w:t>
            </w:r>
            <w:r>
              <w:rPr>
                <w:rFonts w:hint="default" w:ascii="Times New Roman" w:hAnsi="Times New Roman" w:eastAsia="宋体" w:cs="Times New Roman"/>
                <w:color w:val="auto"/>
                <w:sz w:val="24"/>
                <w:szCs w:val="24"/>
                <w:highlight w:val="none"/>
                <w:lang w:val="en-US" w:eastAsia="zh-CN"/>
              </w:rPr>
              <w:t>11-2；得出I-131胶囊发药时辐射人员受照射剂量率为2.97E+02μSv/h；</w:t>
            </w:r>
            <w:r>
              <w:rPr>
                <w:rFonts w:hint="default" w:ascii="Times New Roman" w:hAnsi="Times New Roman" w:eastAsia="宋体" w:cs="Times New Roman"/>
                <w:color w:val="auto"/>
                <w:sz w:val="24"/>
                <w:szCs w:val="24"/>
                <w:highlight w:val="none"/>
                <w:vertAlign w:val="baseline"/>
                <w:lang w:val="en-US" w:eastAsia="zh-CN"/>
              </w:rPr>
              <w:t>Lu-177</w:t>
            </w:r>
            <w:r>
              <w:rPr>
                <w:rFonts w:hint="eastAsia" w:ascii="Times New Roman" w:hAnsi="Times New Roman" w:eastAsia="宋体" w:cs="Times New Roman"/>
                <w:color w:val="auto"/>
                <w:sz w:val="24"/>
                <w:szCs w:val="24"/>
                <w:highlight w:val="none"/>
                <w:lang w:val="en-US" w:eastAsia="zh-CN"/>
              </w:rPr>
              <w:t>注射</w:t>
            </w:r>
            <w:r>
              <w:rPr>
                <w:rFonts w:hint="default" w:ascii="Times New Roman" w:hAnsi="Times New Roman" w:eastAsia="宋体" w:cs="Times New Roman"/>
                <w:color w:val="auto"/>
                <w:sz w:val="24"/>
                <w:szCs w:val="24"/>
                <w:highlight w:val="none"/>
                <w:lang w:val="en-US" w:eastAsia="zh-CN"/>
              </w:rPr>
              <w:t>时辐射人员受照射剂量率为2.24E+02μSv/h。</w:t>
            </w:r>
          </w:p>
          <w:p w14:paraId="55A53702">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4"/>
                <w:szCs w:val="22"/>
                <w:highlight w:val="none"/>
                <w:lang w:val="en-US" w:eastAsia="zh-CN"/>
              </w:rPr>
            </w:pPr>
            <w:r>
              <w:rPr>
                <w:rFonts w:hint="eastAsia" w:cs="Times New Roman"/>
                <w:b/>
                <w:color w:val="auto"/>
                <w:sz w:val="24"/>
                <w:szCs w:val="22"/>
                <w:highlight w:val="none"/>
                <w:lang w:val="en-US" w:eastAsia="zh-CN"/>
              </w:rPr>
              <w:t>表11-20  核医学楼辐射工作人员受照射剂量预测结果</w:t>
            </w:r>
          </w:p>
          <w:tbl>
            <w:tblPr>
              <w:tblStyle w:val="22"/>
              <w:tblW w:w="949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987"/>
              <w:gridCol w:w="2136"/>
              <w:gridCol w:w="989"/>
              <w:gridCol w:w="1419"/>
              <w:gridCol w:w="1461"/>
              <w:gridCol w:w="992"/>
              <w:gridCol w:w="1512"/>
            </w:tblGrid>
            <w:tr w14:paraId="10095C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3" w:hRule="exact"/>
                <w:tblHeader/>
                <w:jc w:val="center"/>
              </w:trPr>
              <w:tc>
                <w:tcPr>
                  <w:tcW w:w="987" w:type="dxa"/>
                  <w:tcBorders>
                    <w:tl2br w:val="nil"/>
                    <w:tr2bl w:val="nil"/>
                  </w:tcBorders>
                  <w:shd w:val="clear" w:color="auto" w:fill="auto"/>
                  <w:vAlign w:val="center"/>
                </w:tcPr>
                <w:p w14:paraId="0E88063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序号</w:t>
                  </w:r>
                </w:p>
              </w:tc>
              <w:tc>
                <w:tcPr>
                  <w:tcW w:w="2136" w:type="dxa"/>
                  <w:tcBorders>
                    <w:tl2br w:val="nil"/>
                    <w:tr2bl w:val="nil"/>
                  </w:tcBorders>
                  <w:shd w:val="clear" w:color="auto" w:fill="auto"/>
                  <w:vAlign w:val="center"/>
                </w:tcPr>
                <w:p w14:paraId="30AD52F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岗位</w:t>
                  </w:r>
                </w:p>
              </w:tc>
              <w:tc>
                <w:tcPr>
                  <w:tcW w:w="989" w:type="dxa"/>
                  <w:tcBorders>
                    <w:tl2br w:val="nil"/>
                    <w:tr2bl w:val="nil"/>
                  </w:tcBorders>
                  <w:shd w:val="clear" w:color="auto" w:fill="auto"/>
                  <w:noWrap/>
                  <w:vAlign w:val="center"/>
                </w:tcPr>
                <w:p w14:paraId="4D42BE4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照射类型</w:t>
                  </w:r>
                </w:p>
              </w:tc>
              <w:tc>
                <w:tcPr>
                  <w:tcW w:w="1419" w:type="dxa"/>
                  <w:tcBorders>
                    <w:tl2br w:val="nil"/>
                    <w:tr2bl w:val="nil"/>
                  </w:tcBorders>
                  <w:shd w:val="clear" w:color="auto" w:fill="auto"/>
                  <w:noWrap/>
                  <w:vAlign w:val="center"/>
                </w:tcPr>
                <w:p w14:paraId="1F97A28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剂量率</w:t>
                  </w:r>
                  <w:r>
                    <w:rPr>
                      <w:rFonts w:hint="default" w:ascii="Times New Roman" w:hAnsi="Times New Roman" w:eastAsia="宋体" w:cs="Times New Roman"/>
                      <w:i w:val="0"/>
                      <w:iCs w:val="0"/>
                      <w:color w:val="auto"/>
                      <w:kern w:val="0"/>
                      <w:sz w:val="16"/>
                      <w:szCs w:val="16"/>
                      <w:highlight w:val="none"/>
                      <w:u w:val="none"/>
                      <w:lang w:val="en-US" w:eastAsia="zh-CN" w:bidi="ar"/>
                    </w:rPr>
                    <w:t>(μSv/h)</w:t>
                  </w:r>
                </w:p>
              </w:tc>
              <w:tc>
                <w:tcPr>
                  <w:tcW w:w="1461" w:type="dxa"/>
                  <w:tcBorders>
                    <w:tl2br w:val="nil"/>
                    <w:tr2bl w:val="nil"/>
                  </w:tcBorders>
                  <w:shd w:val="clear" w:color="auto" w:fill="auto"/>
                  <w:vAlign w:val="center"/>
                </w:tcPr>
                <w:p w14:paraId="42659FE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年受照时间，</w:t>
                  </w:r>
                  <w:r>
                    <w:rPr>
                      <w:rFonts w:hint="default" w:ascii="Times New Roman" w:hAnsi="Times New Roman" w:eastAsia="宋体" w:cs="Times New Roman"/>
                      <w:i w:val="0"/>
                      <w:iCs w:val="0"/>
                      <w:color w:val="auto"/>
                      <w:kern w:val="0"/>
                      <w:sz w:val="16"/>
                      <w:szCs w:val="16"/>
                      <w:highlight w:val="none"/>
                      <w:u w:val="none"/>
                      <w:lang w:val="en-US" w:eastAsia="zh-CN" w:bidi="ar"/>
                    </w:rPr>
                    <w:t>h</w:t>
                  </w:r>
                </w:p>
              </w:tc>
              <w:tc>
                <w:tcPr>
                  <w:tcW w:w="992" w:type="dxa"/>
                  <w:tcBorders>
                    <w:tl2br w:val="nil"/>
                    <w:tr2bl w:val="nil"/>
                  </w:tcBorders>
                  <w:shd w:val="clear" w:color="auto" w:fill="auto"/>
                  <w:vAlign w:val="center"/>
                </w:tcPr>
                <w:p w14:paraId="77388E3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居留因子</w:t>
                  </w:r>
                </w:p>
              </w:tc>
              <w:tc>
                <w:tcPr>
                  <w:tcW w:w="1512" w:type="dxa"/>
                  <w:tcBorders>
                    <w:tl2br w:val="nil"/>
                    <w:tr2bl w:val="nil"/>
                  </w:tcBorders>
                  <w:shd w:val="clear" w:color="auto" w:fill="auto"/>
                  <w:vAlign w:val="center"/>
                </w:tcPr>
                <w:p w14:paraId="45E2368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年有效剂量mSv/a</w:t>
                  </w:r>
                </w:p>
              </w:tc>
            </w:tr>
            <w:tr w14:paraId="6E02DF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3D76E96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w:t>
                  </w:r>
                </w:p>
              </w:tc>
              <w:tc>
                <w:tcPr>
                  <w:tcW w:w="2136" w:type="dxa"/>
                  <w:tcBorders>
                    <w:tl2br w:val="nil"/>
                    <w:tr2bl w:val="nil"/>
                  </w:tcBorders>
                  <w:shd w:val="clear" w:color="auto" w:fill="auto"/>
                  <w:vAlign w:val="center"/>
                </w:tcPr>
                <w:p w14:paraId="2882004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Tc-99m注射</w:t>
                  </w:r>
                </w:p>
              </w:tc>
              <w:tc>
                <w:tcPr>
                  <w:tcW w:w="989" w:type="dxa"/>
                  <w:tcBorders>
                    <w:tl2br w:val="nil"/>
                    <w:tr2bl w:val="nil"/>
                  </w:tcBorders>
                  <w:shd w:val="clear" w:color="auto" w:fill="auto"/>
                  <w:vAlign w:val="center"/>
                </w:tcPr>
                <w:p w14:paraId="4AEF90A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职业</w:t>
                  </w:r>
                </w:p>
              </w:tc>
              <w:tc>
                <w:tcPr>
                  <w:tcW w:w="1419" w:type="dxa"/>
                  <w:tcBorders>
                    <w:tl2br w:val="nil"/>
                    <w:tr2bl w:val="nil"/>
                  </w:tcBorders>
                  <w:shd w:val="clear" w:color="auto" w:fill="auto"/>
                  <w:vAlign w:val="center"/>
                </w:tcPr>
                <w:p w14:paraId="0D29024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default" w:cs="Times New Roman"/>
                      <w:i w:val="0"/>
                      <w:iCs w:val="0"/>
                      <w:color w:val="auto"/>
                      <w:kern w:val="0"/>
                      <w:sz w:val="16"/>
                      <w:szCs w:val="16"/>
                      <w:highlight w:val="none"/>
                      <w:u w:val="none"/>
                      <w:lang w:val="en-US" w:eastAsia="zh-CN" w:bidi="ar"/>
                    </w:rPr>
                    <w:t>2.49E-03</w:t>
                  </w:r>
                </w:p>
              </w:tc>
              <w:tc>
                <w:tcPr>
                  <w:tcW w:w="1461" w:type="dxa"/>
                  <w:tcBorders>
                    <w:tl2br w:val="nil"/>
                    <w:tr2bl w:val="nil"/>
                  </w:tcBorders>
                  <w:shd w:val="clear" w:color="auto" w:fill="auto"/>
                  <w:vAlign w:val="center"/>
                </w:tcPr>
                <w:p w14:paraId="3873CFA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2.5×250</w:t>
                  </w:r>
                </w:p>
              </w:tc>
              <w:tc>
                <w:tcPr>
                  <w:tcW w:w="992" w:type="dxa"/>
                  <w:tcBorders>
                    <w:tl2br w:val="nil"/>
                    <w:tr2bl w:val="nil"/>
                  </w:tcBorders>
                  <w:shd w:val="clear" w:color="auto" w:fill="auto"/>
                  <w:noWrap/>
                  <w:vAlign w:val="center"/>
                </w:tcPr>
                <w:p w14:paraId="1EB6445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w:t>
                  </w:r>
                </w:p>
              </w:tc>
              <w:tc>
                <w:tcPr>
                  <w:tcW w:w="1512" w:type="dxa"/>
                  <w:tcBorders>
                    <w:tl2br w:val="nil"/>
                    <w:tr2bl w:val="nil"/>
                  </w:tcBorders>
                  <w:shd w:val="clear" w:color="auto" w:fill="auto"/>
                  <w:vAlign w:val="center"/>
                </w:tcPr>
                <w:p w14:paraId="4D3F59B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1.56E-03</w:t>
                  </w:r>
                </w:p>
              </w:tc>
            </w:tr>
            <w:tr w14:paraId="4322F6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5743413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w:t>
                  </w:r>
                </w:p>
              </w:tc>
              <w:tc>
                <w:tcPr>
                  <w:tcW w:w="2136" w:type="dxa"/>
                  <w:tcBorders>
                    <w:tl2br w:val="nil"/>
                    <w:tr2bl w:val="nil"/>
                  </w:tcBorders>
                  <w:shd w:val="clear" w:color="auto" w:fill="auto"/>
                  <w:vAlign w:val="center"/>
                </w:tcPr>
                <w:p w14:paraId="56FFAE0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Tc-99m摆位</w:t>
                  </w:r>
                </w:p>
              </w:tc>
              <w:tc>
                <w:tcPr>
                  <w:tcW w:w="989" w:type="dxa"/>
                  <w:tcBorders>
                    <w:tl2br w:val="nil"/>
                    <w:tr2bl w:val="nil"/>
                  </w:tcBorders>
                  <w:shd w:val="clear" w:color="auto" w:fill="auto"/>
                  <w:vAlign w:val="center"/>
                </w:tcPr>
                <w:p w14:paraId="2F7F21A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职业</w:t>
                  </w:r>
                </w:p>
              </w:tc>
              <w:tc>
                <w:tcPr>
                  <w:tcW w:w="1419" w:type="dxa"/>
                  <w:tcBorders>
                    <w:tl2br w:val="nil"/>
                    <w:tr2bl w:val="nil"/>
                  </w:tcBorders>
                  <w:shd w:val="clear" w:color="auto" w:fill="auto"/>
                  <w:vAlign w:val="center"/>
                </w:tcPr>
                <w:p w14:paraId="2AB383C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default" w:cs="Times New Roman"/>
                      <w:i w:val="0"/>
                      <w:iCs w:val="0"/>
                      <w:color w:val="auto"/>
                      <w:kern w:val="0"/>
                      <w:sz w:val="16"/>
                      <w:szCs w:val="16"/>
                      <w:highlight w:val="none"/>
                      <w:u w:val="none"/>
                      <w:lang w:val="en-US" w:eastAsia="zh-CN" w:bidi="ar"/>
                    </w:rPr>
                    <w:t>2.84E+01</w:t>
                  </w:r>
                </w:p>
              </w:tc>
              <w:tc>
                <w:tcPr>
                  <w:tcW w:w="1461" w:type="dxa"/>
                  <w:tcBorders>
                    <w:tl2br w:val="nil"/>
                    <w:tr2bl w:val="nil"/>
                  </w:tcBorders>
                  <w:shd w:val="clear" w:color="auto" w:fill="auto"/>
                  <w:vAlign w:val="center"/>
                </w:tcPr>
                <w:p w14:paraId="100DE18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2.5×250</w:t>
                  </w:r>
                </w:p>
              </w:tc>
              <w:tc>
                <w:tcPr>
                  <w:tcW w:w="992" w:type="dxa"/>
                  <w:tcBorders>
                    <w:tl2br w:val="nil"/>
                    <w:tr2bl w:val="nil"/>
                  </w:tcBorders>
                  <w:shd w:val="clear" w:color="auto" w:fill="auto"/>
                  <w:noWrap/>
                  <w:vAlign w:val="center"/>
                </w:tcPr>
                <w:p w14:paraId="1FFA30F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w:t>
                  </w:r>
                </w:p>
              </w:tc>
              <w:tc>
                <w:tcPr>
                  <w:tcW w:w="1512" w:type="dxa"/>
                  <w:tcBorders>
                    <w:tl2br w:val="nil"/>
                    <w:tr2bl w:val="nil"/>
                  </w:tcBorders>
                  <w:shd w:val="clear" w:color="auto" w:fill="auto"/>
                  <w:vAlign w:val="center"/>
                </w:tcPr>
                <w:p w14:paraId="7A1784A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1.78E+01</w:t>
                  </w:r>
                </w:p>
              </w:tc>
            </w:tr>
            <w:tr w14:paraId="7B61D6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6D07FB5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3</w:t>
                  </w:r>
                </w:p>
              </w:tc>
              <w:tc>
                <w:tcPr>
                  <w:tcW w:w="2136" w:type="dxa"/>
                  <w:tcBorders>
                    <w:tl2br w:val="nil"/>
                    <w:tr2bl w:val="nil"/>
                  </w:tcBorders>
                  <w:shd w:val="clear" w:color="auto" w:fill="auto"/>
                  <w:vAlign w:val="center"/>
                </w:tcPr>
                <w:p w14:paraId="63EE383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I-131注射</w:t>
                  </w:r>
                </w:p>
              </w:tc>
              <w:tc>
                <w:tcPr>
                  <w:tcW w:w="989" w:type="dxa"/>
                  <w:tcBorders>
                    <w:tl2br w:val="nil"/>
                    <w:tr2bl w:val="nil"/>
                  </w:tcBorders>
                  <w:shd w:val="clear" w:color="auto" w:fill="auto"/>
                  <w:vAlign w:val="center"/>
                </w:tcPr>
                <w:p w14:paraId="422467D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职业</w:t>
                  </w:r>
                </w:p>
              </w:tc>
              <w:tc>
                <w:tcPr>
                  <w:tcW w:w="1419" w:type="dxa"/>
                  <w:tcBorders>
                    <w:tl2br w:val="nil"/>
                    <w:tr2bl w:val="nil"/>
                  </w:tcBorders>
                  <w:shd w:val="clear" w:color="auto" w:fill="auto"/>
                  <w:vAlign w:val="center"/>
                </w:tcPr>
                <w:p w14:paraId="0D1C0C8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4.29E+01</w:t>
                  </w:r>
                </w:p>
              </w:tc>
              <w:tc>
                <w:tcPr>
                  <w:tcW w:w="1461" w:type="dxa"/>
                  <w:tcBorders>
                    <w:tl2br w:val="nil"/>
                    <w:tr2bl w:val="nil"/>
                  </w:tcBorders>
                  <w:shd w:val="clear" w:color="auto" w:fill="auto"/>
                  <w:vAlign w:val="center"/>
                </w:tcPr>
                <w:p w14:paraId="59C55B4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2.5×250</w:t>
                  </w:r>
                </w:p>
              </w:tc>
              <w:tc>
                <w:tcPr>
                  <w:tcW w:w="992" w:type="dxa"/>
                  <w:tcBorders>
                    <w:tl2br w:val="nil"/>
                    <w:tr2bl w:val="nil"/>
                  </w:tcBorders>
                  <w:shd w:val="clear" w:color="auto" w:fill="auto"/>
                  <w:noWrap/>
                  <w:vAlign w:val="center"/>
                </w:tcPr>
                <w:p w14:paraId="603627B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w:t>
                  </w:r>
                </w:p>
              </w:tc>
              <w:tc>
                <w:tcPr>
                  <w:tcW w:w="1512" w:type="dxa"/>
                  <w:tcBorders>
                    <w:tl2br w:val="nil"/>
                    <w:tr2bl w:val="nil"/>
                  </w:tcBorders>
                  <w:shd w:val="clear" w:color="auto" w:fill="auto"/>
                  <w:vAlign w:val="center"/>
                </w:tcPr>
                <w:p w14:paraId="20C4D34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2.68E+01</w:t>
                  </w:r>
                </w:p>
              </w:tc>
            </w:tr>
            <w:tr w14:paraId="1FFE10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3D85438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4</w:t>
                  </w:r>
                </w:p>
              </w:tc>
              <w:tc>
                <w:tcPr>
                  <w:tcW w:w="2136" w:type="dxa"/>
                  <w:tcBorders>
                    <w:tl2br w:val="nil"/>
                    <w:tr2bl w:val="nil"/>
                  </w:tcBorders>
                  <w:shd w:val="clear" w:color="auto" w:fill="auto"/>
                  <w:vAlign w:val="center"/>
                </w:tcPr>
                <w:p w14:paraId="300F202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I-131摆位</w:t>
                  </w:r>
                </w:p>
              </w:tc>
              <w:tc>
                <w:tcPr>
                  <w:tcW w:w="989" w:type="dxa"/>
                  <w:tcBorders>
                    <w:tl2br w:val="nil"/>
                    <w:tr2bl w:val="nil"/>
                  </w:tcBorders>
                  <w:shd w:val="clear" w:color="auto" w:fill="auto"/>
                  <w:vAlign w:val="center"/>
                </w:tcPr>
                <w:p w14:paraId="5552DB3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职业</w:t>
                  </w:r>
                </w:p>
              </w:tc>
              <w:tc>
                <w:tcPr>
                  <w:tcW w:w="1419" w:type="dxa"/>
                  <w:tcBorders>
                    <w:tl2br w:val="nil"/>
                    <w:tr2bl w:val="nil"/>
                  </w:tcBorders>
                  <w:shd w:val="clear" w:color="auto" w:fill="auto"/>
                  <w:vAlign w:val="center"/>
                </w:tcPr>
                <w:p w14:paraId="04FD0BC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3.97E+01</w:t>
                  </w:r>
                </w:p>
              </w:tc>
              <w:tc>
                <w:tcPr>
                  <w:tcW w:w="1461" w:type="dxa"/>
                  <w:tcBorders>
                    <w:tl2br w:val="nil"/>
                    <w:tr2bl w:val="nil"/>
                  </w:tcBorders>
                  <w:shd w:val="clear" w:color="auto" w:fill="auto"/>
                  <w:vAlign w:val="center"/>
                </w:tcPr>
                <w:p w14:paraId="522C639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2.5×250</w:t>
                  </w:r>
                </w:p>
              </w:tc>
              <w:tc>
                <w:tcPr>
                  <w:tcW w:w="992" w:type="dxa"/>
                  <w:tcBorders>
                    <w:tl2br w:val="nil"/>
                    <w:tr2bl w:val="nil"/>
                  </w:tcBorders>
                  <w:shd w:val="clear" w:color="auto" w:fill="auto"/>
                  <w:noWrap/>
                  <w:vAlign w:val="center"/>
                </w:tcPr>
                <w:p w14:paraId="1C590F0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w:t>
                  </w:r>
                </w:p>
              </w:tc>
              <w:tc>
                <w:tcPr>
                  <w:tcW w:w="1512" w:type="dxa"/>
                  <w:tcBorders>
                    <w:tl2br w:val="nil"/>
                    <w:tr2bl w:val="nil"/>
                  </w:tcBorders>
                  <w:shd w:val="clear" w:color="auto" w:fill="auto"/>
                  <w:vAlign w:val="center"/>
                </w:tcPr>
                <w:p w14:paraId="5997CA4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2.48E+01</w:t>
                  </w:r>
                </w:p>
              </w:tc>
            </w:tr>
            <w:tr w14:paraId="2B6607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34" w:hRule="exact"/>
                <w:jc w:val="center"/>
              </w:trPr>
              <w:tc>
                <w:tcPr>
                  <w:tcW w:w="987" w:type="dxa"/>
                  <w:tcBorders>
                    <w:tl2br w:val="nil"/>
                    <w:tr2bl w:val="nil"/>
                  </w:tcBorders>
                  <w:shd w:val="clear" w:color="auto" w:fill="auto"/>
                  <w:vAlign w:val="center"/>
                </w:tcPr>
                <w:p w14:paraId="129DCDC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5</w:t>
                  </w:r>
                </w:p>
              </w:tc>
              <w:tc>
                <w:tcPr>
                  <w:tcW w:w="2136" w:type="dxa"/>
                  <w:tcBorders>
                    <w:tl2br w:val="nil"/>
                    <w:tr2bl w:val="nil"/>
                  </w:tcBorders>
                  <w:shd w:val="clear" w:color="auto" w:fill="auto"/>
                  <w:vAlign w:val="center"/>
                </w:tcPr>
                <w:p w14:paraId="17877A6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C-11</w:t>
                  </w:r>
                  <w:r>
                    <w:rPr>
                      <w:rFonts w:hint="default" w:ascii="Times New Roman" w:hAnsi="Times New Roman" w:eastAsia="宋体" w:cs="Times New Roman"/>
                      <w:i w:val="0"/>
                      <w:iCs w:val="0"/>
                      <w:color w:val="auto"/>
                      <w:kern w:val="0"/>
                      <w:sz w:val="16"/>
                      <w:szCs w:val="16"/>
                      <w:highlight w:val="none"/>
                      <w:u w:val="none"/>
                      <w:lang w:val="en-US" w:eastAsia="zh-CN" w:bidi="ar"/>
                    </w:rPr>
                    <w:t>注射</w:t>
                  </w:r>
                </w:p>
              </w:tc>
              <w:tc>
                <w:tcPr>
                  <w:tcW w:w="989" w:type="dxa"/>
                  <w:tcBorders>
                    <w:tl2br w:val="nil"/>
                    <w:tr2bl w:val="nil"/>
                  </w:tcBorders>
                  <w:shd w:val="clear" w:color="auto" w:fill="auto"/>
                  <w:vAlign w:val="center"/>
                </w:tcPr>
                <w:p w14:paraId="58B5F62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职业</w:t>
                  </w:r>
                </w:p>
              </w:tc>
              <w:tc>
                <w:tcPr>
                  <w:tcW w:w="1419" w:type="dxa"/>
                  <w:tcBorders>
                    <w:tl2br w:val="nil"/>
                    <w:tr2bl w:val="nil"/>
                  </w:tcBorders>
                  <w:shd w:val="clear" w:color="auto" w:fill="auto"/>
                  <w:vAlign w:val="center"/>
                </w:tcPr>
                <w:p w14:paraId="70354C5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1.52E+02</w:t>
                  </w:r>
                </w:p>
              </w:tc>
              <w:tc>
                <w:tcPr>
                  <w:tcW w:w="1461" w:type="dxa"/>
                  <w:tcBorders>
                    <w:tl2br w:val="nil"/>
                    <w:tr2bl w:val="nil"/>
                  </w:tcBorders>
                  <w:shd w:val="clear" w:color="auto" w:fill="auto"/>
                  <w:vAlign w:val="center"/>
                </w:tcPr>
                <w:p w14:paraId="07CB5A7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0.625×250</w:t>
                  </w:r>
                </w:p>
              </w:tc>
              <w:tc>
                <w:tcPr>
                  <w:tcW w:w="992" w:type="dxa"/>
                  <w:tcBorders>
                    <w:tl2br w:val="nil"/>
                    <w:tr2bl w:val="nil"/>
                  </w:tcBorders>
                  <w:shd w:val="clear" w:color="auto" w:fill="auto"/>
                  <w:noWrap/>
                  <w:vAlign w:val="center"/>
                </w:tcPr>
                <w:p w14:paraId="7B53BB4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w:t>
                  </w:r>
                </w:p>
              </w:tc>
              <w:tc>
                <w:tcPr>
                  <w:tcW w:w="1512" w:type="dxa"/>
                  <w:tcBorders>
                    <w:tl2br w:val="nil"/>
                    <w:tr2bl w:val="nil"/>
                  </w:tcBorders>
                  <w:shd w:val="clear" w:color="auto" w:fill="auto"/>
                  <w:vAlign w:val="center"/>
                </w:tcPr>
                <w:p w14:paraId="1E570DB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2.38E+01</w:t>
                  </w:r>
                </w:p>
              </w:tc>
            </w:tr>
            <w:tr w14:paraId="71B2AB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6A4E218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6</w:t>
                  </w:r>
                </w:p>
              </w:tc>
              <w:tc>
                <w:tcPr>
                  <w:tcW w:w="2136" w:type="dxa"/>
                  <w:tcBorders>
                    <w:tl2br w:val="nil"/>
                    <w:tr2bl w:val="nil"/>
                  </w:tcBorders>
                  <w:shd w:val="clear" w:color="auto" w:fill="auto"/>
                  <w:vAlign w:val="center"/>
                </w:tcPr>
                <w:p w14:paraId="6943F327">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C-11摆位</w:t>
                  </w:r>
                </w:p>
              </w:tc>
              <w:tc>
                <w:tcPr>
                  <w:tcW w:w="989" w:type="dxa"/>
                  <w:tcBorders>
                    <w:tl2br w:val="nil"/>
                    <w:tr2bl w:val="nil"/>
                  </w:tcBorders>
                  <w:shd w:val="clear" w:color="auto" w:fill="auto"/>
                  <w:vAlign w:val="center"/>
                </w:tcPr>
                <w:p w14:paraId="535A1F3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职业</w:t>
                  </w:r>
                </w:p>
              </w:tc>
              <w:tc>
                <w:tcPr>
                  <w:tcW w:w="1419" w:type="dxa"/>
                  <w:tcBorders>
                    <w:tl2br w:val="nil"/>
                    <w:tr2bl w:val="nil"/>
                  </w:tcBorders>
                  <w:shd w:val="clear" w:color="auto" w:fill="auto"/>
                  <w:vAlign w:val="center"/>
                </w:tcPr>
                <w:p w14:paraId="17EEB94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4.09E+02</w:t>
                  </w:r>
                </w:p>
              </w:tc>
              <w:tc>
                <w:tcPr>
                  <w:tcW w:w="1461" w:type="dxa"/>
                  <w:tcBorders>
                    <w:tl2br w:val="nil"/>
                    <w:tr2bl w:val="nil"/>
                  </w:tcBorders>
                  <w:shd w:val="clear" w:color="auto" w:fill="auto"/>
                  <w:vAlign w:val="center"/>
                </w:tcPr>
                <w:p w14:paraId="6D9F23D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0.625×250</w:t>
                  </w:r>
                </w:p>
              </w:tc>
              <w:tc>
                <w:tcPr>
                  <w:tcW w:w="992" w:type="dxa"/>
                  <w:tcBorders>
                    <w:tl2br w:val="nil"/>
                    <w:tr2bl w:val="nil"/>
                  </w:tcBorders>
                  <w:shd w:val="clear" w:color="auto" w:fill="auto"/>
                  <w:noWrap/>
                  <w:vAlign w:val="center"/>
                </w:tcPr>
                <w:p w14:paraId="443E7B3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w:t>
                  </w:r>
                </w:p>
              </w:tc>
              <w:tc>
                <w:tcPr>
                  <w:tcW w:w="1512" w:type="dxa"/>
                  <w:tcBorders>
                    <w:tl2br w:val="nil"/>
                    <w:tr2bl w:val="nil"/>
                  </w:tcBorders>
                  <w:shd w:val="clear" w:color="auto" w:fill="auto"/>
                  <w:vAlign w:val="center"/>
                </w:tcPr>
                <w:p w14:paraId="235F632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6.39E+01</w:t>
                  </w:r>
                </w:p>
              </w:tc>
            </w:tr>
            <w:tr w14:paraId="5E8FF23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2154A2E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7</w:t>
                  </w:r>
                </w:p>
              </w:tc>
              <w:tc>
                <w:tcPr>
                  <w:tcW w:w="2136" w:type="dxa"/>
                  <w:tcBorders>
                    <w:tl2br w:val="nil"/>
                    <w:tr2bl w:val="nil"/>
                  </w:tcBorders>
                  <w:shd w:val="clear" w:color="auto" w:fill="auto"/>
                  <w:vAlign w:val="center"/>
                </w:tcPr>
                <w:p w14:paraId="5DF31D2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default" w:ascii="Times New Roman" w:hAnsi="Times New Roman" w:eastAsia="宋体" w:cs="Times New Roman"/>
                      <w:i w:val="0"/>
                      <w:iCs w:val="0"/>
                      <w:color w:val="auto"/>
                      <w:kern w:val="0"/>
                      <w:sz w:val="16"/>
                      <w:szCs w:val="16"/>
                      <w:highlight w:val="none"/>
                      <w:u w:val="none"/>
                      <w:lang w:val="en-US" w:eastAsia="zh-CN" w:bidi="ar"/>
                    </w:rPr>
                    <w:t>I-131</w:t>
                  </w:r>
                  <w:r>
                    <w:rPr>
                      <w:rFonts w:hint="eastAsia" w:cs="Times New Roman"/>
                      <w:i w:val="0"/>
                      <w:iCs w:val="0"/>
                      <w:color w:val="auto"/>
                      <w:kern w:val="0"/>
                      <w:sz w:val="16"/>
                      <w:szCs w:val="16"/>
                      <w:highlight w:val="none"/>
                      <w:u w:val="none"/>
                      <w:lang w:val="en-US" w:eastAsia="zh-CN" w:bidi="ar"/>
                    </w:rPr>
                    <w:t>发药</w:t>
                  </w:r>
                </w:p>
              </w:tc>
              <w:tc>
                <w:tcPr>
                  <w:tcW w:w="989" w:type="dxa"/>
                  <w:tcBorders>
                    <w:tl2br w:val="nil"/>
                    <w:tr2bl w:val="nil"/>
                  </w:tcBorders>
                  <w:shd w:val="clear" w:color="auto" w:fill="auto"/>
                  <w:vAlign w:val="center"/>
                </w:tcPr>
                <w:p w14:paraId="75577B8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职业</w:t>
                  </w:r>
                </w:p>
              </w:tc>
              <w:tc>
                <w:tcPr>
                  <w:tcW w:w="1419" w:type="dxa"/>
                  <w:tcBorders>
                    <w:tl2br w:val="nil"/>
                    <w:tr2bl w:val="nil"/>
                  </w:tcBorders>
                  <w:shd w:val="clear" w:color="auto" w:fill="auto"/>
                  <w:vAlign w:val="center"/>
                </w:tcPr>
                <w:p w14:paraId="5852427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2.97E+02</w:t>
                  </w:r>
                </w:p>
              </w:tc>
              <w:tc>
                <w:tcPr>
                  <w:tcW w:w="1461" w:type="dxa"/>
                  <w:tcBorders>
                    <w:tl2br w:val="nil"/>
                    <w:tr2bl w:val="nil"/>
                  </w:tcBorders>
                  <w:shd w:val="clear" w:color="auto" w:fill="auto"/>
                  <w:vAlign w:val="center"/>
                </w:tcPr>
                <w:p w14:paraId="3C57D33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0.3×250</w:t>
                  </w:r>
                </w:p>
              </w:tc>
              <w:tc>
                <w:tcPr>
                  <w:tcW w:w="992" w:type="dxa"/>
                  <w:tcBorders>
                    <w:tl2br w:val="nil"/>
                    <w:tr2bl w:val="nil"/>
                  </w:tcBorders>
                  <w:shd w:val="clear" w:color="auto" w:fill="auto"/>
                  <w:noWrap/>
                  <w:vAlign w:val="center"/>
                </w:tcPr>
                <w:p w14:paraId="20C265E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w:t>
                  </w:r>
                </w:p>
              </w:tc>
              <w:tc>
                <w:tcPr>
                  <w:tcW w:w="1512" w:type="dxa"/>
                  <w:tcBorders>
                    <w:tl2br w:val="nil"/>
                    <w:tr2bl w:val="nil"/>
                  </w:tcBorders>
                  <w:shd w:val="clear" w:color="auto" w:fill="auto"/>
                  <w:vAlign w:val="center"/>
                </w:tcPr>
                <w:p w14:paraId="2EFB3B5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2.23E+01</w:t>
                  </w:r>
                </w:p>
              </w:tc>
            </w:tr>
            <w:tr w14:paraId="3E0567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exact"/>
                <w:jc w:val="center"/>
              </w:trPr>
              <w:tc>
                <w:tcPr>
                  <w:tcW w:w="987" w:type="dxa"/>
                  <w:tcBorders>
                    <w:tl2br w:val="nil"/>
                    <w:tr2bl w:val="nil"/>
                  </w:tcBorders>
                  <w:shd w:val="clear" w:color="auto" w:fill="auto"/>
                  <w:vAlign w:val="center"/>
                </w:tcPr>
                <w:p w14:paraId="54EFEE3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8</w:t>
                  </w:r>
                </w:p>
              </w:tc>
              <w:tc>
                <w:tcPr>
                  <w:tcW w:w="2136" w:type="dxa"/>
                  <w:tcBorders>
                    <w:tl2br w:val="nil"/>
                    <w:tr2bl w:val="nil"/>
                  </w:tcBorders>
                  <w:shd w:val="clear" w:color="auto" w:fill="auto"/>
                  <w:vAlign w:val="center"/>
                </w:tcPr>
                <w:p w14:paraId="5CC17A8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Lu-177</w:t>
                  </w:r>
                  <w:r>
                    <w:rPr>
                      <w:rFonts w:hint="eastAsia" w:cs="Times New Roman"/>
                      <w:i w:val="0"/>
                      <w:iCs w:val="0"/>
                      <w:color w:val="auto"/>
                      <w:kern w:val="0"/>
                      <w:sz w:val="16"/>
                      <w:szCs w:val="16"/>
                      <w:highlight w:val="none"/>
                      <w:u w:val="none"/>
                      <w:lang w:val="en-US" w:eastAsia="zh-CN" w:bidi="ar"/>
                    </w:rPr>
                    <w:t>注射</w:t>
                  </w:r>
                </w:p>
              </w:tc>
              <w:tc>
                <w:tcPr>
                  <w:tcW w:w="989" w:type="dxa"/>
                  <w:tcBorders>
                    <w:tl2br w:val="nil"/>
                    <w:tr2bl w:val="nil"/>
                  </w:tcBorders>
                  <w:shd w:val="clear" w:color="auto" w:fill="auto"/>
                  <w:vAlign w:val="center"/>
                </w:tcPr>
                <w:p w14:paraId="5CA3C50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职业</w:t>
                  </w:r>
                </w:p>
              </w:tc>
              <w:tc>
                <w:tcPr>
                  <w:tcW w:w="1419" w:type="dxa"/>
                  <w:tcBorders>
                    <w:tl2br w:val="nil"/>
                    <w:tr2bl w:val="nil"/>
                  </w:tcBorders>
                  <w:shd w:val="clear" w:color="auto" w:fill="auto"/>
                  <w:vAlign w:val="center"/>
                </w:tcPr>
                <w:p w14:paraId="0DC6A3A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2.24E+02μ</w:t>
                  </w:r>
                </w:p>
              </w:tc>
              <w:tc>
                <w:tcPr>
                  <w:tcW w:w="1461" w:type="dxa"/>
                  <w:tcBorders>
                    <w:tl2br w:val="nil"/>
                    <w:tr2bl w:val="nil"/>
                  </w:tcBorders>
                  <w:shd w:val="clear" w:color="auto" w:fill="auto"/>
                  <w:vAlign w:val="center"/>
                </w:tcPr>
                <w:p w14:paraId="0314EE3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0.3×250</w:t>
                  </w:r>
                </w:p>
              </w:tc>
              <w:tc>
                <w:tcPr>
                  <w:tcW w:w="992" w:type="dxa"/>
                  <w:tcBorders>
                    <w:tl2br w:val="nil"/>
                    <w:tr2bl w:val="nil"/>
                  </w:tcBorders>
                  <w:shd w:val="clear" w:color="auto" w:fill="auto"/>
                  <w:noWrap/>
                  <w:vAlign w:val="center"/>
                </w:tcPr>
                <w:p w14:paraId="4592709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w:t>
                  </w:r>
                </w:p>
              </w:tc>
              <w:tc>
                <w:tcPr>
                  <w:tcW w:w="1512" w:type="dxa"/>
                  <w:tcBorders>
                    <w:tl2br w:val="nil"/>
                    <w:tr2bl w:val="nil"/>
                  </w:tcBorders>
                  <w:shd w:val="clear" w:color="auto" w:fill="auto"/>
                  <w:vAlign w:val="center"/>
                </w:tcPr>
                <w:p w14:paraId="1E6F1F4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1.68E+01</w:t>
                  </w:r>
                </w:p>
              </w:tc>
            </w:tr>
          </w:tbl>
          <w:p w14:paraId="5F8E2C91">
            <w:pPr>
              <w:keepNext w:val="0"/>
              <w:keepLines w:val="0"/>
              <w:suppressLineNumbers w:val="0"/>
              <w:spacing w:before="0" w:beforeAutospacing="0" w:after="0" w:afterAutospacing="0"/>
              <w:ind w:left="0" w:right="0"/>
              <w:jc w:val="both"/>
              <w:rPr>
                <w:rFonts w:hint="default" w:ascii="Times New Roman" w:hAnsi="Times New Roman" w:eastAsia="宋体" w:cs="Times New Roman"/>
                <w:b/>
                <w:color w:val="auto"/>
                <w:sz w:val="24"/>
                <w:szCs w:val="22"/>
                <w:highlight w:val="none"/>
                <w:lang w:val="en-US" w:eastAsia="zh-CN"/>
              </w:rPr>
            </w:pPr>
          </w:p>
          <w:p w14:paraId="72A7E9A2">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根据上表计算结果，除了Tc-99m注射、Tc-99m摆位、</w:t>
            </w:r>
            <w:r>
              <w:rPr>
                <w:rFonts w:hint="eastAsia" w:ascii="Times New Roman" w:hAnsi="Times New Roman" w:eastAsia="宋体" w:cs="Times New Roman"/>
                <w:color w:val="auto"/>
                <w:sz w:val="24"/>
                <w:szCs w:val="24"/>
                <w:highlight w:val="none"/>
                <w:vertAlign w:val="baseline"/>
                <w:lang w:val="en-US" w:eastAsia="zh-CN"/>
              </w:rPr>
              <w:t>Lu-177</w:t>
            </w:r>
            <w:r>
              <w:rPr>
                <w:rFonts w:hint="eastAsia" w:ascii="Times New Roman" w:hAnsi="Times New Roman" w:eastAsia="宋体" w:cs="Times New Roman"/>
                <w:color w:val="auto"/>
                <w:sz w:val="24"/>
                <w:szCs w:val="24"/>
                <w:highlight w:val="none"/>
                <w:lang w:val="en-US" w:eastAsia="zh-CN"/>
              </w:rPr>
              <w:t>注射岗位工作人员外，其他岗位工作人员年有效剂量超过了《电离辐射防护与辐射源安全基本标准》（GB18871-2002）中规定的：职业照射连续 5 年的年平均有效剂量，20mSv的限值要求，为控制并降低职业人员受照水平，本次拟新增辐射工作人员，新增人员配置后各岗位人员受照剂量预测结果如下：</w:t>
            </w:r>
          </w:p>
          <w:p w14:paraId="31136FDA">
            <w:pPr>
              <w:keepNext w:val="0"/>
              <w:keepLines w:val="0"/>
              <w:suppressLineNumbers w:val="0"/>
              <w:spacing w:before="0" w:beforeAutospacing="0" w:after="0" w:afterAutospacing="0"/>
              <w:ind w:left="0" w:right="0"/>
              <w:jc w:val="center"/>
              <w:rPr>
                <w:rFonts w:hint="default" w:ascii="Times New Roman" w:hAnsi="Times New Roman" w:eastAsia="宋体" w:cs="Times New Roman"/>
                <w:b/>
                <w:color w:val="auto"/>
                <w:sz w:val="24"/>
                <w:szCs w:val="22"/>
                <w:highlight w:val="none"/>
                <w:lang w:val="en-US" w:eastAsia="zh-CN"/>
              </w:rPr>
            </w:pPr>
            <w:r>
              <w:rPr>
                <w:rFonts w:hint="eastAsia" w:cs="Times New Roman"/>
                <w:b/>
                <w:color w:val="auto"/>
                <w:sz w:val="24"/>
                <w:szCs w:val="22"/>
                <w:highlight w:val="none"/>
                <w:lang w:val="en-US" w:eastAsia="zh-CN"/>
              </w:rPr>
              <w:t>表11-21  核医学楼辐射工作人员受照射剂量预测结果（增加人员分摊剂量）</w:t>
            </w:r>
          </w:p>
          <w:tbl>
            <w:tblPr>
              <w:tblStyle w:val="22"/>
              <w:tblW w:w="917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183"/>
              <w:gridCol w:w="2560"/>
              <w:gridCol w:w="1811"/>
              <w:gridCol w:w="1811"/>
              <w:gridCol w:w="1811"/>
            </w:tblGrid>
            <w:tr w14:paraId="72C6DF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9" w:hRule="exact"/>
                <w:jc w:val="center"/>
              </w:trPr>
              <w:tc>
                <w:tcPr>
                  <w:tcW w:w="1183" w:type="dxa"/>
                  <w:tcBorders>
                    <w:tl2br w:val="nil"/>
                    <w:tr2bl w:val="nil"/>
                  </w:tcBorders>
                  <w:shd w:val="clear" w:color="auto" w:fill="auto"/>
                  <w:vAlign w:val="center"/>
                </w:tcPr>
                <w:p w14:paraId="47445CF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序号</w:t>
                  </w:r>
                </w:p>
              </w:tc>
              <w:tc>
                <w:tcPr>
                  <w:tcW w:w="2560" w:type="dxa"/>
                  <w:tcBorders>
                    <w:tl2br w:val="nil"/>
                    <w:tr2bl w:val="nil"/>
                  </w:tcBorders>
                  <w:shd w:val="clear" w:color="auto" w:fill="auto"/>
                  <w:vAlign w:val="center"/>
                </w:tcPr>
                <w:p w14:paraId="5125AD0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ascii="Times New Roman" w:hAnsi="Times New Roman" w:eastAsia="宋体" w:cs="Times New Roman"/>
                      <w:i w:val="0"/>
                      <w:iCs w:val="0"/>
                      <w:color w:val="auto"/>
                      <w:kern w:val="0"/>
                      <w:sz w:val="16"/>
                      <w:szCs w:val="16"/>
                      <w:highlight w:val="none"/>
                      <w:u w:val="none"/>
                      <w:lang w:val="en-US" w:eastAsia="zh-CN" w:bidi="ar"/>
                    </w:rPr>
                  </w:pPr>
                  <w:r>
                    <w:rPr>
                      <w:rFonts w:hint="eastAsia" w:ascii="Times New Roman" w:hAnsi="Times New Roman" w:eastAsia="宋体" w:cs="Times New Roman"/>
                      <w:i w:val="0"/>
                      <w:iCs w:val="0"/>
                      <w:color w:val="auto"/>
                      <w:kern w:val="0"/>
                      <w:sz w:val="16"/>
                      <w:szCs w:val="16"/>
                      <w:highlight w:val="none"/>
                      <w:u w:val="none"/>
                      <w:lang w:val="en-US" w:eastAsia="zh-CN" w:bidi="ar"/>
                    </w:rPr>
                    <w:t>岗位</w:t>
                  </w:r>
                </w:p>
              </w:tc>
              <w:tc>
                <w:tcPr>
                  <w:tcW w:w="1811" w:type="dxa"/>
                  <w:tcBorders>
                    <w:tl2br w:val="nil"/>
                    <w:tr2bl w:val="nil"/>
                  </w:tcBorders>
                  <w:shd w:val="clear" w:color="auto" w:fill="auto"/>
                  <w:vAlign w:val="center"/>
                </w:tcPr>
                <w:p w14:paraId="30A1DF9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年有效剂量mSv/a</w:t>
                  </w:r>
                </w:p>
              </w:tc>
              <w:tc>
                <w:tcPr>
                  <w:tcW w:w="1811" w:type="dxa"/>
                  <w:tcBorders>
                    <w:tl2br w:val="nil"/>
                    <w:tr2bl w:val="nil"/>
                  </w:tcBorders>
                  <w:shd w:val="clear" w:color="auto" w:fill="auto"/>
                  <w:vAlign w:val="center"/>
                </w:tcPr>
                <w:p w14:paraId="333D837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拟新增人数</w:t>
                  </w:r>
                </w:p>
              </w:tc>
              <w:tc>
                <w:tcPr>
                  <w:tcW w:w="1811" w:type="dxa"/>
                  <w:tcBorders>
                    <w:tl2br w:val="nil"/>
                    <w:tr2bl w:val="nil"/>
                  </w:tcBorders>
                  <w:shd w:val="clear" w:color="auto" w:fill="auto"/>
                  <w:vAlign w:val="center"/>
                </w:tcPr>
                <w:p w14:paraId="7194DE5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分摊后年有效剂量mSv/a</w:t>
                  </w:r>
                </w:p>
              </w:tc>
            </w:tr>
            <w:tr w14:paraId="756AA4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5" w:hRule="exact"/>
                <w:jc w:val="center"/>
              </w:trPr>
              <w:tc>
                <w:tcPr>
                  <w:tcW w:w="1183" w:type="dxa"/>
                  <w:tcBorders>
                    <w:tl2br w:val="nil"/>
                    <w:tr2bl w:val="nil"/>
                  </w:tcBorders>
                  <w:shd w:val="clear" w:color="auto" w:fill="auto"/>
                  <w:vAlign w:val="center"/>
                </w:tcPr>
                <w:p w14:paraId="587845C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w:t>
                  </w:r>
                </w:p>
              </w:tc>
              <w:tc>
                <w:tcPr>
                  <w:tcW w:w="2560" w:type="dxa"/>
                  <w:tcBorders>
                    <w:tl2br w:val="nil"/>
                    <w:tr2bl w:val="nil"/>
                  </w:tcBorders>
                  <w:shd w:val="clear" w:color="auto" w:fill="auto"/>
                  <w:vAlign w:val="center"/>
                </w:tcPr>
                <w:p w14:paraId="43EB862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Tc-99m摆位</w:t>
                  </w:r>
                </w:p>
              </w:tc>
              <w:tc>
                <w:tcPr>
                  <w:tcW w:w="1811" w:type="dxa"/>
                  <w:tcBorders>
                    <w:tl2br w:val="nil"/>
                    <w:tr2bl w:val="nil"/>
                  </w:tcBorders>
                  <w:shd w:val="clear" w:color="auto" w:fill="auto"/>
                  <w:vAlign w:val="center"/>
                </w:tcPr>
                <w:p w14:paraId="100F5B7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1.78E+01</w:t>
                  </w:r>
                </w:p>
              </w:tc>
              <w:tc>
                <w:tcPr>
                  <w:tcW w:w="1811" w:type="dxa"/>
                  <w:tcBorders>
                    <w:tl2br w:val="nil"/>
                    <w:tr2bl w:val="nil"/>
                  </w:tcBorders>
                  <w:shd w:val="clear" w:color="auto" w:fill="auto"/>
                  <w:vAlign w:val="center"/>
                </w:tcPr>
                <w:p w14:paraId="195D14C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 xml:space="preserve">4 </w:t>
                  </w:r>
                </w:p>
              </w:tc>
              <w:tc>
                <w:tcPr>
                  <w:tcW w:w="1811" w:type="dxa"/>
                  <w:tcBorders>
                    <w:tl2br w:val="nil"/>
                    <w:tr2bl w:val="nil"/>
                  </w:tcBorders>
                  <w:shd w:val="clear" w:color="auto" w:fill="auto"/>
                  <w:vAlign w:val="center"/>
                </w:tcPr>
                <w:p w14:paraId="1A98DA9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4.44E+00</w:t>
                  </w:r>
                </w:p>
              </w:tc>
            </w:tr>
            <w:tr w14:paraId="0A29E1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5" w:hRule="exact"/>
                <w:jc w:val="center"/>
              </w:trPr>
              <w:tc>
                <w:tcPr>
                  <w:tcW w:w="1183" w:type="dxa"/>
                  <w:tcBorders>
                    <w:tl2br w:val="nil"/>
                    <w:tr2bl w:val="nil"/>
                  </w:tcBorders>
                  <w:shd w:val="clear" w:color="auto" w:fill="auto"/>
                  <w:vAlign w:val="center"/>
                </w:tcPr>
                <w:p w14:paraId="2920D04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w:t>
                  </w:r>
                </w:p>
              </w:tc>
              <w:tc>
                <w:tcPr>
                  <w:tcW w:w="2560" w:type="dxa"/>
                  <w:tcBorders>
                    <w:tl2br w:val="nil"/>
                    <w:tr2bl w:val="nil"/>
                  </w:tcBorders>
                  <w:shd w:val="clear" w:color="auto" w:fill="auto"/>
                  <w:vAlign w:val="center"/>
                </w:tcPr>
                <w:p w14:paraId="0728F29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I-131注射</w:t>
                  </w:r>
                </w:p>
              </w:tc>
              <w:tc>
                <w:tcPr>
                  <w:tcW w:w="1811" w:type="dxa"/>
                  <w:tcBorders>
                    <w:tl2br w:val="nil"/>
                    <w:tr2bl w:val="nil"/>
                  </w:tcBorders>
                  <w:shd w:val="clear" w:color="auto" w:fill="auto"/>
                  <w:vAlign w:val="center"/>
                </w:tcPr>
                <w:p w14:paraId="0D722F3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2.68E+01</w:t>
                  </w:r>
                </w:p>
              </w:tc>
              <w:tc>
                <w:tcPr>
                  <w:tcW w:w="1811" w:type="dxa"/>
                  <w:tcBorders>
                    <w:tl2br w:val="nil"/>
                    <w:tr2bl w:val="nil"/>
                  </w:tcBorders>
                  <w:shd w:val="clear" w:color="auto" w:fill="auto"/>
                  <w:vAlign w:val="center"/>
                </w:tcPr>
                <w:p w14:paraId="570EBB4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 xml:space="preserve">6 </w:t>
                  </w:r>
                </w:p>
              </w:tc>
              <w:tc>
                <w:tcPr>
                  <w:tcW w:w="1811" w:type="dxa"/>
                  <w:tcBorders>
                    <w:tl2br w:val="nil"/>
                    <w:tr2bl w:val="nil"/>
                  </w:tcBorders>
                  <w:shd w:val="clear" w:color="auto" w:fill="auto"/>
                  <w:vAlign w:val="center"/>
                </w:tcPr>
                <w:p w14:paraId="3DD30798">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4.47E+00</w:t>
                  </w:r>
                </w:p>
              </w:tc>
            </w:tr>
            <w:tr w14:paraId="6B6C66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5" w:hRule="exact"/>
                <w:jc w:val="center"/>
              </w:trPr>
              <w:tc>
                <w:tcPr>
                  <w:tcW w:w="1183" w:type="dxa"/>
                  <w:tcBorders>
                    <w:tl2br w:val="nil"/>
                    <w:tr2bl w:val="nil"/>
                  </w:tcBorders>
                  <w:shd w:val="clear" w:color="auto" w:fill="auto"/>
                  <w:vAlign w:val="center"/>
                </w:tcPr>
                <w:p w14:paraId="01591FF1">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3</w:t>
                  </w:r>
                </w:p>
              </w:tc>
              <w:tc>
                <w:tcPr>
                  <w:tcW w:w="2560" w:type="dxa"/>
                  <w:tcBorders>
                    <w:tl2br w:val="nil"/>
                    <w:tr2bl w:val="nil"/>
                  </w:tcBorders>
                  <w:shd w:val="clear" w:color="auto" w:fill="auto"/>
                  <w:vAlign w:val="center"/>
                </w:tcPr>
                <w:p w14:paraId="3C14C545">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I-131摆位</w:t>
                  </w:r>
                </w:p>
              </w:tc>
              <w:tc>
                <w:tcPr>
                  <w:tcW w:w="1811" w:type="dxa"/>
                  <w:tcBorders>
                    <w:tl2br w:val="nil"/>
                    <w:tr2bl w:val="nil"/>
                  </w:tcBorders>
                  <w:shd w:val="clear" w:color="auto" w:fill="auto"/>
                  <w:vAlign w:val="center"/>
                </w:tcPr>
                <w:p w14:paraId="0EE9466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2.48E+01</w:t>
                  </w:r>
                </w:p>
              </w:tc>
              <w:tc>
                <w:tcPr>
                  <w:tcW w:w="1811" w:type="dxa"/>
                  <w:tcBorders>
                    <w:tl2br w:val="nil"/>
                    <w:tr2bl w:val="nil"/>
                  </w:tcBorders>
                  <w:shd w:val="clear" w:color="auto" w:fill="auto"/>
                  <w:vAlign w:val="center"/>
                </w:tcPr>
                <w:p w14:paraId="15D21410">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 xml:space="preserve">5 </w:t>
                  </w:r>
                </w:p>
              </w:tc>
              <w:tc>
                <w:tcPr>
                  <w:tcW w:w="1811" w:type="dxa"/>
                  <w:tcBorders>
                    <w:tl2br w:val="nil"/>
                    <w:tr2bl w:val="nil"/>
                  </w:tcBorders>
                  <w:shd w:val="clear" w:color="auto" w:fill="auto"/>
                  <w:vAlign w:val="center"/>
                </w:tcPr>
                <w:p w14:paraId="1950657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4.96E+00</w:t>
                  </w:r>
                </w:p>
              </w:tc>
            </w:tr>
            <w:tr w14:paraId="56E785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7" w:hRule="exact"/>
                <w:jc w:val="center"/>
              </w:trPr>
              <w:tc>
                <w:tcPr>
                  <w:tcW w:w="1183" w:type="dxa"/>
                  <w:tcBorders>
                    <w:tl2br w:val="nil"/>
                    <w:tr2bl w:val="nil"/>
                  </w:tcBorders>
                  <w:shd w:val="clear" w:color="auto" w:fill="auto"/>
                  <w:vAlign w:val="center"/>
                </w:tcPr>
                <w:p w14:paraId="7E481A1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4</w:t>
                  </w:r>
                </w:p>
              </w:tc>
              <w:tc>
                <w:tcPr>
                  <w:tcW w:w="2560" w:type="dxa"/>
                  <w:tcBorders>
                    <w:tl2br w:val="nil"/>
                    <w:tr2bl w:val="nil"/>
                  </w:tcBorders>
                  <w:shd w:val="clear" w:color="auto" w:fill="auto"/>
                  <w:vAlign w:val="center"/>
                </w:tcPr>
                <w:p w14:paraId="4EB4F1AF">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C-11</w:t>
                  </w:r>
                  <w:r>
                    <w:rPr>
                      <w:rFonts w:hint="default" w:cs="Times New Roman"/>
                      <w:i w:val="0"/>
                      <w:iCs w:val="0"/>
                      <w:color w:val="auto"/>
                      <w:kern w:val="0"/>
                      <w:sz w:val="16"/>
                      <w:szCs w:val="16"/>
                      <w:highlight w:val="none"/>
                      <w:u w:val="none"/>
                      <w:lang w:val="en-US" w:eastAsia="zh-CN" w:bidi="ar"/>
                    </w:rPr>
                    <w:t>注射</w:t>
                  </w:r>
                </w:p>
              </w:tc>
              <w:tc>
                <w:tcPr>
                  <w:tcW w:w="1811" w:type="dxa"/>
                  <w:tcBorders>
                    <w:tl2br w:val="nil"/>
                    <w:tr2bl w:val="nil"/>
                  </w:tcBorders>
                  <w:shd w:val="clear" w:color="auto" w:fill="auto"/>
                  <w:vAlign w:val="center"/>
                </w:tcPr>
                <w:p w14:paraId="457079C6">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2.38E+01</w:t>
                  </w:r>
                </w:p>
              </w:tc>
              <w:tc>
                <w:tcPr>
                  <w:tcW w:w="1811" w:type="dxa"/>
                  <w:tcBorders>
                    <w:tl2br w:val="nil"/>
                    <w:tr2bl w:val="nil"/>
                  </w:tcBorders>
                  <w:shd w:val="clear" w:color="auto" w:fill="auto"/>
                  <w:vAlign w:val="center"/>
                </w:tcPr>
                <w:p w14:paraId="75EC563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 xml:space="preserve">5 </w:t>
                  </w:r>
                </w:p>
              </w:tc>
              <w:tc>
                <w:tcPr>
                  <w:tcW w:w="1811" w:type="dxa"/>
                  <w:tcBorders>
                    <w:tl2br w:val="nil"/>
                    <w:tr2bl w:val="nil"/>
                  </w:tcBorders>
                  <w:shd w:val="clear" w:color="auto" w:fill="auto"/>
                  <w:vAlign w:val="center"/>
                </w:tcPr>
                <w:p w14:paraId="514C943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4.75E+00</w:t>
                  </w:r>
                </w:p>
              </w:tc>
            </w:tr>
            <w:tr w14:paraId="0FB363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5" w:hRule="exact"/>
                <w:jc w:val="center"/>
              </w:trPr>
              <w:tc>
                <w:tcPr>
                  <w:tcW w:w="1183" w:type="dxa"/>
                  <w:tcBorders>
                    <w:tl2br w:val="nil"/>
                    <w:tr2bl w:val="nil"/>
                  </w:tcBorders>
                  <w:shd w:val="clear" w:color="auto" w:fill="auto"/>
                  <w:vAlign w:val="center"/>
                </w:tcPr>
                <w:p w14:paraId="4897827A">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5</w:t>
                  </w:r>
                </w:p>
              </w:tc>
              <w:tc>
                <w:tcPr>
                  <w:tcW w:w="2560" w:type="dxa"/>
                  <w:tcBorders>
                    <w:tl2br w:val="nil"/>
                    <w:tr2bl w:val="nil"/>
                  </w:tcBorders>
                  <w:shd w:val="clear" w:color="auto" w:fill="auto"/>
                  <w:vAlign w:val="center"/>
                </w:tcPr>
                <w:p w14:paraId="4052386E">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default" w:cs="Times New Roman"/>
                      <w:i w:val="0"/>
                      <w:iCs w:val="0"/>
                      <w:color w:val="auto"/>
                      <w:kern w:val="0"/>
                      <w:sz w:val="16"/>
                      <w:szCs w:val="16"/>
                      <w:highlight w:val="none"/>
                      <w:u w:val="none"/>
                      <w:lang w:val="en-US" w:eastAsia="zh-CN" w:bidi="ar"/>
                    </w:rPr>
                    <w:t>C-11摆位</w:t>
                  </w:r>
                </w:p>
              </w:tc>
              <w:tc>
                <w:tcPr>
                  <w:tcW w:w="1811" w:type="dxa"/>
                  <w:tcBorders>
                    <w:tl2br w:val="nil"/>
                    <w:tr2bl w:val="nil"/>
                  </w:tcBorders>
                  <w:shd w:val="clear" w:color="auto" w:fill="auto"/>
                  <w:vAlign w:val="center"/>
                </w:tcPr>
                <w:p w14:paraId="472E498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6.39E+01</w:t>
                  </w:r>
                </w:p>
              </w:tc>
              <w:tc>
                <w:tcPr>
                  <w:tcW w:w="1811" w:type="dxa"/>
                  <w:tcBorders>
                    <w:tl2br w:val="nil"/>
                    <w:tr2bl w:val="nil"/>
                  </w:tcBorders>
                  <w:shd w:val="clear" w:color="auto" w:fill="auto"/>
                  <w:vAlign w:val="center"/>
                </w:tcPr>
                <w:p w14:paraId="2AE83732">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 xml:space="preserve">13 </w:t>
                  </w:r>
                </w:p>
              </w:tc>
              <w:tc>
                <w:tcPr>
                  <w:tcW w:w="1811" w:type="dxa"/>
                  <w:tcBorders>
                    <w:tl2br w:val="nil"/>
                    <w:tr2bl w:val="nil"/>
                  </w:tcBorders>
                  <w:shd w:val="clear" w:color="auto" w:fill="auto"/>
                  <w:vAlign w:val="center"/>
                </w:tcPr>
                <w:p w14:paraId="042F91FB">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4.92E+00</w:t>
                  </w:r>
                </w:p>
              </w:tc>
            </w:tr>
            <w:tr w14:paraId="78B2657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5" w:hRule="exact"/>
                <w:jc w:val="center"/>
              </w:trPr>
              <w:tc>
                <w:tcPr>
                  <w:tcW w:w="1183" w:type="dxa"/>
                  <w:tcBorders>
                    <w:tl2br w:val="nil"/>
                    <w:tr2bl w:val="nil"/>
                  </w:tcBorders>
                  <w:shd w:val="clear" w:color="auto" w:fill="auto"/>
                  <w:vAlign w:val="center"/>
                </w:tcPr>
                <w:p w14:paraId="7CE5056D">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6</w:t>
                  </w:r>
                </w:p>
              </w:tc>
              <w:tc>
                <w:tcPr>
                  <w:tcW w:w="2560" w:type="dxa"/>
                  <w:tcBorders>
                    <w:tl2br w:val="nil"/>
                    <w:tr2bl w:val="nil"/>
                  </w:tcBorders>
                  <w:shd w:val="clear" w:color="auto" w:fill="auto"/>
                  <w:vAlign w:val="center"/>
                </w:tcPr>
                <w:p w14:paraId="6968360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default" w:cs="Times New Roman"/>
                      <w:i w:val="0"/>
                      <w:iCs w:val="0"/>
                      <w:color w:val="auto"/>
                      <w:kern w:val="0"/>
                      <w:sz w:val="16"/>
                      <w:szCs w:val="16"/>
                      <w:highlight w:val="none"/>
                      <w:u w:val="none"/>
                      <w:lang w:val="en-US" w:eastAsia="zh-CN" w:bidi="ar"/>
                    </w:rPr>
                    <w:t>I-131</w:t>
                  </w:r>
                  <w:r>
                    <w:rPr>
                      <w:rFonts w:hint="eastAsia" w:cs="Times New Roman"/>
                      <w:i w:val="0"/>
                      <w:iCs w:val="0"/>
                      <w:color w:val="auto"/>
                      <w:kern w:val="0"/>
                      <w:sz w:val="16"/>
                      <w:szCs w:val="16"/>
                      <w:highlight w:val="none"/>
                      <w:u w:val="none"/>
                      <w:lang w:val="en-US" w:eastAsia="zh-CN" w:bidi="ar"/>
                    </w:rPr>
                    <w:t>发药</w:t>
                  </w:r>
                </w:p>
              </w:tc>
              <w:tc>
                <w:tcPr>
                  <w:tcW w:w="1811" w:type="dxa"/>
                  <w:tcBorders>
                    <w:tl2br w:val="nil"/>
                    <w:tr2bl w:val="nil"/>
                  </w:tcBorders>
                  <w:shd w:val="clear" w:color="auto" w:fill="auto"/>
                  <w:vAlign w:val="center"/>
                </w:tcPr>
                <w:p w14:paraId="74470A3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2.23E+01</w:t>
                  </w:r>
                </w:p>
              </w:tc>
              <w:tc>
                <w:tcPr>
                  <w:tcW w:w="1811" w:type="dxa"/>
                  <w:tcBorders>
                    <w:tl2br w:val="nil"/>
                    <w:tr2bl w:val="nil"/>
                  </w:tcBorders>
                  <w:shd w:val="clear" w:color="auto" w:fill="auto"/>
                  <w:vAlign w:val="center"/>
                </w:tcPr>
                <w:p w14:paraId="03120CB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 xml:space="preserve">5 </w:t>
                  </w:r>
                </w:p>
              </w:tc>
              <w:tc>
                <w:tcPr>
                  <w:tcW w:w="1811" w:type="dxa"/>
                  <w:tcBorders>
                    <w:tl2br w:val="nil"/>
                    <w:tr2bl w:val="nil"/>
                  </w:tcBorders>
                  <w:shd w:val="clear" w:color="auto" w:fill="auto"/>
                  <w:vAlign w:val="center"/>
                </w:tcPr>
                <w:p w14:paraId="3578B11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4.46E+00</w:t>
                  </w:r>
                </w:p>
              </w:tc>
            </w:tr>
            <w:tr w14:paraId="7A0419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35" w:hRule="exact"/>
                <w:jc w:val="center"/>
              </w:trPr>
              <w:tc>
                <w:tcPr>
                  <w:tcW w:w="1183" w:type="dxa"/>
                  <w:tcBorders>
                    <w:tl2br w:val="nil"/>
                    <w:tr2bl w:val="nil"/>
                  </w:tcBorders>
                  <w:shd w:val="clear" w:color="auto" w:fill="auto"/>
                  <w:vAlign w:val="center"/>
                </w:tcPr>
                <w:p w14:paraId="1D4DAC34">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7</w:t>
                  </w:r>
                </w:p>
              </w:tc>
              <w:tc>
                <w:tcPr>
                  <w:tcW w:w="2560" w:type="dxa"/>
                  <w:tcBorders>
                    <w:tl2br w:val="nil"/>
                    <w:tr2bl w:val="nil"/>
                  </w:tcBorders>
                  <w:shd w:val="clear" w:color="auto" w:fill="auto"/>
                  <w:vAlign w:val="center"/>
                </w:tcPr>
                <w:p w14:paraId="1D65B83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default"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vertAlign w:val="baseline"/>
                      <w:lang w:val="en-US" w:eastAsia="zh-CN" w:bidi="ar"/>
                    </w:rPr>
                    <w:t>Lu-177</w:t>
                  </w:r>
                  <w:r>
                    <w:rPr>
                      <w:rFonts w:hint="eastAsia" w:cs="Times New Roman"/>
                      <w:i w:val="0"/>
                      <w:iCs w:val="0"/>
                      <w:color w:val="auto"/>
                      <w:kern w:val="0"/>
                      <w:sz w:val="16"/>
                      <w:szCs w:val="16"/>
                      <w:highlight w:val="none"/>
                      <w:u w:val="none"/>
                      <w:lang w:val="en-US" w:eastAsia="zh-CN" w:bidi="ar"/>
                    </w:rPr>
                    <w:t>注射</w:t>
                  </w:r>
                </w:p>
              </w:tc>
              <w:tc>
                <w:tcPr>
                  <w:tcW w:w="1811" w:type="dxa"/>
                  <w:tcBorders>
                    <w:tl2br w:val="nil"/>
                    <w:tr2bl w:val="nil"/>
                  </w:tcBorders>
                  <w:shd w:val="clear" w:color="auto" w:fill="auto"/>
                  <w:vAlign w:val="center"/>
                </w:tcPr>
                <w:p w14:paraId="5652A933">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1.68E+01</w:t>
                  </w:r>
                </w:p>
              </w:tc>
              <w:tc>
                <w:tcPr>
                  <w:tcW w:w="1811" w:type="dxa"/>
                  <w:tcBorders>
                    <w:tl2br w:val="nil"/>
                    <w:tr2bl w:val="nil"/>
                  </w:tcBorders>
                  <w:shd w:val="clear" w:color="auto" w:fill="auto"/>
                  <w:vAlign w:val="center"/>
                </w:tcPr>
                <w:p w14:paraId="0C0CB0FC">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 xml:space="preserve">4 </w:t>
                  </w:r>
                </w:p>
              </w:tc>
              <w:tc>
                <w:tcPr>
                  <w:tcW w:w="1811" w:type="dxa"/>
                  <w:tcBorders>
                    <w:tl2br w:val="nil"/>
                    <w:tr2bl w:val="nil"/>
                  </w:tcBorders>
                  <w:shd w:val="clear" w:color="auto" w:fill="auto"/>
                  <w:vAlign w:val="center"/>
                </w:tcPr>
                <w:p w14:paraId="4F3CE809">
                  <w:pPr>
                    <w:keepNext w:val="0"/>
                    <w:keepLines w:val="0"/>
                    <w:widowControl/>
                    <w:suppressLineNumbers w:val="0"/>
                    <w:autoSpaceDE w:val="0"/>
                    <w:autoSpaceDN w:val="0"/>
                    <w:snapToGrid w:val="0"/>
                    <w:spacing w:before="0" w:beforeAutospacing="0" w:after="0" w:afterAutospacing="0"/>
                    <w:ind w:left="0" w:leftChars="0" w:right="0" w:rightChars="0" w:firstLine="0" w:firstLineChars="0"/>
                    <w:jc w:val="center"/>
                    <w:textAlignment w:val="center"/>
                    <w:rPr>
                      <w:rFonts w:hint="eastAsia" w:cs="Times New Roman"/>
                      <w:i w:val="0"/>
                      <w:iCs w:val="0"/>
                      <w:color w:val="auto"/>
                      <w:kern w:val="0"/>
                      <w:sz w:val="16"/>
                      <w:szCs w:val="16"/>
                      <w:highlight w:val="none"/>
                      <w:u w:val="none"/>
                      <w:lang w:val="en-US" w:eastAsia="zh-CN" w:bidi="ar"/>
                    </w:rPr>
                  </w:pPr>
                  <w:r>
                    <w:rPr>
                      <w:rFonts w:hint="eastAsia" w:cs="Times New Roman"/>
                      <w:i w:val="0"/>
                      <w:iCs w:val="0"/>
                      <w:color w:val="auto"/>
                      <w:kern w:val="0"/>
                      <w:sz w:val="16"/>
                      <w:szCs w:val="16"/>
                      <w:highlight w:val="none"/>
                      <w:u w:val="none"/>
                      <w:lang w:val="en-US" w:eastAsia="zh-CN" w:bidi="ar"/>
                    </w:rPr>
                    <w:t>4.20E+00</w:t>
                  </w:r>
                </w:p>
              </w:tc>
            </w:tr>
          </w:tbl>
          <w:p w14:paraId="3E512F05">
            <w:pPr>
              <w:keepNext w:val="0"/>
              <w:keepLines w:val="0"/>
              <w:suppressLineNumbers w:val="0"/>
              <w:spacing w:before="0" w:beforeAutospacing="0" w:after="0" w:afterAutospacing="0"/>
              <w:ind w:left="0" w:right="0"/>
              <w:jc w:val="both"/>
              <w:rPr>
                <w:rFonts w:hint="default" w:ascii="Times New Roman" w:hAnsi="Times New Roman" w:eastAsia="宋体" w:cs="Times New Roman"/>
                <w:b/>
                <w:color w:val="auto"/>
                <w:sz w:val="24"/>
                <w:szCs w:val="22"/>
                <w:highlight w:val="none"/>
                <w:lang w:val="en-US" w:eastAsia="zh-CN"/>
              </w:rPr>
            </w:pPr>
          </w:p>
          <w:p w14:paraId="57BF5F00">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由上表计算结果可知，本项目核医学科</w:t>
            </w:r>
            <w:r>
              <w:rPr>
                <w:rFonts w:hint="eastAsia" w:ascii="Times New Roman" w:hAnsi="Times New Roman" w:eastAsia="宋体" w:cs="Times New Roman"/>
                <w:color w:val="auto"/>
                <w:sz w:val="24"/>
                <w:szCs w:val="24"/>
                <w:highlight w:val="none"/>
                <w:lang w:val="en-US" w:eastAsia="zh-CN"/>
              </w:rPr>
              <w:t>在合理配置辐射工作人员后，辐射</w:t>
            </w:r>
            <w:r>
              <w:rPr>
                <w:rFonts w:hint="eastAsia" w:ascii="Times New Roman" w:hAnsi="Times New Roman" w:cs="Times New Roman"/>
                <w:color w:val="auto"/>
                <w:sz w:val="24"/>
                <w:szCs w:val="24"/>
                <w:highlight w:val="none"/>
                <w:lang w:val="en-US" w:eastAsia="zh-CN"/>
              </w:rPr>
              <w:t>工作</w:t>
            </w:r>
            <w:r>
              <w:rPr>
                <w:rFonts w:hint="eastAsia" w:ascii="Times New Roman" w:hAnsi="Times New Roman" w:eastAsia="宋体" w:cs="Times New Roman"/>
                <w:color w:val="auto"/>
                <w:sz w:val="24"/>
                <w:szCs w:val="24"/>
                <w:highlight w:val="none"/>
                <w:lang w:val="en-US" w:eastAsia="zh-CN"/>
              </w:rPr>
              <w:t>人员年有效剂量</w:t>
            </w:r>
            <w:r>
              <w:rPr>
                <w:rFonts w:hint="default" w:ascii="Times New Roman" w:hAnsi="Times New Roman" w:eastAsia="宋体" w:cs="Times New Roman"/>
                <w:color w:val="auto"/>
                <w:sz w:val="24"/>
                <w:szCs w:val="24"/>
                <w:highlight w:val="none"/>
                <w:lang w:val="en-US" w:eastAsia="zh-CN"/>
              </w:rPr>
              <w:t>能满足《核医学辐射防护与安全要求》（HJ1188-2021）中规定的</w:t>
            </w:r>
            <w:r>
              <w:rPr>
                <w:rFonts w:hint="eastAsia" w:ascii="Times New Roman" w:hAnsi="Times New Roman" w:cs="Times New Roman"/>
                <w:color w:val="auto"/>
                <w:sz w:val="24"/>
                <w:szCs w:val="24"/>
                <w:highlight w:val="none"/>
                <w:lang w:val="en-US" w:eastAsia="zh-CN"/>
              </w:rPr>
              <w:t>职业</w:t>
            </w:r>
            <w:r>
              <w:rPr>
                <w:rFonts w:hint="default" w:ascii="Times New Roman" w:hAnsi="Times New Roman" w:eastAsia="宋体" w:cs="Times New Roman"/>
                <w:color w:val="auto"/>
                <w:sz w:val="24"/>
                <w:szCs w:val="24"/>
                <w:highlight w:val="none"/>
                <w:lang w:val="en-US" w:eastAsia="zh-CN"/>
              </w:rPr>
              <w:t>照射的剂量约束值不超过</w:t>
            </w:r>
            <w:r>
              <w:rPr>
                <w:rFonts w:hint="eastAsia"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mSv/a限值要求。</w:t>
            </w:r>
          </w:p>
          <w:p w14:paraId="651BAADD">
            <w:pPr>
              <w:keepNext w:val="0"/>
              <w:keepLines w:val="0"/>
              <w:suppressLineNumbers w:val="0"/>
              <w:spacing w:before="0" w:beforeAutospacing="0" w:after="0" w:afterAutospacing="0" w:line="360" w:lineRule="auto"/>
              <w:ind w:left="0" w:right="0" w:firstLine="482" w:firstLineChars="200"/>
              <w:jc w:val="center"/>
              <w:rPr>
                <w:rFonts w:hint="eastAsia" w:cs="Times New Roman"/>
                <w:color w:val="auto"/>
                <w:sz w:val="24"/>
                <w:szCs w:val="24"/>
                <w:highlight w:val="none"/>
              </w:rPr>
            </w:pPr>
            <w:r>
              <w:rPr>
                <w:rFonts w:hint="eastAsia" w:eastAsia="宋体" w:cs="Times New Roman"/>
                <w:b/>
                <w:color w:val="auto"/>
                <w:sz w:val="24"/>
                <w:szCs w:val="24"/>
                <w:highlight w:val="none"/>
              </w:rPr>
              <w:t>表11-</w:t>
            </w:r>
            <w:r>
              <w:rPr>
                <w:rFonts w:hint="eastAsia" w:cs="Times New Roman"/>
                <w:b/>
                <w:color w:val="auto"/>
                <w:sz w:val="24"/>
                <w:szCs w:val="24"/>
                <w:highlight w:val="none"/>
                <w:lang w:val="en-US" w:eastAsia="zh-CN"/>
              </w:rPr>
              <w:t>22</w:t>
            </w:r>
            <w:r>
              <w:rPr>
                <w:rFonts w:hint="eastAsia" w:eastAsia="宋体" w:cs="Times New Roman"/>
                <w:b/>
                <w:color w:val="auto"/>
                <w:sz w:val="24"/>
                <w:szCs w:val="24"/>
                <w:highlight w:val="none"/>
              </w:rPr>
              <w:t xml:space="preserve">  </w:t>
            </w:r>
            <w:r>
              <w:rPr>
                <w:rFonts w:hint="eastAsia" w:cs="Times New Roman"/>
                <w:b/>
                <w:color w:val="auto"/>
                <w:sz w:val="24"/>
                <w:szCs w:val="24"/>
                <w:highlight w:val="none"/>
              </w:rPr>
              <w:t>Y-90</w:t>
            </w:r>
            <w:r>
              <w:rPr>
                <w:rFonts w:hint="eastAsia" w:cs="Times New Roman"/>
                <w:b/>
                <w:color w:val="auto"/>
                <w:sz w:val="24"/>
                <w:szCs w:val="24"/>
                <w:highlight w:val="none"/>
                <w:lang w:val="en-US" w:eastAsia="zh-CN"/>
              </w:rPr>
              <w:t>工作场所</w:t>
            </w:r>
            <w:r>
              <w:rPr>
                <w:rFonts w:hint="eastAsia" w:eastAsia="宋体" w:cs="Times New Roman"/>
                <w:b/>
                <w:color w:val="auto"/>
                <w:sz w:val="24"/>
                <w:szCs w:val="24"/>
                <w:highlight w:val="none"/>
                <w:lang w:val="en-US" w:eastAsia="zh-CN"/>
              </w:rPr>
              <w:t>人员受照射剂量预测结果</w:t>
            </w:r>
          </w:p>
          <w:tbl>
            <w:tblPr>
              <w:tblStyle w:val="22"/>
              <w:tblW w:w="915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586"/>
              <w:gridCol w:w="3039"/>
              <w:gridCol w:w="1054"/>
              <w:gridCol w:w="1407"/>
              <w:gridCol w:w="915"/>
              <w:gridCol w:w="1035"/>
              <w:gridCol w:w="1120"/>
            </w:tblGrid>
            <w:tr w14:paraId="01E1CA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586" w:type="dxa"/>
                  <w:tcBorders>
                    <w:tl2br w:val="nil"/>
                    <w:tr2bl w:val="nil"/>
                  </w:tcBorders>
                  <w:noWrap w:val="0"/>
                  <w:vAlign w:val="center"/>
                </w:tcPr>
                <w:p w14:paraId="76AD98FF">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目标点位</w:t>
                  </w:r>
                </w:p>
              </w:tc>
              <w:tc>
                <w:tcPr>
                  <w:tcW w:w="3039" w:type="dxa"/>
                  <w:tcBorders>
                    <w:tl2br w:val="nil"/>
                    <w:tr2bl w:val="nil"/>
                  </w:tcBorders>
                  <w:noWrap w:val="0"/>
                  <w:vAlign w:val="center"/>
                </w:tcPr>
                <w:p w14:paraId="3B2C5D59">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与机房关系</w:t>
                  </w:r>
                </w:p>
              </w:tc>
              <w:tc>
                <w:tcPr>
                  <w:tcW w:w="1054" w:type="dxa"/>
                  <w:tcBorders>
                    <w:tl2br w:val="nil"/>
                    <w:tr2bl w:val="nil"/>
                  </w:tcBorders>
                  <w:noWrap w:val="0"/>
                  <w:vAlign w:val="center"/>
                </w:tcPr>
                <w:p w14:paraId="30301200">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照射类型</w:t>
                  </w:r>
                </w:p>
              </w:tc>
              <w:tc>
                <w:tcPr>
                  <w:tcW w:w="1407" w:type="dxa"/>
                  <w:tcBorders>
                    <w:tl2br w:val="nil"/>
                    <w:tr2bl w:val="nil"/>
                  </w:tcBorders>
                  <w:noWrap w:val="0"/>
                  <w:vAlign w:val="center"/>
                </w:tcPr>
                <w:p w14:paraId="7B6FBE13">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剂量</w:t>
                  </w:r>
                  <w:r>
                    <w:rPr>
                      <w:rFonts w:hint="eastAsia" w:ascii="Times New Roman" w:hAnsi="Times New Roman" w:eastAsia="宋体" w:cs="Times New Roman"/>
                      <w:color w:val="auto"/>
                      <w:kern w:val="0"/>
                      <w:sz w:val="18"/>
                      <w:szCs w:val="18"/>
                      <w:highlight w:val="none"/>
                      <w:lang w:val="en-US" w:eastAsia="zh-CN"/>
                    </w:rPr>
                    <w:t>率</w:t>
                  </w:r>
                  <w:r>
                    <w:rPr>
                      <w:rFonts w:hint="default" w:ascii="Times New Roman" w:hAnsi="Times New Roman" w:eastAsia="宋体" w:cs="Times New Roman"/>
                      <w:color w:val="auto"/>
                      <w:kern w:val="0"/>
                      <w:sz w:val="18"/>
                      <w:szCs w:val="18"/>
                      <w:highlight w:val="none"/>
                    </w:rPr>
                    <w:t>(μSv/h)</w:t>
                  </w:r>
                </w:p>
              </w:tc>
              <w:tc>
                <w:tcPr>
                  <w:tcW w:w="915" w:type="dxa"/>
                  <w:tcBorders>
                    <w:tl2br w:val="nil"/>
                    <w:tr2bl w:val="nil"/>
                  </w:tcBorders>
                  <w:noWrap w:val="0"/>
                  <w:vAlign w:val="center"/>
                </w:tcPr>
                <w:p w14:paraId="4859D6FD">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年受照时间，h</w:t>
                  </w:r>
                </w:p>
              </w:tc>
              <w:tc>
                <w:tcPr>
                  <w:tcW w:w="1035" w:type="dxa"/>
                  <w:tcBorders>
                    <w:tl2br w:val="nil"/>
                    <w:tr2bl w:val="nil"/>
                  </w:tcBorders>
                  <w:noWrap w:val="0"/>
                  <w:vAlign w:val="center"/>
                </w:tcPr>
                <w:p w14:paraId="391DA855">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居留因子</w:t>
                  </w:r>
                </w:p>
              </w:tc>
              <w:tc>
                <w:tcPr>
                  <w:tcW w:w="1120" w:type="dxa"/>
                  <w:tcBorders>
                    <w:tl2br w:val="nil"/>
                    <w:tr2bl w:val="nil"/>
                  </w:tcBorders>
                  <w:noWrap w:val="0"/>
                  <w:vAlign w:val="center"/>
                </w:tcPr>
                <w:p w14:paraId="0D466079">
                  <w:pPr>
                    <w:keepNext w:val="0"/>
                    <w:keepLines w:val="0"/>
                    <w:suppressLineNumbers w:val="0"/>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18"/>
                      <w:szCs w:val="18"/>
                      <w:highlight w:val="none"/>
                      <w:lang w:eastAsia="zh-CN"/>
                    </w:rPr>
                  </w:pPr>
                  <w:r>
                    <w:rPr>
                      <w:rFonts w:hint="eastAsia" w:cs="Times New Roman"/>
                      <w:color w:val="auto"/>
                      <w:kern w:val="0"/>
                      <w:sz w:val="18"/>
                      <w:szCs w:val="18"/>
                      <w:highlight w:val="none"/>
                      <w:lang w:eastAsia="zh-CN"/>
                    </w:rPr>
                    <w:t>年有效剂量mSv/a</w:t>
                  </w:r>
                </w:p>
              </w:tc>
            </w:tr>
            <w:tr w14:paraId="585C8B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586" w:type="dxa"/>
                  <w:tcBorders>
                    <w:tl2br w:val="nil"/>
                    <w:tr2bl w:val="nil"/>
                  </w:tcBorders>
                  <w:shd w:val="clear" w:color="auto" w:fill="auto"/>
                  <w:noWrap w:val="0"/>
                  <w:vAlign w:val="center"/>
                </w:tcPr>
                <w:p w14:paraId="14C14519">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A</w:t>
                  </w:r>
                </w:p>
              </w:tc>
              <w:tc>
                <w:tcPr>
                  <w:tcW w:w="3039" w:type="dxa"/>
                  <w:tcBorders>
                    <w:tl2br w:val="nil"/>
                    <w:tr2bl w:val="nil"/>
                  </w:tcBorders>
                  <w:shd w:val="clear" w:color="auto" w:fill="auto"/>
                  <w:noWrap w:val="0"/>
                  <w:vAlign w:val="center"/>
                </w:tcPr>
                <w:p w14:paraId="51632AE5">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北侧防护墙外30cm 处</w:t>
                  </w:r>
                </w:p>
              </w:tc>
              <w:tc>
                <w:tcPr>
                  <w:tcW w:w="1054" w:type="dxa"/>
                  <w:tcBorders>
                    <w:tl2br w:val="nil"/>
                    <w:tr2bl w:val="nil"/>
                  </w:tcBorders>
                  <w:noWrap w:val="0"/>
                  <w:vAlign w:val="center"/>
                </w:tcPr>
                <w:p w14:paraId="663133BC">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公众</w:t>
                  </w:r>
                </w:p>
              </w:tc>
              <w:tc>
                <w:tcPr>
                  <w:tcW w:w="1407" w:type="dxa"/>
                  <w:tcBorders>
                    <w:tl2br w:val="nil"/>
                    <w:tr2bl w:val="nil"/>
                  </w:tcBorders>
                  <w:shd w:val="clear" w:color="auto" w:fill="auto"/>
                  <w:noWrap w:val="0"/>
                  <w:vAlign w:val="center"/>
                </w:tcPr>
                <w:p w14:paraId="6FD8B492">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6.01E-02</w:t>
                  </w:r>
                </w:p>
              </w:tc>
              <w:tc>
                <w:tcPr>
                  <w:tcW w:w="915" w:type="dxa"/>
                  <w:tcBorders>
                    <w:tl2br w:val="nil"/>
                    <w:tr2bl w:val="nil"/>
                  </w:tcBorders>
                  <w:noWrap w:val="0"/>
                  <w:vAlign w:val="center"/>
                </w:tcPr>
                <w:p w14:paraId="1D5F190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30</w:t>
                  </w:r>
                </w:p>
              </w:tc>
              <w:tc>
                <w:tcPr>
                  <w:tcW w:w="1035" w:type="dxa"/>
                  <w:tcBorders>
                    <w:tl2br w:val="nil"/>
                    <w:tr2bl w:val="nil"/>
                  </w:tcBorders>
                  <w:noWrap w:val="0"/>
                  <w:vAlign w:val="center"/>
                </w:tcPr>
                <w:p w14:paraId="7B6B7FDC">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0.25</w:t>
                  </w:r>
                </w:p>
              </w:tc>
              <w:tc>
                <w:tcPr>
                  <w:tcW w:w="1120" w:type="dxa"/>
                  <w:tcBorders>
                    <w:tl2br w:val="nil"/>
                    <w:tr2bl w:val="nil"/>
                  </w:tcBorders>
                  <w:shd w:val="clear" w:color="auto" w:fill="auto"/>
                  <w:noWrap w:val="0"/>
                  <w:vAlign w:val="center"/>
                </w:tcPr>
                <w:p w14:paraId="2B0E110F">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4.51E-04</w:t>
                  </w:r>
                </w:p>
              </w:tc>
            </w:tr>
            <w:tr w14:paraId="6096EA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0" w:type="auto"/>
                  <w:shd w:val="clear" w:color="auto" w:fill="auto"/>
                  <w:vAlign w:val="center"/>
                </w:tcPr>
                <w:p w14:paraId="0C0FEF7A">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B</w:t>
                  </w:r>
                </w:p>
              </w:tc>
              <w:tc>
                <w:tcPr>
                  <w:tcW w:w="0" w:type="auto"/>
                  <w:shd w:val="clear" w:color="auto" w:fill="auto"/>
                  <w:vAlign w:val="center"/>
                </w:tcPr>
                <w:p w14:paraId="08D8E596">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东侧控制室铅玻璃外 30cm 处</w:t>
                  </w:r>
                </w:p>
              </w:tc>
              <w:tc>
                <w:tcPr>
                  <w:tcW w:w="0" w:type="auto"/>
                  <w:vAlign w:val="center"/>
                </w:tcPr>
                <w:p w14:paraId="470FA715">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职业</w:t>
                  </w:r>
                </w:p>
              </w:tc>
              <w:tc>
                <w:tcPr>
                  <w:tcW w:w="0" w:type="auto"/>
                  <w:shd w:val="clear" w:color="auto" w:fill="auto"/>
                  <w:vAlign w:val="center"/>
                </w:tcPr>
                <w:p w14:paraId="2D2E0562">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1.28E-01</w:t>
                  </w:r>
                </w:p>
              </w:tc>
              <w:tc>
                <w:tcPr>
                  <w:tcW w:w="0" w:type="auto"/>
                  <w:vAlign w:val="center"/>
                </w:tcPr>
                <w:p w14:paraId="6FEF66A2">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30</w:t>
                  </w:r>
                </w:p>
              </w:tc>
              <w:tc>
                <w:tcPr>
                  <w:tcW w:w="0" w:type="auto"/>
                  <w:vAlign w:val="center"/>
                </w:tcPr>
                <w:p w14:paraId="7A20EC84">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1</w:t>
                  </w:r>
                </w:p>
              </w:tc>
              <w:tc>
                <w:tcPr>
                  <w:tcW w:w="0" w:type="auto"/>
                  <w:shd w:val="clear" w:color="auto" w:fill="auto"/>
                  <w:vAlign w:val="center"/>
                </w:tcPr>
                <w:p w14:paraId="6B5BBC7C">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3.84E-03</w:t>
                  </w:r>
                </w:p>
              </w:tc>
            </w:tr>
            <w:tr w14:paraId="491626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0" w:type="auto"/>
                  <w:shd w:val="clear" w:color="auto" w:fill="auto"/>
                  <w:vAlign w:val="center"/>
                </w:tcPr>
                <w:p w14:paraId="7E4605DA">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C</w:t>
                  </w:r>
                </w:p>
              </w:tc>
              <w:tc>
                <w:tcPr>
                  <w:tcW w:w="0" w:type="auto"/>
                  <w:shd w:val="clear" w:color="auto" w:fill="auto"/>
                  <w:vAlign w:val="center"/>
                </w:tcPr>
                <w:p w14:paraId="25D3454A">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4#南侧防护墙外30cm 处</w:t>
                  </w:r>
                </w:p>
              </w:tc>
              <w:tc>
                <w:tcPr>
                  <w:tcW w:w="0" w:type="auto"/>
                  <w:vAlign w:val="center"/>
                </w:tcPr>
                <w:p w14:paraId="498A533D">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0" w:type="auto"/>
                  <w:shd w:val="clear" w:color="auto" w:fill="auto"/>
                  <w:vAlign w:val="center"/>
                </w:tcPr>
                <w:p w14:paraId="5B1F128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6.01E-02</w:t>
                  </w:r>
                </w:p>
              </w:tc>
              <w:tc>
                <w:tcPr>
                  <w:tcW w:w="0" w:type="auto"/>
                  <w:vAlign w:val="center"/>
                </w:tcPr>
                <w:p w14:paraId="189B03BA">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30</w:t>
                  </w:r>
                </w:p>
              </w:tc>
              <w:tc>
                <w:tcPr>
                  <w:tcW w:w="0" w:type="auto"/>
                  <w:vAlign w:val="center"/>
                </w:tcPr>
                <w:p w14:paraId="5FF9D71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0.25</w:t>
                  </w:r>
                </w:p>
              </w:tc>
              <w:tc>
                <w:tcPr>
                  <w:tcW w:w="0" w:type="auto"/>
                  <w:shd w:val="clear" w:color="auto" w:fill="auto"/>
                  <w:vAlign w:val="center"/>
                </w:tcPr>
                <w:p w14:paraId="69CA3758">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4.51E-04</w:t>
                  </w:r>
                </w:p>
              </w:tc>
            </w:tr>
            <w:tr w14:paraId="3A14B7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0" w:type="auto"/>
                  <w:shd w:val="clear" w:color="auto" w:fill="auto"/>
                  <w:vAlign w:val="center"/>
                </w:tcPr>
                <w:p w14:paraId="3C116DB5">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D</w:t>
                  </w:r>
                </w:p>
              </w:tc>
              <w:tc>
                <w:tcPr>
                  <w:tcW w:w="0" w:type="auto"/>
                  <w:shd w:val="clear" w:color="auto" w:fill="auto"/>
                  <w:vAlign w:val="center"/>
                </w:tcPr>
                <w:p w14:paraId="3835F9F4">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5#西侧防护墙外30cm 处</w:t>
                  </w:r>
                </w:p>
              </w:tc>
              <w:tc>
                <w:tcPr>
                  <w:tcW w:w="0" w:type="auto"/>
                  <w:vAlign w:val="center"/>
                </w:tcPr>
                <w:p w14:paraId="1F0F8409">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0" w:type="auto"/>
                  <w:shd w:val="clear" w:color="auto" w:fill="auto"/>
                  <w:vAlign w:val="center"/>
                </w:tcPr>
                <w:p w14:paraId="322BFAA4">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1.28E-01</w:t>
                  </w:r>
                </w:p>
              </w:tc>
              <w:tc>
                <w:tcPr>
                  <w:tcW w:w="0" w:type="auto"/>
                  <w:vAlign w:val="center"/>
                </w:tcPr>
                <w:p w14:paraId="3C9FE5E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30</w:t>
                  </w:r>
                </w:p>
              </w:tc>
              <w:tc>
                <w:tcPr>
                  <w:tcW w:w="0" w:type="auto"/>
                  <w:vAlign w:val="center"/>
                </w:tcPr>
                <w:p w14:paraId="77C090EC">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0.25</w:t>
                  </w:r>
                </w:p>
              </w:tc>
              <w:tc>
                <w:tcPr>
                  <w:tcW w:w="0" w:type="auto"/>
                  <w:shd w:val="clear" w:color="auto" w:fill="auto"/>
                  <w:vAlign w:val="center"/>
                </w:tcPr>
                <w:p w14:paraId="289D1860">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9.60E-04</w:t>
                  </w:r>
                </w:p>
              </w:tc>
            </w:tr>
            <w:tr w14:paraId="02FEC7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0" w:type="auto"/>
                  <w:shd w:val="clear" w:color="auto" w:fill="auto"/>
                  <w:vAlign w:val="center"/>
                </w:tcPr>
                <w:p w14:paraId="6DB23E85">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E</w:t>
                  </w:r>
                </w:p>
              </w:tc>
              <w:tc>
                <w:tcPr>
                  <w:tcW w:w="0" w:type="auto"/>
                  <w:shd w:val="clear" w:color="auto" w:fill="auto"/>
                  <w:vAlign w:val="center"/>
                </w:tcPr>
                <w:p w14:paraId="32077BB7">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6#西侧防护门外30cm 处</w:t>
                  </w:r>
                </w:p>
              </w:tc>
              <w:tc>
                <w:tcPr>
                  <w:tcW w:w="0" w:type="auto"/>
                  <w:vAlign w:val="center"/>
                </w:tcPr>
                <w:p w14:paraId="6274D316">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0" w:type="auto"/>
                  <w:shd w:val="clear" w:color="auto" w:fill="auto"/>
                  <w:vAlign w:val="center"/>
                </w:tcPr>
                <w:p w14:paraId="51EEC5C3">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1.28E-01</w:t>
                  </w:r>
                </w:p>
              </w:tc>
              <w:tc>
                <w:tcPr>
                  <w:tcW w:w="0" w:type="auto"/>
                  <w:vAlign w:val="center"/>
                </w:tcPr>
                <w:p w14:paraId="584367F4">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30</w:t>
                  </w:r>
                </w:p>
              </w:tc>
              <w:tc>
                <w:tcPr>
                  <w:tcW w:w="0" w:type="auto"/>
                  <w:vAlign w:val="center"/>
                </w:tcPr>
                <w:p w14:paraId="2F4014E8">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0.25</w:t>
                  </w:r>
                </w:p>
              </w:tc>
              <w:tc>
                <w:tcPr>
                  <w:tcW w:w="0" w:type="auto"/>
                  <w:shd w:val="clear" w:color="auto" w:fill="auto"/>
                  <w:vAlign w:val="center"/>
                </w:tcPr>
                <w:p w14:paraId="12171C34">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9.60E-04</w:t>
                  </w:r>
                </w:p>
              </w:tc>
            </w:tr>
            <w:tr w14:paraId="6C1B316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0" w:type="auto"/>
                  <w:shd w:val="clear" w:color="auto" w:fill="auto"/>
                  <w:vAlign w:val="center"/>
                </w:tcPr>
                <w:p w14:paraId="1A4CC4A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F</w:t>
                  </w:r>
                </w:p>
              </w:tc>
              <w:tc>
                <w:tcPr>
                  <w:tcW w:w="0" w:type="auto"/>
                  <w:shd w:val="clear" w:color="auto" w:fill="auto"/>
                  <w:vAlign w:val="center"/>
                </w:tcPr>
                <w:p w14:paraId="1BC7DD8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术者位1</w:t>
                  </w:r>
                </w:p>
              </w:tc>
              <w:tc>
                <w:tcPr>
                  <w:tcW w:w="0" w:type="auto"/>
                  <w:vAlign w:val="center"/>
                </w:tcPr>
                <w:p w14:paraId="07657823">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职业</w:t>
                  </w:r>
                </w:p>
              </w:tc>
              <w:tc>
                <w:tcPr>
                  <w:tcW w:w="0" w:type="auto"/>
                  <w:shd w:val="clear" w:color="auto" w:fill="auto"/>
                  <w:vAlign w:val="center"/>
                </w:tcPr>
                <w:p w14:paraId="5D8DFBC2">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1.09E+01</w:t>
                  </w:r>
                </w:p>
              </w:tc>
              <w:tc>
                <w:tcPr>
                  <w:tcW w:w="0" w:type="auto"/>
                  <w:vAlign w:val="center"/>
                </w:tcPr>
                <w:p w14:paraId="31792E7E">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30</w:t>
                  </w:r>
                </w:p>
              </w:tc>
              <w:tc>
                <w:tcPr>
                  <w:tcW w:w="0" w:type="auto"/>
                  <w:vAlign w:val="center"/>
                </w:tcPr>
                <w:p w14:paraId="41F319A4">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1</w:t>
                  </w:r>
                </w:p>
              </w:tc>
              <w:tc>
                <w:tcPr>
                  <w:tcW w:w="0" w:type="auto"/>
                  <w:shd w:val="clear" w:color="auto" w:fill="auto"/>
                  <w:vAlign w:val="center"/>
                </w:tcPr>
                <w:p w14:paraId="518A90DA">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b/>
                      <w:bCs/>
                      <w:color w:val="auto"/>
                      <w:sz w:val="20"/>
                      <w:szCs w:val="20"/>
                      <w:highlight w:val="none"/>
                      <w:lang w:val="en-US" w:eastAsia="zh-CN" w:bidi="ar"/>
                    </w:rPr>
                    <w:t>3.27E-01</w:t>
                  </w:r>
                </w:p>
              </w:tc>
            </w:tr>
            <w:tr w14:paraId="57B0A2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0" w:type="auto"/>
                  <w:shd w:val="clear" w:color="auto" w:fill="auto"/>
                  <w:vAlign w:val="center"/>
                </w:tcPr>
                <w:p w14:paraId="1DAD7F8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G</w:t>
                  </w:r>
                </w:p>
              </w:tc>
              <w:tc>
                <w:tcPr>
                  <w:tcW w:w="0" w:type="auto"/>
                  <w:shd w:val="clear" w:color="auto" w:fill="auto"/>
                  <w:vAlign w:val="center"/>
                </w:tcPr>
                <w:p w14:paraId="30C6A4CD">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术者位2</w:t>
                  </w:r>
                </w:p>
              </w:tc>
              <w:tc>
                <w:tcPr>
                  <w:tcW w:w="0" w:type="auto"/>
                  <w:vAlign w:val="center"/>
                </w:tcPr>
                <w:p w14:paraId="69200A93">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职业</w:t>
                  </w:r>
                </w:p>
              </w:tc>
              <w:tc>
                <w:tcPr>
                  <w:tcW w:w="0" w:type="auto"/>
                  <w:shd w:val="clear" w:color="auto" w:fill="auto"/>
                  <w:vAlign w:val="center"/>
                </w:tcPr>
                <w:p w14:paraId="03D010E9">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1.53E+00</w:t>
                  </w:r>
                </w:p>
              </w:tc>
              <w:tc>
                <w:tcPr>
                  <w:tcW w:w="0" w:type="auto"/>
                  <w:vAlign w:val="center"/>
                </w:tcPr>
                <w:p w14:paraId="010F4A3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30</w:t>
                  </w:r>
                </w:p>
              </w:tc>
              <w:tc>
                <w:tcPr>
                  <w:tcW w:w="0" w:type="auto"/>
                  <w:vAlign w:val="center"/>
                </w:tcPr>
                <w:p w14:paraId="1A57CF56">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1</w:t>
                  </w:r>
                </w:p>
              </w:tc>
              <w:tc>
                <w:tcPr>
                  <w:tcW w:w="0" w:type="auto"/>
                  <w:shd w:val="clear" w:color="auto" w:fill="auto"/>
                  <w:vAlign w:val="center"/>
                </w:tcPr>
                <w:p w14:paraId="4A99FC60">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4.59E-02</w:t>
                  </w:r>
                </w:p>
              </w:tc>
            </w:tr>
            <w:tr w14:paraId="15324B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0" w:type="auto"/>
                  <w:shd w:val="clear" w:color="auto" w:fill="auto"/>
                  <w:vAlign w:val="center"/>
                </w:tcPr>
                <w:p w14:paraId="71BA6AFD">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H</w:t>
                  </w:r>
                </w:p>
              </w:tc>
              <w:tc>
                <w:tcPr>
                  <w:tcW w:w="0" w:type="auto"/>
                  <w:shd w:val="clear" w:color="auto" w:fill="auto"/>
                  <w:vAlign w:val="center"/>
                </w:tcPr>
                <w:p w14:paraId="47B68E99">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顶棚上方距顶棚地面 100cm 处</w:t>
                  </w:r>
                </w:p>
              </w:tc>
              <w:tc>
                <w:tcPr>
                  <w:tcW w:w="1054" w:type="dxa"/>
                  <w:vAlign w:val="center"/>
                </w:tcPr>
                <w:p w14:paraId="7A6EC5BA">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0" w:type="auto"/>
                  <w:shd w:val="clear" w:color="auto" w:fill="auto"/>
                  <w:vAlign w:val="center"/>
                </w:tcPr>
                <w:p w14:paraId="43E304C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5.36E-02</w:t>
                  </w:r>
                </w:p>
              </w:tc>
              <w:tc>
                <w:tcPr>
                  <w:tcW w:w="0" w:type="auto"/>
                  <w:vAlign w:val="center"/>
                </w:tcPr>
                <w:p w14:paraId="24D9C293">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30</w:t>
                  </w:r>
                </w:p>
              </w:tc>
              <w:tc>
                <w:tcPr>
                  <w:tcW w:w="0" w:type="auto"/>
                  <w:vAlign w:val="center"/>
                </w:tcPr>
                <w:p w14:paraId="12369F8E">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0.25</w:t>
                  </w:r>
                </w:p>
              </w:tc>
              <w:tc>
                <w:tcPr>
                  <w:tcW w:w="0" w:type="auto"/>
                  <w:shd w:val="clear" w:color="auto" w:fill="auto"/>
                  <w:vAlign w:val="center"/>
                </w:tcPr>
                <w:p w14:paraId="42805BBE">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4.02E-04</w:t>
                  </w:r>
                </w:p>
              </w:tc>
            </w:tr>
            <w:tr w14:paraId="46B385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0" w:type="auto"/>
                  <w:shd w:val="clear" w:color="auto" w:fill="auto"/>
                  <w:vAlign w:val="center"/>
                </w:tcPr>
                <w:p w14:paraId="6643D6AD">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I</w:t>
                  </w:r>
                </w:p>
              </w:tc>
              <w:tc>
                <w:tcPr>
                  <w:tcW w:w="0" w:type="auto"/>
                  <w:shd w:val="clear" w:color="auto" w:fill="auto"/>
                  <w:vAlign w:val="center"/>
                </w:tcPr>
                <w:p w14:paraId="35AA5280">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地面下方距楼下地面 170cm 处</w:t>
                  </w:r>
                </w:p>
              </w:tc>
              <w:tc>
                <w:tcPr>
                  <w:tcW w:w="1054" w:type="dxa"/>
                  <w:vAlign w:val="center"/>
                </w:tcPr>
                <w:p w14:paraId="09CFC7ED">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0" w:type="auto"/>
                  <w:shd w:val="clear" w:color="auto" w:fill="auto"/>
                  <w:vAlign w:val="center"/>
                </w:tcPr>
                <w:p w14:paraId="05BD76C8">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1.31E-01</w:t>
                  </w:r>
                </w:p>
              </w:tc>
              <w:tc>
                <w:tcPr>
                  <w:tcW w:w="0" w:type="auto"/>
                  <w:vAlign w:val="center"/>
                </w:tcPr>
                <w:p w14:paraId="39BB023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30</w:t>
                  </w:r>
                </w:p>
              </w:tc>
              <w:tc>
                <w:tcPr>
                  <w:tcW w:w="0" w:type="auto"/>
                  <w:vAlign w:val="center"/>
                </w:tcPr>
                <w:p w14:paraId="12903653">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0.25</w:t>
                  </w:r>
                </w:p>
              </w:tc>
              <w:tc>
                <w:tcPr>
                  <w:tcW w:w="0" w:type="auto"/>
                  <w:shd w:val="clear" w:color="auto" w:fill="auto"/>
                  <w:vAlign w:val="center"/>
                </w:tcPr>
                <w:p w14:paraId="799A7A73">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9.83E-04</w:t>
                  </w:r>
                </w:p>
              </w:tc>
            </w:tr>
            <w:tr w14:paraId="527F4E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586" w:type="dxa"/>
                  <w:vMerge w:val="restart"/>
                  <w:shd w:val="clear" w:color="auto" w:fill="auto"/>
                  <w:vAlign w:val="center"/>
                </w:tcPr>
                <w:p w14:paraId="5966A8F2">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J</w:t>
                  </w:r>
                </w:p>
              </w:tc>
              <w:tc>
                <w:tcPr>
                  <w:tcW w:w="3039" w:type="dxa"/>
                  <w:vMerge w:val="restart"/>
                  <w:shd w:val="clear" w:color="auto" w:fill="auto"/>
                  <w:vAlign w:val="center"/>
                </w:tcPr>
                <w:p w14:paraId="27E79739">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Y-90运输铅罐表面30cm</w:t>
                  </w:r>
                </w:p>
              </w:tc>
              <w:tc>
                <w:tcPr>
                  <w:tcW w:w="0" w:type="auto"/>
                  <w:shd w:val="clear" w:color="auto" w:fill="auto"/>
                  <w:vAlign w:val="center"/>
                </w:tcPr>
                <w:p w14:paraId="5740AD8E">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default" w:ascii="Times New Roman" w:hAnsi="Times New Roman" w:cs="Times New Roman"/>
                      <w:color w:val="auto"/>
                      <w:sz w:val="20"/>
                      <w:szCs w:val="20"/>
                      <w:highlight w:val="none"/>
                      <w:lang w:val="en-US" w:eastAsia="zh-CN" w:bidi="ar"/>
                    </w:rPr>
                    <w:t>职业</w:t>
                  </w:r>
                </w:p>
              </w:tc>
              <w:tc>
                <w:tcPr>
                  <w:tcW w:w="1407" w:type="dxa"/>
                  <w:vMerge w:val="restart"/>
                  <w:shd w:val="clear" w:color="auto" w:fill="auto"/>
                  <w:vAlign w:val="center"/>
                </w:tcPr>
                <w:p w14:paraId="5016F950">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1.58E+00</w:t>
                  </w:r>
                </w:p>
              </w:tc>
              <w:tc>
                <w:tcPr>
                  <w:tcW w:w="0" w:type="auto"/>
                  <w:vAlign w:val="center"/>
                </w:tcPr>
                <w:p w14:paraId="550EF891">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30</w:t>
                  </w:r>
                </w:p>
              </w:tc>
              <w:tc>
                <w:tcPr>
                  <w:tcW w:w="0" w:type="auto"/>
                  <w:vAlign w:val="center"/>
                </w:tcPr>
                <w:p w14:paraId="761F013D">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1</w:t>
                  </w:r>
                </w:p>
              </w:tc>
              <w:tc>
                <w:tcPr>
                  <w:tcW w:w="0" w:type="auto"/>
                  <w:shd w:val="clear" w:color="auto" w:fill="auto"/>
                  <w:vAlign w:val="center"/>
                </w:tcPr>
                <w:p w14:paraId="5F6BFA12">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4.74E-02</w:t>
                  </w:r>
                </w:p>
              </w:tc>
            </w:tr>
            <w:tr w14:paraId="644FFCB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586" w:type="dxa"/>
                  <w:vMerge w:val="continue"/>
                  <w:vAlign w:val="center"/>
                </w:tcPr>
                <w:p w14:paraId="74B5536C">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p>
              </w:tc>
              <w:tc>
                <w:tcPr>
                  <w:tcW w:w="3039" w:type="dxa"/>
                  <w:vMerge w:val="continue"/>
                  <w:vAlign w:val="center"/>
                </w:tcPr>
                <w:p w14:paraId="19A824C3">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p>
              </w:tc>
              <w:tc>
                <w:tcPr>
                  <w:tcW w:w="0" w:type="auto"/>
                  <w:shd w:val="clear" w:color="auto" w:fill="auto"/>
                  <w:vAlign w:val="center"/>
                </w:tcPr>
                <w:p w14:paraId="5721D2AD">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default" w:ascii="Times New Roman" w:hAnsi="Times New Roman" w:cs="Times New Roman"/>
                      <w:color w:val="auto"/>
                      <w:sz w:val="20"/>
                      <w:szCs w:val="20"/>
                      <w:highlight w:val="none"/>
                      <w:lang w:val="en-US" w:eastAsia="zh-CN" w:bidi="ar"/>
                    </w:rPr>
                    <w:t>公众</w:t>
                  </w:r>
                </w:p>
              </w:tc>
              <w:tc>
                <w:tcPr>
                  <w:tcW w:w="1407" w:type="dxa"/>
                  <w:vMerge w:val="continue"/>
                  <w:vAlign w:val="center"/>
                </w:tcPr>
                <w:p w14:paraId="34F32406">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p>
              </w:tc>
              <w:tc>
                <w:tcPr>
                  <w:tcW w:w="0" w:type="auto"/>
                  <w:vAlign w:val="center"/>
                </w:tcPr>
                <w:p w14:paraId="7683874C">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eastAsia" w:ascii="Times New Roman" w:hAnsi="Times New Roman" w:cs="Times New Roman"/>
                      <w:color w:val="auto"/>
                      <w:sz w:val="20"/>
                      <w:szCs w:val="20"/>
                      <w:highlight w:val="none"/>
                      <w:lang w:val="en-US" w:eastAsia="zh-CN" w:bidi="ar"/>
                    </w:rPr>
                    <w:t>30</w:t>
                  </w:r>
                </w:p>
              </w:tc>
              <w:tc>
                <w:tcPr>
                  <w:tcW w:w="0" w:type="auto"/>
                  <w:vAlign w:val="center"/>
                </w:tcPr>
                <w:p w14:paraId="40BE5AF4">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0.25</w:t>
                  </w:r>
                </w:p>
              </w:tc>
              <w:tc>
                <w:tcPr>
                  <w:tcW w:w="0" w:type="auto"/>
                  <w:shd w:val="clear" w:color="auto" w:fill="auto"/>
                  <w:vAlign w:val="center"/>
                </w:tcPr>
                <w:p w14:paraId="3866482A">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b/>
                      <w:bCs/>
                      <w:color w:val="auto"/>
                      <w:sz w:val="20"/>
                      <w:szCs w:val="20"/>
                      <w:highlight w:val="none"/>
                      <w:lang w:val="en-US" w:eastAsia="zh-CN" w:bidi="ar"/>
                    </w:rPr>
                    <w:t>1.19E-02</w:t>
                  </w:r>
                </w:p>
              </w:tc>
            </w:tr>
          </w:tbl>
          <w:p w14:paraId="7D35BEF0">
            <w:pPr>
              <w:keepNext w:val="0"/>
              <w:keepLines w:val="0"/>
              <w:suppressLineNumbers w:val="0"/>
              <w:spacing w:before="0" w:beforeAutospacing="0" w:after="0" w:afterAutospacing="0"/>
              <w:ind w:left="0" w:right="0"/>
              <w:jc w:val="both"/>
              <w:rPr>
                <w:rFonts w:hint="default" w:ascii="Times New Roman" w:hAnsi="Times New Roman" w:eastAsia="宋体" w:cs="Times New Roman"/>
                <w:b/>
                <w:color w:val="auto"/>
                <w:sz w:val="24"/>
                <w:szCs w:val="22"/>
                <w:highlight w:val="none"/>
                <w:lang w:val="en-US" w:eastAsia="zh-CN"/>
              </w:rPr>
            </w:pPr>
          </w:p>
          <w:p w14:paraId="5C728133">
            <w:pPr>
              <w:keepNext w:val="0"/>
              <w:keepLines w:val="0"/>
              <w:suppressLineNumbers w:val="0"/>
              <w:spacing w:before="0" w:beforeLines="0" w:beforeAutospacing="0" w:after="0" w:afterLines="0" w:afterAutospacing="0" w:line="360" w:lineRule="auto"/>
              <w:ind w:left="0" w:right="0" w:firstLine="482" w:firstLineChars="200"/>
              <w:jc w:val="center"/>
              <w:rPr>
                <w:rFonts w:hint="eastAsia" w:eastAsia="宋体" w:cs="Times New Roman"/>
                <w:b/>
                <w:color w:val="auto"/>
                <w:sz w:val="24"/>
                <w:szCs w:val="24"/>
                <w:highlight w:val="none"/>
              </w:rPr>
            </w:pPr>
          </w:p>
          <w:p w14:paraId="2B34297D">
            <w:pPr>
              <w:keepNext w:val="0"/>
              <w:keepLines w:val="0"/>
              <w:suppressLineNumbers w:val="0"/>
              <w:spacing w:before="0" w:beforeLines="0" w:beforeAutospacing="0" w:after="0" w:afterLines="0" w:afterAutospacing="0" w:line="360" w:lineRule="auto"/>
              <w:ind w:left="0" w:right="0" w:firstLine="482" w:firstLineChars="200"/>
              <w:jc w:val="center"/>
              <w:rPr>
                <w:rFonts w:hint="eastAsia" w:eastAsia="宋体" w:cs="Times New Roman"/>
                <w:b/>
                <w:color w:val="auto"/>
                <w:sz w:val="24"/>
                <w:szCs w:val="24"/>
                <w:highlight w:val="none"/>
                <w:lang w:val="en-US" w:eastAsia="zh-CN"/>
              </w:rPr>
            </w:pPr>
            <w:r>
              <w:rPr>
                <w:rFonts w:hint="eastAsia" w:eastAsia="宋体" w:cs="Times New Roman"/>
                <w:b/>
                <w:color w:val="auto"/>
                <w:sz w:val="24"/>
                <w:szCs w:val="24"/>
                <w:highlight w:val="none"/>
              </w:rPr>
              <w:t>表11-</w:t>
            </w:r>
            <w:r>
              <w:rPr>
                <w:rFonts w:hint="eastAsia" w:cs="Times New Roman"/>
                <w:b/>
                <w:color w:val="auto"/>
                <w:sz w:val="24"/>
                <w:szCs w:val="24"/>
                <w:highlight w:val="none"/>
                <w:lang w:val="en-US" w:eastAsia="zh-CN"/>
              </w:rPr>
              <w:t>23</w:t>
            </w:r>
            <w:r>
              <w:rPr>
                <w:rFonts w:hint="eastAsia" w:eastAsia="宋体" w:cs="Times New Roman"/>
                <w:b/>
                <w:color w:val="auto"/>
                <w:sz w:val="24"/>
                <w:szCs w:val="24"/>
                <w:highlight w:val="none"/>
              </w:rPr>
              <w:t xml:space="preserve"> </w:t>
            </w:r>
            <w:r>
              <w:rPr>
                <w:rFonts w:hint="eastAsia" w:eastAsia="宋体" w:cs="Times New Roman"/>
                <w:b/>
                <w:color w:val="auto"/>
                <w:sz w:val="24"/>
                <w:szCs w:val="24"/>
                <w:highlight w:val="none"/>
                <w:lang w:val="en-US" w:eastAsia="zh-CN"/>
              </w:rPr>
              <w:t>使用Tc-99m模拟治疗</w:t>
            </w:r>
            <w:r>
              <w:rPr>
                <w:rFonts w:hint="eastAsia" w:cs="Times New Roman"/>
                <w:b/>
                <w:color w:val="auto"/>
                <w:sz w:val="24"/>
                <w:szCs w:val="24"/>
                <w:highlight w:val="none"/>
                <w:lang w:val="en-US" w:eastAsia="zh-CN"/>
              </w:rPr>
              <w:t>时</w:t>
            </w:r>
            <w:r>
              <w:rPr>
                <w:rFonts w:hint="eastAsia" w:cs="Times New Roman"/>
                <w:b/>
                <w:color w:val="auto"/>
                <w:sz w:val="24"/>
                <w:szCs w:val="24"/>
                <w:highlight w:val="none"/>
              </w:rPr>
              <w:t>Y-90</w:t>
            </w:r>
            <w:r>
              <w:rPr>
                <w:rFonts w:hint="eastAsia" w:cs="Times New Roman"/>
                <w:b/>
                <w:color w:val="auto"/>
                <w:sz w:val="24"/>
                <w:szCs w:val="24"/>
                <w:highlight w:val="none"/>
                <w:lang w:val="en-US" w:eastAsia="zh-CN"/>
              </w:rPr>
              <w:t>工作场所</w:t>
            </w:r>
            <w:r>
              <w:rPr>
                <w:rFonts w:hint="eastAsia" w:eastAsia="宋体" w:cs="Times New Roman"/>
                <w:b/>
                <w:color w:val="auto"/>
                <w:sz w:val="24"/>
                <w:szCs w:val="24"/>
                <w:highlight w:val="none"/>
                <w:lang w:val="en-US" w:eastAsia="zh-CN"/>
              </w:rPr>
              <w:t>人员受照射剂量预测结果</w:t>
            </w:r>
          </w:p>
          <w:tbl>
            <w:tblPr>
              <w:tblStyle w:val="22"/>
              <w:tblW w:w="911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583"/>
              <w:gridCol w:w="3027"/>
              <w:gridCol w:w="1049"/>
              <w:gridCol w:w="1401"/>
              <w:gridCol w:w="911"/>
              <w:gridCol w:w="1030"/>
              <w:gridCol w:w="1115"/>
            </w:tblGrid>
            <w:tr w14:paraId="09C9F5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37" w:hRule="atLeast"/>
                <w:jc w:val="center"/>
              </w:trPr>
              <w:tc>
                <w:tcPr>
                  <w:tcW w:w="583" w:type="dxa"/>
                  <w:tcBorders>
                    <w:tl2br w:val="nil"/>
                    <w:tr2bl w:val="nil"/>
                  </w:tcBorders>
                  <w:noWrap w:val="0"/>
                  <w:vAlign w:val="center"/>
                </w:tcPr>
                <w:p w14:paraId="3F61E20F">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目标点位</w:t>
                  </w:r>
                </w:p>
              </w:tc>
              <w:tc>
                <w:tcPr>
                  <w:tcW w:w="3027" w:type="dxa"/>
                  <w:tcBorders>
                    <w:tl2br w:val="nil"/>
                    <w:tr2bl w:val="nil"/>
                  </w:tcBorders>
                  <w:noWrap w:val="0"/>
                  <w:vAlign w:val="center"/>
                </w:tcPr>
                <w:p w14:paraId="11A9CB1A">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与机房关系</w:t>
                  </w:r>
                </w:p>
              </w:tc>
              <w:tc>
                <w:tcPr>
                  <w:tcW w:w="1049" w:type="dxa"/>
                  <w:tcBorders>
                    <w:tl2br w:val="nil"/>
                    <w:tr2bl w:val="nil"/>
                  </w:tcBorders>
                  <w:noWrap w:val="0"/>
                  <w:vAlign w:val="center"/>
                </w:tcPr>
                <w:p w14:paraId="02A91DE0">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照射类型</w:t>
                  </w:r>
                </w:p>
              </w:tc>
              <w:tc>
                <w:tcPr>
                  <w:tcW w:w="1401" w:type="dxa"/>
                  <w:tcBorders>
                    <w:tl2br w:val="nil"/>
                    <w:tr2bl w:val="nil"/>
                  </w:tcBorders>
                  <w:noWrap w:val="0"/>
                  <w:vAlign w:val="center"/>
                </w:tcPr>
                <w:p w14:paraId="49D7D37E">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剂量</w:t>
                  </w:r>
                  <w:r>
                    <w:rPr>
                      <w:rFonts w:hint="eastAsia" w:ascii="Times New Roman" w:hAnsi="Times New Roman" w:eastAsia="宋体" w:cs="Times New Roman"/>
                      <w:color w:val="auto"/>
                      <w:kern w:val="0"/>
                      <w:sz w:val="18"/>
                      <w:szCs w:val="18"/>
                      <w:highlight w:val="none"/>
                      <w:lang w:val="en-US" w:eastAsia="zh-CN"/>
                    </w:rPr>
                    <w:t>率</w:t>
                  </w:r>
                  <w:r>
                    <w:rPr>
                      <w:rFonts w:hint="default" w:ascii="Times New Roman" w:hAnsi="Times New Roman" w:eastAsia="宋体" w:cs="Times New Roman"/>
                      <w:color w:val="auto"/>
                      <w:kern w:val="0"/>
                      <w:sz w:val="18"/>
                      <w:szCs w:val="18"/>
                      <w:highlight w:val="none"/>
                    </w:rPr>
                    <w:t>(μSv/h)</w:t>
                  </w:r>
                </w:p>
              </w:tc>
              <w:tc>
                <w:tcPr>
                  <w:tcW w:w="911" w:type="dxa"/>
                  <w:tcBorders>
                    <w:tl2br w:val="nil"/>
                    <w:tr2bl w:val="nil"/>
                  </w:tcBorders>
                  <w:noWrap w:val="0"/>
                  <w:vAlign w:val="center"/>
                </w:tcPr>
                <w:p w14:paraId="2067452C">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年受照时间，h</w:t>
                  </w:r>
                </w:p>
              </w:tc>
              <w:tc>
                <w:tcPr>
                  <w:tcW w:w="1030" w:type="dxa"/>
                  <w:tcBorders>
                    <w:tl2br w:val="nil"/>
                    <w:tr2bl w:val="nil"/>
                  </w:tcBorders>
                  <w:noWrap w:val="0"/>
                  <w:vAlign w:val="center"/>
                </w:tcPr>
                <w:p w14:paraId="0280725F">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居留因子</w:t>
                  </w:r>
                </w:p>
              </w:tc>
              <w:tc>
                <w:tcPr>
                  <w:tcW w:w="1115" w:type="dxa"/>
                  <w:tcBorders>
                    <w:tl2br w:val="nil"/>
                    <w:tr2bl w:val="nil"/>
                  </w:tcBorders>
                  <w:noWrap w:val="0"/>
                  <w:vAlign w:val="center"/>
                </w:tcPr>
                <w:p w14:paraId="044EBA3E">
                  <w:pPr>
                    <w:keepNext w:val="0"/>
                    <w:keepLines w:val="0"/>
                    <w:suppressLineNumbers w:val="0"/>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18"/>
                      <w:szCs w:val="18"/>
                      <w:highlight w:val="none"/>
                      <w:lang w:eastAsia="zh-CN"/>
                    </w:rPr>
                  </w:pPr>
                  <w:r>
                    <w:rPr>
                      <w:rFonts w:hint="eastAsia" w:cs="Times New Roman"/>
                      <w:color w:val="auto"/>
                      <w:kern w:val="0"/>
                      <w:sz w:val="18"/>
                      <w:szCs w:val="18"/>
                      <w:highlight w:val="none"/>
                      <w:lang w:eastAsia="zh-CN"/>
                    </w:rPr>
                    <w:t>年有效剂量mSv/a</w:t>
                  </w:r>
                </w:p>
              </w:tc>
            </w:tr>
            <w:tr w14:paraId="15F170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583" w:type="dxa"/>
                  <w:tcBorders>
                    <w:tl2br w:val="nil"/>
                    <w:tr2bl w:val="nil"/>
                  </w:tcBorders>
                  <w:shd w:val="clear" w:color="auto" w:fill="auto"/>
                  <w:noWrap w:val="0"/>
                  <w:vAlign w:val="center"/>
                </w:tcPr>
                <w:p w14:paraId="719352B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A</w:t>
                  </w:r>
                </w:p>
              </w:tc>
              <w:tc>
                <w:tcPr>
                  <w:tcW w:w="3027" w:type="dxa"/>
                  <w:tcBorders>
                    <w:tl2br w:val="nil"/>
                    <w:tr2bl w:val="nil"/>
                  </w:tcBorders>
                  <w:shd w:val="clear" w:color="auto" w:fill="auto"/>
                  <w:noWrap w:val="0"/>
                  <w:vAlign w:val="center"/>
                </w:tcPr>
                <w:p w14:paraId="6B440A5A">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北侧防护墙外30cm 处</w:t>
                  </w:r>
                </w:p>
              </w:tc>
              <w:tc>
                <w:tcPr>
                  <w:tcW w:w="1049" w:type="dxa"/>
                  <w:tcBorders>
                    <w:tl2br w:val="nil"/>
                    <w:tr2bl w:val="nil"/>
                  </w:tcBorders>
                  <w:noWrap w:val="0"/>
                  <w:vAlign w:val="center"/>
                </w:tcPr>
                <w:p w14:paraId="455C6455">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公众</w:t>
                  </w:r>
                </w:p>
              </w:tc>
              <w:tc>
                <w:tcPr>
                  <w:tcW w:w="1401" w:type="dxa"/>
                  <w:tcBorders>
                    <w:tl2br w:val="nil"/>
                    <w:tr2bl w:val="nil"/>
                  </w:tcBorders>
                  <w:shd w:val="clear" w:color="auto" w:fill="auto"/>
                  <w:noWrap w:val="0"/>
                  <w:vAlign w:val="center"/>
                </w:tcPr>
                <w:p w14:paraId="209640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2.54E-09</w:t>
                  </w:r>
                </w:p>
              </w:tc>
              <w:tc>
                <w:tcPr>
                  <w:tcW w:w="911" w:type="dxa"/>
                  <w:tcBorders>
                    <w:tl2br w:val="nil"/>
                    <w:tr2bl w:val="nil"/>
                  </w:tcBorders>
                  <w:noWrap w:val="0"/>
                  <w:vAlign w:val="center"/>
                </w:tcPr>
                <w:p w14:paraId="242DF97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30</w:t>
                  </w:r>
                </w:p>
              </w:tc>
              <w:tc>
                <w:tcPr>
                  <w:tcW w:w="1030" w:type="dxa"/>
                  <w:tcBorders>
                    <w:tl2br w:val="nil"/>
                    <w:tr2bl w:val="nil"/>
                  </w:tcBorders>
                  <w:noWrap w:val="0"/>
                  <w:vAlign w:val="center"/>
                </w:tcPr>
                <w:p w14:paraId="00D2F37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0.25</w:t>
                  </w:r>
                </w:p>
              </w:tc>
              <w:tc>
                <w:tcPr>
                  <w:tcW w:w="1115" w:type="dxa"/>
                  <w:tcBorders>
                    <w:tl2br w:val="nil"/>
                    <w:tr2bl w:val="nil"/>
                  </w:tcBorders>
                  <w:shd w:val="clear" w:color="auto" w:fill="auto"/>
                  <w:noWrap w:val="0"/>
                  <w:vAlign w:val="center"/>
                </w:tcPr>
                <w:p w14:paraId="7825C39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1.91E-11</w:t>
                  </w:r>
                </w:p>
              </w:tc>
            </w:tr>
            <w:tr w14:paraId="738016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0" w:type="auto"/>
                  <w:shd w:val="clear" w:color="auto" w:fill="auto"/>
                  <w:vAlign w:val="center"/>
                </w:tcPr>
                <w:p w14:paraId="29852E46">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B</w:t>
                  </w:r>
                </w:p>
              </w:tc>
              <w:tc>
                <w:tcPr>
                  <w:tcW w:w="0" w:type="auto"/>
                  <w:shd w:val="clear" w:color="auto" w:fill="auto"/>
                  <w:vAlign w:val="center"/>
                </w:tcPr>
                <w:p w14:paraId="0E20458E">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东侧控制室铅玻璃外 30cm 处</w:t>
                  </w:r>
                </w:p>
              </w:tc>
              <w:tc>
                <w:tcPr>
                  <w:tcW w:w="0" w:type="auto"/>
                  <w:vAlign w:val="center"/>
                </w:tcPr>
                <w:p w14:paraId="4F756EBB">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职业</w:t>
                  </w:r>
                </w:p>
              </w:tc>
              <w:tc>
                <w:tcPr>
                  <w:tcW w:w="0" w:type="auto"/>
                  <w:shd w:val="clear" w:color="auto" w:fill="auto"/>
                  <w:vAlign w:val="center"/>
                </w:tcPr>
                <w:p w14:paraId="7B71D53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5.41E-09</w:t>
                  </w:r>
                </w:p>
              </w:tc>
              <w:tc>
                <w:tcPr>
                  <w:tcW w:w="0" w:type="auto"/>
                  <w:vAlign w:val="center"/>
                </w:tcPr>
                <w:p w14:paraId="6F8E873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30</w:t>
                  </w:r>
                </w:p>
              </w:tc>
              <w:tc>
                <w:tcPr>
                  <w:tcW w:w="0" w:type="auto"/>
                  <w:vAlign w:val="center"/>
                </w:tcPr>
                <w:p w14:paraId="2605C7B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w:t>
                  </w:r>
                </w:p>
              </w:tc>
              <w:tc>
                <w:tcPr>
                  <w:tcW w:w="0" w:type="auto"/>
                  <w:shd w:val="clear" w:color="auto" w:fill="auto"/>
                  <w:vAlign w:val="center"/>
                </w:tcPr>
                <w:p w14:paraId="7F6EE050">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1.62E-10</w:t>
                  </w:r>
                </w:p>
              </w:tc>
            </w:tr>
            <w:tr w14:paraId="5DBEEF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0" w:type="auto"/>
                  <w:shd w:val="clear" w:color="auto" w:fill="auto"/>
                  <w:vAlign w:val="center"/>
                </w:tcPr>
                <w:p w14:paraId="2B53F7EA">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C</w:t>
                  </w:r>
                </w:p>
              </w:tc>
              <w:tc>
                <w:tcPr>
                  <w:tcW w:w="0" w:type="auto"/>
                  <w:shd w:val="clear" w:color="auto" w:fill="auto"/>
                  <w:vAlign w:val="center"/>
                </w:tcPr>
                <w:p w14:paraId="45C989D2">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4#南侧防护墙外30cm 处</w:t>
                  </w:r>
                </w:p>
              </w:tc>
              <w:tc>
                <w:tcPr>
                  <w:tcW w:w="0" w:type="auto"/>
                  <w:vAlign w:val="center"/>
                </w:tcPr>
                <w:p w14:paraId="465383D3">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0" w:type="auto"/>
                  <w:shd w:val="clear" w:color="auto" w:fill="auto"/>
                  <w:vAlign w:val="center"/>
                </w:tcPr>
                <w:p w14:paraId="143D8C4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2.54E-09</w:t>
                  </w:r>
                </w:p>
              </w:tc>
              <w:tc>
                <w:tcPr>
                  <w:tcW w:w="0" w:type="auto"/>
                  <w:vAlign w:val="center"/>
                </w:tcPr>
                <w:p w14:paraId="781A5D6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30</w:t>
                  </w:r>
                </w:p>
              </w:tc>
              <w:tc>
                <w:tcPr>
                  <w:tcW w:w="0" w:type="auto"/>
                  <w:vAlign w:val="center"/>
                </w:tcPr>
                <w:p w14:paraId="7ED390A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0.25</w:t>
                  </w:r>
                </w:p>
              </w:tc>
              <w:tc>
                <w:tcPr>
                  <w:tcW w:w="0" w:type="auto"/>
                  <w:shd w:val="clear" w:color="auto" w:fill="auto"/>
                  <w:vAlign w:val="center"/>
                </w:tcPr>
                <w:p w14:paraId="389D3D8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1.91E-11</w:t>
                  </w:r>
                </w:p>
              </w:tc>
            </w:tr>
            <w:tr w14:paraId="434E52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0" w:type="auto"/>
                  <w:shd w:val="clear" w:color="auto" w:fill="auto"/>
                  <w:vAlign w:val="center"/>
                </w:tcPr>
                <w:p w14:paraId="0A93024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D</w:t>
                  </w:r>
                </w:p>
              </w:tc>
              <w:tc>
                <w:tcPr>
                  <w:tcW w:w="0" w:type="auto"/>
                  <w:shd w:val="clear" w:color="auto" w:fill="auto"/>
                  <w:vAlign w:val="center"/>
                </w:tcPr>
                <w:p w14:paraId="5F209545">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5#西侧防护墙外30cm 处</w:t>
                  </w:r>
                </w:p>
              </w:tc>
              <w:tc>
                <w:tcPr>
                  <w:tcW w:w="0" w:type="auto"/>
                  <w:vAlign w:val="center"/>
                </w:tcPr>
                <w:p w14:paraId="37AB34B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0" w:type="auto"/>
                  <w:shd w:val="clear" w:color="auto" w:fill="auto"/>
                  <w:vAlign w:val="center"/>
                </w:tcPr>
                <w:p w14:paraId="34FD8F8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5.41E-09</w:t>
                  </w:r>
                </w:p>
              </w:tc>
              <w:tc>
                <w:tcPr>
                  <w:tcW w:w="0" w:type="auto"/>
                  <w:vAlign w:val="center"/>
                </w:tcPr>
                <w:p w14:paraId="18ED284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30</w:t>
                  </w:r>
                </w:p>
              </w:tc>
              <w:tc>
                <w:tcPr>
                  <w:tcW w:w="0" w:type="auto"/>
                  <w:vAlign w:val="center"/>
                </w:tcPr>
                <w:p w14:paraId="47B3A63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0.25</w:t>
                  </w:r>
                </w:p>
              </w:tc>
              <w:tc>
                <w:tcPr>
                  <w:tcW w:w="0" w:type="auto"/>
                  <w:shd w:val="clear" w:color="auto" w:fill="auto"/>
                  <w:vAlign w:val="center"/>
                </w:tcPr>
                <w:p w14:paraId="1006AEA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4.06E-11</w:t>
                  </w:r>
                </w:p>
              </w:tc>
            </w:tr>
            <w:tr w14:paraId="440378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0" w:type="auto"/>
                  <w:shd w:val="clear" w:color="auto" w:fill="auto"/>
                  <w:vAlign w:val="center"/>
                </w:tcPr>
                <w:p w14:paraId="37A0F585">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E</w:t>
                  </w:r>
                </w:p>
              </w:tc>
              <w:tc>
                <w:tcPr>
                  <w:tcW w:w="0" w:type="auto"/>
                  <w:shd w:val="clear" w:color="auto" w:fill="auto"/>
                  <w:vAlign w:val="center"/>
                </w:tcPr>
                <w:p w14:paraId="3C89204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6#西侧防护门外30cm 处</w:t>
                  </w:r>
                </w:p>
              </w:tc>
              <w:tc>
                <w:tcPr>
                  <w:tcW w:w="0" w:type="auto"/>
                  <w:vAlign w:val="center"/>
                </w:tcPr>
                <w:p w14:paraId="57D2772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0" w:type="auto"/>
                  <w:shd w:val="clear" w:color="auto" w:fill="auto"/>
                  <w:vAlign w:val="center"/>
                </w:tcPr>
                <w:p w14:paraId="42A1BCE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5.41E-09</w:t>
                  </w:r>
                </w:p>
              </w:tc>
              <w:tc>
                <w:tcPr>
                  <w:tcW w:w="0" w:type="auto"/>
                  <w:vAlign w:val="center"/>
                </w:tcPr>
                <w:p w14:paraId="2BA5D19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30</w:t>
                  </w:r>
                </w:p>
              </w:tc>
              <w:tc>
                <w:tcPr>
                  <w:tcW w:w="0" w:type="auto"/>
                  <w:vAlign w:val="center"/>
                </w:tcPr>
                <w:p w14:paraId="16918BA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0.25</w:t>
                  </w:r>
                </w:p>
              </w:tc>
              <w:tc>
                <w:tcPr>
                  <w:tcW w:w="0" w:type="auto"/>
                  <w:shd w:val="clear" w:color="auto" w:fill="auto"/>
                  <w:vAlign w:val="center"/>
                </w:tcPr>
                <w:p w14:paraId="0735613E">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4.06E-11</w:t>
                  </w:r>
                </w:p>
              </w:tc>
            </w:tr>
            <w:tr w14:paraId="330023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0" w:type="auto"/>
                  <w:shd w:val="clear" w:color="auto" w:fill="auto"/>
                  <w:vAlign w:val="center"/>
                </w:tcPr>
                <w:p w14:paraId="2D7307E9">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F</w:t>
                  </w:r>
                </w:p>
              </w:tc>
              <w:tc>
                <w:tcPr>
                  <w:tcW w:w="0" w:type="auto"/>
                  <w:shd w:val="clear" w:color="auto" w:fill="auto"/>
                  <w:vAlign w:val="center"/>
                </w:tcPr>
                <w:p w14:paraId="7B19C66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术者位1</w:t>
                  </w:r>
                </w:p>
              </w:tc>
              <w:tc>
                <w:tcPr>
                  <w:tcW w:w="0" w:type="auto"/>
                  <w:vAlign w:val="center"/>
                </w:tcPr>
                <w:p w14:paraId="5DFFC24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职业</w:t>
                  </w:r>
                </w:p>
              </w:tc>
              <w:tc>
                <w:tcPr>
                  <w:tcW w:w="0" w:type="auto"/>
                  <w:shd w:val="clear" w:color="auto" w:fill="auto"/>
                  <w:vAlign w:val="center"/>
                </w:tcPr>
                <w:p w14:paraId="765EBFB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4.98E-08</w:t>
                  </w:r>
                </w:p>
              </w:tc>
              <w:tc>
                <w:tcPr>
                  <w:tcW w:w="0" w:type="auto"/>
                  <w:vAlign w:val="center"/>
                </w:tcPr>
                <w:p w14:paraId="4A890EB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30</w:t>
                  </w:r>
                </w:p>
              </w:tc>
              <w:tc>
                <w:tcPr>
                  <w:tcW w:w="0" w:type="auto"/>
                  <w:vAlign w:val="center"/>
                </w:tcPr>
                <w:p w14:paraId="3ABE5149">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w:t>
                  </w:r>
                </w:p>
              </w:tc>
              <w:tc>
                <w:tcPr>
                  <w:tcW w:w="0" w:type="auto"/>
                  <w:shd w:val="clear" w:color="auto" w:fill="auto"/>
                  <w:vAlign w:val="center"/>
                </w:tcPr>
                <w:p w14:paraId="777912C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1.49E-09</w:t>
                  </w:r>
                </w:p>
              </w:tc>
            </w:tr>
            <w:tr w14:paraId="049FFD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0" w:type="auto"/>
                  <w:shd w:val="clear" w:color="auto" w:fill="auto"/>
                  <w:vAlign w:val="center"/>
                </w:tcPr>
                <w:p w14:paraId="57ADBD34">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G</w:t>
                  </w:r>
                </w:p>
              </w:tc>
              <w:tc>
                <w:tcPr>
                  <w:tcW w:w="0" w:type="auto"/>
                  <w:shd w:val="clear" w:color="auto" w:fill="auto"/>
                  <w:vAlign w:val="center"/>
                </w:tcPr>
                <w:p w14:paraId="0E829A1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术者位2</w:t>
                  </w:r>
                </w:p>
              </w:tc>
              <w:tc>
                <w:tcPr>
                  <w:tcW w:w="0" w:type="auto"/>
                  <w:vAlign w:val="center"/>
                </w:tcPr>
                <w:p w14:paraId="4321B838">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职业</w:t>
                  </w:r>
                </w:p>
              </w:tc>
              <w:tc>
                <w:tcPr>
                  <w:tcW w:w="0" w:type="auto"/>
                  <w:shd w:val="clear" w:color="auto" w:fill="auto"/>
                  <w:vAlign w:val="center"/>
                </w:tcPr>
                <w:p w14:paraId="5956BA7E">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7.01E-09</w:t>
                  </w:r>
                </w:p>
              </w:tc>
              <w:tc>
                <w:tcPr>
                  <w:tcW w:w="0" w:type="auto"/>
                  <w:vAlign w:val="center"/>
                </w:tcPr>
                <w:p w14:paraId="027FC05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30</w:t>
                  </w:r>
                </w:p>
              </w:tc>
              <w:tc>
                <w:tcPr>
                  <w:tcW w:w="0" w:type="auto"/>
                  <w:vAlign w:val="center"/>
                </w:tcPr>
                <w:p w14:paraId="58F5E5D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w:t>
                  </w:r>
                </w:p>
              </w:tc>
              <w:tc>
                <w:tcPr>
                  <w:tcW w:w="0" w:type="auto"/>
                  <w:shd w:val="clear" w:color="auto" w:fill="auto"/>
                  <w:vAlign w:val="center"/>
                </w:tcPr>
                <w:p w14:paraId="78BBD1C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2.10E-10</w:t>
                  </w:r>
                </w:p>
              </w:tc>
            </w:tr>
            <w:tr w14:paraId="227AC4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0" w:type="auto"/>
                  <w:shd w:val="clear" w:color="auto" w:fill="auto"/>
                  <w:vAlign w:val="center"/>
                </w:tcPr>
                <w:p w14:paraId="231E54D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H</w:t>
                  </w:r>
                </w:p>
              </w:tc>
              <w:tc>
                <w:tcPr>
                  <w:tcW w:w="0" w:type="auto"/>
                  <w:shd w:val="clear" w:color="auto" w:fill="auto"/>
                  <w:vAlign w:val="center"/>
                </w:tcPr>
                <w:p w14:paraId="78967288">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顶棚上方距顶棚地面 100cm 处</w:t>
                  </w:r>
                </w:p>
              </w:tc>
              <w:tc>
                <w:tcPr>
                  <w:tcW w:w="1049" w:type="dxa"/>
                  <w:vAlign w:val="center"/>
                </w:tcPr>
                <w:p w14:paraId="6BCE2860">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0" w:type="auto"/>
                  <w:shd w:val="clear" w:color="auto" w:fill="auto"/>
                  <w:vAlign w:val="center"/>
                </w:tcPr>
                <w:p w14:paraId="0C475A0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2.26E-09</w:t>
                  </w:r>
                </w:p>
              </w:tc>
              <w:tc>
                <w:tcPr>
                  <w:tcW w:w="0" w:type="auto"/>
                  <w:vAlign w:val="center"/>
                </w:tcPr>
                <w:p w14:paraId="617F134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30</w:t>
                  </w:r>
                </w:p>
              </w:tc>
              <w:tc>
                <w:tcPr>
                  <w:tcW w:w="0" w:type="auto"/>
                  <w:vAlign w:val="center"/>
                </w:tcPr>
                <w:p w14:paraId="37D96330">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0.25</w:t>
                  </w:r>
                </w:p>
              </w:tc>
              <w:tc>
                <w:tcPr>
                  <w:tcW w:w="0" w:type="auto"/>
                  <w:shd w:val="clear" w:color="auto" w:fill="auto"/>
                  <w:vAlign w:val="center"/>
                </w:tcPr>
                <w:p w14:paraId="6FD62419">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1.70E-11</w:t>
                  </w:r>
                </w:p>
              </w:tc>
            </w:tr>
            <w:tr w14:paraId="3721B2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0" w:type="auto"/>
                  <w:shd w:val="clear" w:color="auto" w:fill="auto"/>
                  <w:vAlign w:val="center"/>
                </w:tcPr>
                <w:p w14:paraId="51A930BE">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I</w:t>
                  </w:r>
                </w:p>
              </w:tc>
              <w:tc>
                <w:tcPr>
                  <w:tcW w:w="0" w:type="auto"/>
                  <w:shd w:val="clear" w:color="auto" w:fill="auto"/>
                  <w:vAlign w:val="center"/>
                </w:tcPr>
                <w:p w14:paraId="37A4C679">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地面下方距楼下地面 170cm 处</w:t>
                  </w:r>
                </w:p>
              </w:tc>
              <w:tc>
                <w:tcPr>
                  <w:tcW w:w="1049" w:type="dxa"/>
                  <w:vAlign w:val="center"/>
                </w:tcPr>
                <w:p w14:paraId="13986D4D">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0" w:type="auto"/>
                  <w:shd w:val="clear" w:color="auto" w:fill="auto"/>
                  <w:vAlign w:val="center"/>
                </w:tcPr>
                <w:p w14:paraId="703323B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5.52E-09</w:t>
                  </w:r>
                </w:p>
              </w:tc>
              <w:tc>
                <w:tcPr>
                  <w:tcW w:w="0" w:type="auto"/>
                  <w:vAlign w:val="center"/>
                </w:tcPr>
                <w:p w14:paraId="1F53940F">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30</w:t>
                  </w:r>
                </w:p>
              </w:tc>
              <w:tc>
                <w:tcPr>
                  <w:tcW w:w="0" w:type="auto"/>
                  <w:vAlign w:val="center"/>
                </w:tcPr>
                <w:p w14:paraId="1B73653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0.25</w:t>
                  </w:r>
                </w:p>
              </w:tc>
              <w:tc>
                <w:tcPr>
                  <w:tcW w:w="0" w:type="auto"/>
                  <w:shd w:val="clear" w:color="auto" w:fill="auto"/>
                  <w:vAlign w:val="center"/>
                </w:tcPr>
                <w:p w14:paraId="7FA70581">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4.14E-11</w:t>
                  </w:r>
                </w:p>
              </w:tc>
            </w:tr>
            <w:tr w14:paraId="71E052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21" w:hRule="atLeast"/>
                <w:jc w:val="center"/>
              </w:trPr>
              <w:tc>
                <w:tcPr>
                  <w:tcW w:w="583" w:type="dxa"/>
                  <w:vMerge w:val="restart"/>
                  <w:shd w:val="clear" w:color="auto" w:fill="auto"/>
                  <w:vAlign w:val="center"/>
                </w:tcPr>
                <w:p w14:paraId="48926913">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J</w:t>
                  </w:r>
                </w:p>
              </w:tc>
              <w:tc>
                <w:tcPr>
                  <w:tcW w:w="3027" w:type="dxa"/>
                  <w:vMerge w:val="restart"/>
                  <w:shd w:val="clear" w:color="auto" w:fill="auto"/>
                  <w:vAlign w:val="center"/>
                </w:tcPr>
                <w:p w14:paraId="3788642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Y-90运输铅罐表面30cm</w:t>
                  </w:r>
                </w:p>
              </w:tc>
              <w:tc>
                <w:tcPr>
                  <w:tcW w:w="0" w:type="auto"/>
                  <w:shd w:val="clear" w:color="auto" w:fill="auto"/>
                  <w:vAlign w:val="center"/>
                </w:tcPr>
                <w:p w14:paraId="66BED5A8">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default" w:ascii="Times New Roman" w:hAnsi="Times New Roman" w:cs="Times New Roman"/>
                      <w:color w:val="auto"/>
                      <w:sz w:val="20"/>
                      <w:szCs w:val="20"/>
                      <w:highlight w:val="none"/>
                      <w:lang w:val="en-US" w:eastAsia="zh-CN" w:bidi="ar"/>
                    </w:rPr>
                    <w:t>职业</w:t>
                  </w:r>
                </w:p>
              </w:tc>
              <w:tc>
                <w:tcPr>
                  <w:tcW w:w="1401" w:type="dxa"/>
                  <w:vMerge w:val="restart"/>
                  <w:shd w:val="clear" w:color="auto" w:fill="auto"/>
                  <w:vAlign w:val="center"/>
                </w:tcPr>
                <w:p w14:paraId="0D6B089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4.98E-19</w:t>
                  </w:r>
                </w:p>
              </w:tc>
              <w:tc>
                <w:tcPr>
                  <w:tcW w:w="0" w:type="auto"/>
                  <w:vAlign w:val="center"/>
                </w:tcPr>
                <w:p w14:paraId="4ED73ED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30</w:t>
                  </w:r>
                </w:p>
              </w:tc>
              <w:tc>
                <w:tcPr>
                  <w:tcW w:w="0" w:type="auto"/>
                  <w:vAlign w:val="center"/>
                </w:tcPr>
                <w:p w14:paraId="1B8105E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w:t>
                  </w:r>
                </w:p>
              </w:tc>
              <w:tc>
                <w:tcPr>
                  <w:tcW w:w="1115" w:type="dxa"/>
                  <w:shd w:val="clear" w:color="auto" w:fill="auto"/>
                  <w:vAlign w:val="center"/>
                </w:tcPr>
                <w:p w14:paraId="7CCD002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1.49E-20</w:t>
                  </w:r>
                </w:p>
              </w:tc>
            </w:tr>
            <w:tr w14:paraId="2FBDA2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3" w:hRule="atLeast"/>
                <w:jc w:val="center"/>
              </w:trPr>
              <w:tc>
                <w:tcPr>
                  <w:tcW w:w="583" w:type="dxa"/>
                  <w:vMerge w:val="continue"/>
                  <w:vAlign w:val="center"/>
                </w:tcPr>
                <w:p w14:paraId="564DF869">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p>
              </w:tc>
              <w:tc>
                <w:tcPr>
                  <w:tcW w:w="3027" w:type="dxa"/>
                  <w:vMerge w:val="continue"/>
                  <w:vAlign w:val="center"/>
                </w:tcPr>
                <w:p w14:paraId="408E45B6">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p>
              </w:tc>
              <w:tc>
                <w:tcPr>
                  <w:tcW w:w="0" w:type="auto"/>
                  <w:shd w:val="clear" w:color="auto" w:fill="auto"/>
                  <w:vAlign w:val="center"/>
                </w:tcPr>
                <w:p w14:paraId="7B96BAB6">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default" w:ascii="Times New Roman" w:hAnsi="Times New Roman" w:cs="Times New Roman"/>
                      <w:color w:val="auto"/>
                      <w:sz w:val="20"/>
                      <w:szCs w:val="20"/>
                      <w:highlight w:val="none"/>
                      <w:lang w:val="en-US" w:eastAsia="zh-CN" w:bidi="ar"/>
                    </w:rPr>
                    <w:t>公众</w:t>
                  </w:r>
                </w:p>
              </w:tc>
              <w:tc>
                <w:tcPr>
                  <w:tcW w:w="1401" w:type="dxa"/>
                  <w:vMerge w:val="continue"/>
                  <w:vAlign w:val="center"/>
                </w:tcPr>
                <w:p w14:paraId="5B7A665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p>
              </w:tc>
              <w:tc>
                <w:tcPr>
                  <w:tcW w:w="0" w:type="auto"/>
                  <w:vAlign w:val="center"/>
                </w:tcPr>
                <w:p w14:paraId="69AB8466">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30</w:t>
                  </w:r>
                </w:p>
              </w:tc>
              <w:tc>
                <w:tcPr>
                  <w:tcW w:w="0" w:type="auto"/>
                  <w:vAlign w:val="center"/>
                </w:tcPr>
                <w:p w14:paraId="7605088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0.25</w:t>
                  </w:r>
                </w:p>
              </w:tc>
              <w:tc>
                <w:tcPr>
                  <w:tcW w:w="1115" w:type="dxa"/>
                  <w:shd w:val="clear" w:color="auto" w:fill="auto"/>
                  <w:vAlign w:val="center"/>
                </w:tcPr>
                <w:p w14:paraId="2A36FACD">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3.74E-21</w:t>
                  </w:r>
                </w:p>
              </w:tc>
            </w:tr>
          </w:tbl>
          <w:p w14:paraId="640481E8">
            <w:pPr>
              <w:keepNext w:val="0"/>
              <w:keepLines w:val="0"/>
              <w:suppressLineNumbers w:val="0"/>
              <w:spacing w:before="0" w:beforeLines="0" w:beforeAutospacing="0" w:after="0" w:afterLines="0" w:afterAutospacing="0" w:line="360" w:lineRule="auto"/>
              <w:ind w:left="0" w:right="0" w:firstLine="482" w:firstLineChars="200"/>
              <w:jc w:val="center"/>
              <w:rPr>
                <w:rFonts w:hint="eastAsia" w:ascii="Times New Roman" w:hAnsi="Times New Roman" w:cs="Times New Roman"/>
                <w:b/>
                <w:color w:val="auto"/>
                <w:sz w:val="24"/>
                <w:szCs w:val="24"/>
                <w:highlight w:val="none"/>
                <w:lang w:val="en-US" w:eastAsia="zh-CN"/>
              </w:rPr>
            </w:pPr>
          </w:p>
          <w:p w14:paraId="0692C2B1">
            <w:pPr>
              <w:keepNext w:val="0"/>
              <w:keepLines w:val="0"/>
              <w:suppressLineNumbers w:val="0"/>
              <w:spacing w:before="0" w:beforeLines="0" w:beforeAutospacing="0" w:after="0" w:afterLines="0" w:afterAutospacing="0" w:line="360" w:lineRule="auto"/>
              <w:ind w:left="0" w:right="0" w:firstLine="482" w:firstLineChars="200"/>
              <w:jc w:val="center"/>
              <w:rPr>
                <w:rFonts w:hint="eastAsia" w:cs="Times New Roman"/>
                <w:b/>
                <w:bCs/>
                <w:color w:val="auto"/>
                <w:sz w:val="24"/>
                <w:szCs w:val="24"/>
                <w:highlight w:val="none"/>
                <w:lang w:val="en-US" w:eastAsia="zh-CN"/>
              </w:rPr>
            </w:pPr>
          </w:p>
          <w:p w14:paraId="5A909E1E">
            <w:pPr>
              <w:keepNext w:val="0"/>
              <w:keepLines w:val="0"/>
              <w:suppressLineNumbers w:val="0"/>
              <w:spacing w:before="0" w:beforeLines="0" w:beforeAutospacing="0" w:after="0" w:afterLines="0" w:afterAutospacing="0" w:line="360" w:lineRule="auto"/>
              <w:ind w:left="0" w:right="0" w:firstLine="482" w:firstLineChars="200"/>
              <w:jc w:val="center"/>
              <w:rPr>
                <w:rFonts w:hint="eastAsia" w:cs="Times New Roman"/>
                <w:b/>
                <w:bCs/>
                <w:color w:val="auto"/>
                <w:sz w:val="24"/>
                <w:szCs w:val="24"/>
                <w:highlight w:val="none"/>
                <w:lang w:val="en-US" w:eastAsia="zh-CN"/>
              </w:rPr>
            </w:pPr>
          </w:p>
          <w:p w14:paraId="6DBDFAD6">
            <w:pPr>
              <w:keepNext w:val="0"/>
              <w:keepLines w:val="0"/>
              <w:suppressLineNumbers w:val="0"/>
              <w:spacing w:before="0" w:beforeLines="0" w:beforeAutospacing="0" w:after="0" w:afterLines="0" w:afterAutospacing="0" w:line="360" w:lineRule="auto"/>
              <w:ind w:left="0" w:right="0" w:firstLine="482" w:firstLineChars="200"/>
              <w:jc w:val="center"/>
              <w:rPr>
                <w:rFonts w:hint="eastAsia" w:cs="Times New Roman"/>
                <w:b/>
                <w:bCs/>
                <w:color w:val="auto"/>
                <w:sz w:val="24"/>
                <w:szCs w:val="24"/>
                <w:highlight w:val="none"/>
                <w:lang w:val="en-US" w:eastAsia="zh-CN"/>
              </w:rPr>
            </w:pPr>
          </w:p>
          <w:p w14:paraId="778643D5">
            <w:pPr>
              <w:keepNext w:val="0"/>
              <w:keepLines w:val="0"/>
              <w:suppressLineNumbers w:val="0"/>
              <w:spacing w:before="0" w:beforeLines="0" w:beforeAutospacing="0" w:after="0" w:afterLines="0" w:afterAutospacing="0" w:line="360" w:lineRule="auto"/>
              <w:ind w:left="0" w:right="0" w:firstLine="482" w:firstLineChars="200"/>
              <w:jc w:val="center"/>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表11-24  工作场所人员受照射剂量叠加后预测结果</w:t>
            </w:r>
          </w:p>
          <w:tbl>
            <w:tblPr>
              <w:tblStyle w:val="22"/>
              <w:tblW w:w="9477"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624"/>
              <w:gridCol w:w="3010"/>
              <w:gridCol w:w="1223"/>
              <w:gridCol w:w="1564"/>
              <w:gridCol w:w="1528"/>
              <w:gridCol w:w="1528"/>
            </w:tblGrid>
            <w:tr w14:paraId="3F39EC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94" w:hRule="atLeast"/>
                <w:jc w:val="center"/>
              </w:trPr>
              <w:tc>
                <w:tcPr>
                  <w:tcW w:w="624" w:type="dxa"/>
                  <w:tcBorders>
                    <w:tl2br w:val="nil"/>
                    <w:tr2bl w:val="nil"/>
                  </w:tcBorders>
                  <w:noWrap w:val="0"/>
                  <w:vAlign w:val="center"/>
                </w:tcPr>
                <w:p w14:paraId="4784C9E1">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目标点位</w:t>
                  </w:r>
                </w:p>
              </w:tc>
              <w:tc>
                <w:tcPr>
                  <w:tcW w:w="3010" w:type="dxa"/>
                  <w:tcBorders>
                    <w:tl2br w:val="nil"/>
                    <w:tr2bl w:val="nil"/>
                  </w:tcBorders>
                  <w:noWrap w:val="0"/>
                  <w:vAlign w:val="center"/>
                </w:tcPr>
                <w:p w14:paraId="083A9268">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与机房关系</w:t>
                  </w:r>
                </w:p>
              </w:tc>
              <w:tc>
                <w:tcPr>
                  <w:tcW w:w="1223" w:type="dxa"/>
                  <w:tcBorders>
                    <w:tl2br w:val="nil"/>
                    <w:tr2bl w:val="nil"/>
                  </w:tcBorders>
                  <w:noWrap w:val="0"/>
                  <w:vAlign w:val="center"/>
                </w:tcPr>
                <w:p w14:paraId="64CA0493">
                  <w:pPr>
                    <w:keepNext w:val="0"/>
                    <w:keepLines w:val="0"/>
                    <w:suppressLineNumbers w:val="0"/>
                    <w:autoSpaceDE w:val="0"/>
                    <w:autoSpaceDN w:val="0"/>
                    <w:spacing w:before="0" w:beforeAutospacing="0" w:after="0" w:afterAutospacing="0"/>
                    <w:ind w:left="0" w:right="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照射类型</w:t>
                  </w:r>
                </w:p>
              </w:tc>
              <w:tc>
                <w:tcPr>
                  <w:tcW w:w="1564" w:type="dxa"/>
                  <w:tcBorders>
                    <w:tl2br w:val="nil"/>
                    <w:tr2bl w:val="nil"/>
                  </w:tcBorders>
                  <w:noWrap w:val="0"/>
                  <w:vAlign w:val="center"/>
                </w:tcPr>
                <w:p w14:paraId="22662A6A">
                  <w:pPr>
                    <w:keepNext w:val="0"/>
                    <w:keepLines w:val="0"/>
                    <w:suppressLineNumbers w:val="0"/>
                    <w:autoSpaceDE w:val="0"/>
                    <w:autoSpaceDN w:val="0"/>
                    <w:spacing w:before="0" w:beforeAutospacing="0" w:after="0" w:afterAutospacing="0"/>
                    <w:ind w:left="0" w:right="0" w:firstLine="0" w:firstLineChars="0"/>
                    <w:jc w:val="center"/>
                    <w:rPr>
                      <w:rFonts w:hint="eastAsia" w:cs="Times New Roman"/>
                      <w:color w:val="auto"/>
                      <w:kern w:val="0"/>
                      <w:sz w:val="18"/>
                      <w:szCs w:val="18"/>
                      <w:highlight w:val="none"/>
                      <w:lang w:val="en-US" w:eastAsia="zh-CN"/>
                    </w:rPr>
                  </w:pPr>
                  <w:r>
                    <w:rPr>
                      <w:rFonts w:hint="eastAsia" w:cs="Times New Roman"/>
                      <w:color w:val="auto"/>
                      <w:kern w:val="0"/>
                      <w:sz w:val="18"/>
                      <w:szCs w:val="18"/>
                      <w:highlight w:val="none"/>
                      <w:lang w:val="en-US" w:eastAsia="zh-CN"/>
                    </w:rPr>
                    <w:t>Tc-99m</w:t>
                  </w:r>
                </w:p>
                <w:p w14:paraId="2B1A21E0">
                  <w:pPr>
                    <w:keepNext w:val="0"/>
                    <w:keepLines w:val="0"/>
                    <w:suppressLineNumbers w:val="0"/>
                    <w:autoSpaceDE w:val="0"/>
                    <w:autoSpaceDN w:val="0"/>
                    <w:spacing w:before="0" w:beforeAutospacing="0" w:after="0" w:afterAutospacing="0"/>
                    <w:ind w:left="0" w:right="0" w:firstLine="0" w:firstLineChars="0"/>
                    <w:jc w:val="center"/>
                    <w:rPr>
                      <w:rFonts w:hint="eastAsia" w:ascii="Times New Roman" w:hAnsi="Times New Roman" w:eastAsia="宋体" w:cs="Times New Roman"/>
                      <w:color w:val="auto"/>
                      <w:kern w:val="0"/>
                      <w:sz w:val="18"/>
                      <w:szCs w:val="18"/>
                      <w:highlight w:val="none"/>
                      <w:lang w:eastAsia="zh-CN"/>
                    </w:rPr>
                  </w:pPr>
                  <w:r>
                    <w:rPr>
                      <w:rFonts w:hint="eastAsia" w:cs="Times New Roman"/>
                      <w:color w:val="auto"/>
                      <w:kern w:val="0"/>
                      <w:sz w:val="18"/>
                      <w:szCs w:val="18"/>
                      <w:highlight w:val="none"/>
                      <w:lang w:eastAsia="zh-CN"/>
                    </w:rPr>
                    <w:t>年有效剂量mSv/a</w:t>
                  </w:r>
                </w:p>
              </w:tc>
              <w:tc>
                <w:tcPr>
                  <w:tcW w:w="1528" w:type="dxa"/>
                  <w:tcBorders>
                    <w:tl2br w:val="nil"/>
                    <w:tr2bl w:val="nil"/>
                  </w:tcBorders>
                  <w:noWrap w:val="0"/>
                  <w:vAlign w:val="center"/>
                </w:tcPr>
                <w:p w14:paraId="6F1C46E5">
                  <w:pPr>
                    <w:keepNext w:val="0"/>
                    <w:keepLines w:val="0"/>
                    <w:suppressLineNumbers w:val="0"/>
                    <w:autoSpaceDE w:val="0"/>
                    <w:autoSpaceDN w:val="0"/>
                    <w:spacing w:before="0" w:beforeAutospacing="0" w:after="0" w:afterAutospacing="0"/>
                    <w:ind w:left="0" w:right="0" w:firstLine="0" w:firstLineChars="0"/>
                    <w:jc w:val="center"/>
                    <w:rPr>
                      <w:rFonts w:hint="eastAsia" w:cs="Times New Roman"/>
                      <w:color w:val="auto"/>
                      <w:kern w:val="0"/>
                      <w:sz w:val="18"/>
                      <w:szCs w:val="18"/>
                      <w:highlight w:val="none"/>
                      <w:lang w:val="en-US" w:eastAsia="zh-CN"/>
                    </w:rPr>
                  </w:pPr>
                  <w:r>
                    <w:rPr>
                      <w:rFonts w:hint="eastAsia" w:cs="Times New Roman"/>
                      <w:color w:val="auto"/>
                      <w:kern w:val="0"/>
                      <w:sz w:val="18"/>
                      <w:szCs w:val="18"/>
                      <w:highlight w:val="none"/>
                      <w:lang w:val="en-US" w:eastAsia="zh-CN"/>
                    </w:rPr>
                    <w:t>Y-90</w:t>
                  </w:r>
                </w:p>
                <w:p w14:paraId="70DA0E9F">
                  <w:pPr>
                    <w:keepNext w:val="0"/>
                    <w:keepLines w:val="0"/>
                    <w:suppressLineNumbers w:val="0"/>
                    <w:autoSpaceDE w:val="0"/>
                    <w:autoSpaceDN w:val="0"/>
                    <w:spacing w:before="0" w:beforeAutospacing="0" w:after="0" w:afterAutospacing="0"/>
                    <w:ind w:left="0" w:right="0" w:firstLine="0" w:firstLineChars="0"/>
                    <w:jc w:val="center"/>
                    <w:rPr>
                      <w:rFonts w:hint="eastAsia" w:cs="Times New Roman"/>
                      <w:color w:val="auto"/>
                      <w:kern w:val="0"/>
                      <w:sz w:val="18"/>
                      <w:szCs w:val="18"/>
                      <w:highlight w:val="none"/>
                      <w:lang w:eastAsia="zh-CN"/>
                    </w:rPr>
                  </w:pPr>
                  <w:r>
                    <w:rPr>
                      <w:rFonts w:hint="eastAsia" w:cs="Times New Roman"/>
                      <w:color w:val="auto"/>
                      <w:kern w:val="0"/>
                      <w:sz w:val="18"/>
                      <w:szCs w:val="18"/>
                      <w:highlight w:val="none"/>
                      <w:lang w:eastAsia="zh-CN"/>
                    </w:rPr>
                    <w:t>年有效剂量mSv/a</w:t>
                  </w:r>
                </w:p>
              </w:tc>
              <w:tc>
                <w:tcPr>
                  <w:tcW w:w="1528" w:type="dxa"/>
                  <w:tcBorders>
                    <w:tl2br w:val="nil"/>
                    <w:tr2bl w:val="nil"/>
                  </w:tcBorders>
                  <w:noWrap w:val="0"/>
                  <w:vAlign w:val="center"/>
                </w:tcPr>
                <w:p w14:paraId="1ADFF4EB">
                  <w:pPr>
                    <w:keepNext w:val="0"/>
                    <w:keepLines w:val="0"/>
                    <w:suppressLineNumbers w:val="0"/>
                    <w:autoSpaceDE w:val="0"/>
                    <w:autoSpaceDN w:val="0"/>
                    <w:spacing w:before="0" w:beforeAutospacing="0" w:after="0" w:afterAutospacing="0"/>
                    <w:ind w:left="0" w:right="0" w:firstLine="0" w:firstLineChars="0"/>
                    <w:jc w:val="center"/>
                    <w:rPr>
                      <w:rFonts w:hint="default" w:cs="Times New Roman"/>
                      <w:color w:val="auto"/>
                      <w:kern w:val="0"/>
                      <w:sz w:val="18"/>
                      <w:szCs w:val="18"/>
                      <w:highlight w:val="none"/>
                      <w:lang w:val="en-US" w:eastAsia="zh-CN"/>
                    </w:rPr>
                  </w:pPr>
                  <w:r>
                    <w:rPr>
                      <w:rFonts w:hint="eastAsia" w:cs="Times New Roman"/>
                      <w:color w:val="auto"/>
                      <w:kern w:val="0"/>
                      <w:sz w:val="18"/>
                      <w:szCs w:val="18"/>
                      <w:highlight w:val="none"/>
                      <w:lang w:val="en-US" w:eastAsia="zh-CN"/>
                    </w:rPr>
                    <w:t>叠加结果</w:t>
                  </w:r>
                </w:p>
              </w:tc>
            </w:tr>
            <w:tr w14:paraId="44A1B4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624" w:type="dxa"/>
                  <w:tcBorders>
                    <w:tl2br w:val="nil"/>
                    <w:tr2bl w:val="nil"/>
                  </w:tcBorders>
                  <w:shd w:val="clear" w:color="auto" w:fill="auto"/>
                  <w:noWrap w:val="0"/>
                  <w:vAlign w:val="center"/>
                </w:tcPr>
                <w:p w14:paraId="6009D00A">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A</w:t>
                  </w:r>
                </w:p>
              </w:tc>
              <w:tc>
                <w:tcPr>
                  <w:tcW w:w="3010" w:type="dxa"/>
                  <w:tcBorders>
                    <w:tl2br w:val="nil"/>
                    <w:tr2bl w:val="nil"/>
                  </w:tcBorders>
                  <w:shd w:val="clear" w:color="auto" w:fill="auto"/>
                  <w:noWrap w:val="0"/>
                  <w:vAlign w:val="center"/>
                </w:tcPr>
                <w:p w14:paraId="07E5D362">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北侧防护墙外30cm 处</w:t>
                  </w:r>
                </w:p>
              </w:tc>
              <w:tc>
                <w:tcPr>
                  <w:tcW w:w="1223" w:type="dxa"/>
                  <w:tcBorders>
                    <w:tl2br w:val="nil"/>
                    <w:tr2bl w:val="nil"/>
                  </w:tcBorders>
                  <w:noWrap w:val="0"/>
                  <w:vAlign w:val="center"/>
                </w:tcPr>
                <w:p w14:paraId="2A64E799">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公众</w:t>
                  </w:r>
                </w:p>
              </w:tc>
              <w:tc>
                <w:tcPr>
                  <w:tcW w:w="1564" w:type="dxa"/>
                  <w:tcBorders>
                    <w:tl2br w:val="nil"/>
                    <w:tr2bl w:val="nil"/>
                  </w:tcBorders>
                  <w:shd w:val="clear" w:color="auto" w:fill="auto"/>
                  <w:noWrap w:val="0"/>
                  <w:vAlign w:val="center"/>
                </w:tcPr>
                <w:p w14:paraId="5FF55E4B">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1.91E-11</w:t>
                  </w:r>
                </w:p>
              </w:tc>
              <w:tc>
                <w:tcPr>
                  <w:tcW w:w="1528" w:type="dxa"/>
                  <w:tcBorders>
                    <w:tl2br w:val="nil"/>
                    <w:tr2bl w:val="nil"/>
                  </w:tcBorders>
                  <w:shd w:val="clear" w:color="auto" w:fill="auto"/>
                  <w:noWrap w:val="0"/>
                  <w:vAlign w:val="center"/>
                </w:tcPr>
                <w:p w14:paraId="60427FA1">
                  <w:pPr>
                    <w:keepNext w:val="0"/>
                    <w:keepLines w:val="0"/>
                    <w:widowControl/>
                    <w:suppressLineNumbers w:val="0"/>
                    <w:spacing w:before="0" w:beforeLines="0" w:beforeAutospacing="0" w:after="0" w:afterLines="0" w:afterAutospacing="0"/>
                    <w:ind w:left="0" w:leftChars="0" w:right="0" w:rightChars="0"/>
                    <w:jc w:val="center"/>
                    <w:textAlignment w:val="center"/>
                    <w:rPr>
                      <w:rFonts w:hint="eastAsia" w:ascii="Times New Roman" w:hAnsi="Times New Roman" w:eastAsia="宋体"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4.51E-04</w:t>
                  </w:r>
                </w:p>
              </w:tc>
              <w:tc>
                <w:tcPr>
                  <w:tcW w:w="1528" w:type="dxa"/>
                  <w:tcBorders>
                    <w:tl2br w:val="nil"/>
                    <w:tr2bl w:val="nil"/>
                  </w:tcBorders>
                  <w:shd w:val="clear" w:color="auto" w:fill="auto"/>
                  <w:noWrap w:val="0"/>
                  <w:vAlign w:val="center"/>
                </w:tcPr>
                <w:p w14:paraId="490340D5">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4.51E-04</w:t>
                  </w:r>
                </w:p>
              </w:tc>
            </w:tr>
            <w:tr w14:paraId="2C55FE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624" w:type="dxa"/>
                  <w:shd w:val="clear" w:color="auto" w:fill="auto"/>
                  <w:vAlign w:val="center"/>
                </w:tcPr>
                <w:p w14:paraId="7720C836">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B</w:t>
                  </w:r>
                </w:p>
              </w:tc>
              <w:tc>
                <w:tcPr>
                  <w:tcW w:w="3010" w:type="dxa"/>
                  <w:shd w:val="clear" w:color="auto" w:fill="auto"/>
                  <w:vAlign w:val="center"/>
                </w:tcPr>
                <w:p w14:paraId="3AE2CF2E">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东侧控制室铅玻璃外 30cm 处</w:t>
                  </w:r>
                </w:p>
              </w:tc>
              <w:tc>
                <w:tcPr>
                  <w:tcW w:w="1223" w:type="dxa"/>
                  <w:vAlign w:val="center"/>
                </w:tcPr>
                <w:p w14:paraId="45E11D2F">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职业</w:t>
                  </w:r>
                </w:p>
              </w:tc>
              <w:tc>
                <w:tcPr>
                  <w:tcW w:w="1564" w:type="dxa"/>
                  <w:shd w:val="clear" w:color="auto" w:fill="auto"/>
                  <w:vAlign w:val="center"/>
                </w:tcPr>
                <w:p w14:paraId="3D464BFF">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1.62E-10</w:t>
                  </w:r>
                </w:p>
              </w:tc>
              <w:tc>
                <w:tcPr>
                  <w:tcW w:w="1528" w:type="dxa"/>
                  <w:shd w:val="clear" w:color="auto" w:fill="auto"/>
                  <w:vAlign w:val="center"/>
                </w:tcPr>
                <w:p w14:paraId="208C4947">
                  <w:pPr>
                    <w:keepNext w:val="0"/>
                    <w:keepLines w:val="0"/>
                    <w:widowControl/>
                    <w:suppressLineNumbers w:val="0"/>
                    <w:spacing w:before="0" w:beforeLines="0" w:beforeAutospacing="0" w:after="0" w:afterLines="0" w:afterAutospacing="0"/>
                    <w:ind w:left="0" w:leftChars="0" w:right="0" w:rightChars="0"/>
                    <w:jc w:val="center"/>
                    <w:textAlignment w:val="center"/>
                    <w:rPr>
                      <w:rFonts w:hint="eastAsia" w:ascii="Times New Roman" w:hAnsi="Times New Roman" w:eastAsia="宋体"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3.84E-03</w:t>
                  </w:r>
                </w:p>
              </w:tc>
              <w:tc>
                <w:tcPr>
                  <w:tcW w:w="1528" w:type="dxa"/>
                  <w:shd w:val="clear" w:color="auto" w:fill="auto"/>
                  <w:vAlign w:val="center"/>
                </w:tcPr>
                <w:p w14:paraId="241B1BAF">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3.84E-03</w:t>
                  </w:r>
                </w:p>
              </w:tc>
            </w:tr>
            <w:tr w14:paraId="7FEE8A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624" w:type="dxa"/>
                  <w:shd w:val="clear" w:color="auto" w:fill="auto"/>
                  <w:vAlign w:val="center"/>
                </w:tcPr>
                <w:p w14:paraId="751B4A75">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C</w:t>
                  </w:r>
                </w:p>
              </w:tc>
              <w:tc>
                <w:tcPr>
                  <w:tcW w:w="3010" w:type="dxa"/>
                  <w:shd w:val="clear" w:color="auto" w:fill="auto"/>
                  <w:vAlign w:val="center"/>
                </w:tcPr>
                <w:p w14:paraId="7E18507C">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4#南侧防护墙外30cm 处</w:t>
                  </w:r>
                </w:p>
              </w:tc>
              <w:tc>
                <w:tcPr>
                  <w:tcW w:w="1223" w:type="dxa"/>
                  <w:vAlign w:val="center"/>
                </w:tcPr>
                <w:p w14:paraId="7B930C9F">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1564" w:type="dxa"/>
                  <w:shd w:val="clear" w:color="auto" w:fill="auto"/>
                  <w:vAlign w:val="center"/>
                </w:tcPr>
                <w:p w14:paraId="17D82D9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1.91E-11</w:t>
                  </w:r>
                </w:p>
              </w:tc>
              <w:tc>
                <w:tcPr>
                  <w:tcW w:w="1528" w:type="dxa"/>
                  <w:shd w:val="clear" w:color="auto" w:fill="auto"/>
                  <w:vAlign w:val="center"/>
                </w:tcPr>
                <w:p w14:paraId="3C435B8F">
                  <w:pPr>
                    <w:keepNext w:val="0"/>
                    <w:keepLines w:val="0"/>
                    <w:widowControl/>
                    <w:suppressLineNumbers w:val="0"/>
                    <w:spacing w:before="0" w:beforeLines="0" w:beforeAutospacing="0" w:after="0" w:afterLines="0" w:afterAutospacing="0"/>
                    <w:ind w:left="0" w:leftChars="0" w:right="0" w:rightChars="0"/>
                    <w:jc w:val="center"/>
                    <w:textAlignment w:val="center"/>
                    <w:rPr>
                      <w:rFonts w:hint="eastAsia" w:ascii="Times New Roman" w:hAnsi="Times New Roman" w:eastAsia="宋体"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4.51E-04</w:t>
                  </w:r>
                </w:p>
              </w:tc>
              <w:tc>
                <w:tcPr>
                  <w:tcW w:w="1528" w:type="dxa"/>
                  <w:shd w:val="clear" w:color="auto" w:fill="auto"/>
                  <w:vAlign w:val="center"/>
                </w:tcPr>
                <w:p w14:paraId="108C9524">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4.51E-04</w:t>
                  </w:r>
                </w:p>
              </w:tc>
            </w:tr>
            <w:tr w14:paraId="022BCB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624" w:type="dxa"/>
                  <w:shd w:val="clear" w:color="auto" w:fill="auto"/>
                  <w:vAlign w:val="center"/>
                </w:tcPr>
                <w:p w14:paraId="151DFC80">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D</w:t>
                  </w:r>
                </w:p>
              </w:tc>
              <w:tc>
                <w:tcPr>
                  <w:tcW w:w="3010" w:type="dxa"/>
                  <w:shd w:val="clear" w:color="auto" w:fill="auto"/>
                  <w:vAlign w:val="center"/>
                </w:tcPr>
                <w:p w14:paraId="433899E3">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5#西侧防护墙外30cm 处</w:t>
                  </w:r>
                </w:p>
              </w:tc>
              <w:tc>
                <w:tcPr>
                  <w:tcW w:w="1223" w:type="dxa"/>
                  <w:vAlign w:val="center"/>
                </w:tcPr>
                <w:p w14:paraId="26F22861">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1564" w:type="dxa"/>
                  <w:shd w:val="clear" w:color="auto" w:fill="auto"/>
                  <w:vAlign w:val="center"/>
                </w:tcPr>
                <w:p w14:paraId="3F8EA4E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4.06E-11</w:t>
                  </w:r>
                </w:p>
              </w:tc>
              <w:tc>
                <w:tcPr>
                  <w:tcW w:w="1528" w:type="dxa"/>
                  <w:shd w:val="clear" w:color="auto" w:fill="auto"/>
                  <w:vAlign w:val="center"/>
                </w:tcPr>
                <w:p w14:paraId="6E335FB6">
                  <w:pPr>
                    <w:keepNext w:val="0"/>
                    <w:keepLines w:val="0"/>
                    <w:widowControl/>
                    <w:suppressLineNumbers w:val="0"/>
                    <w:spacing w:before="0" w:beforeLines="0" w:beforeAutospacing="0" w:after="0" w:afterLines="0" w:afterAutospacing="0"/>
                    <w:ind w:left="0" w:leftChars="0" w:right="0" w:rightChars="0"/>
                    <w:jc w:val="center"/>
                    <w:textAlignment w:val="center"/>
                    <w:rPr>
                      <w:rFonts w:hint="eastAsia" w:ascii="Times New Roman" w:hAnsi="Times New Roman" w:eastAsia="宋体"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9.60E-04</w:t>
                  </w:r>
                </w:p>
              </w:tc>
              <w:tc>
                <w:tcPr>
                  <w:tcW w:w="1528" w:type="dxa"/>
                  <w:shd w:val="clear" w:color="auto" w:fill="auto"/>
                  <w:vAlign w:val="center"/>
                </w:tcPr>
                <w:p w14:paraId="18FFE33F">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9.60E-04</w:t>
                  </w:r>
                </w:p>
              </w:tc>
            </w:tr>
            <w:tr w14:paraId="5DCC5B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624" w:type="dxa"/>
                  <w:shd w:val="clear" w:color="auto" w:fill="auto"/>
                  <w:vAlign w:val="center"/>
                </w:tcPr>
                <w:p w14:paraId="52E332C3">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E</w:t>
                  </w:r>
                </w:p>
              </w:tc>
              <w:tc>
                <w:tcPr>
                  <w:tcW w:w="3010" w:type="dxa"/>
                  <w:shd w:val="clear" w:color="auto" w:fill="auto"/>
                  <w:vAlign w:val="center"/>
                </w:tcPr>
                <w:p w14:paraId="7DD20600">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6#西侧防护门外30cm 处</w:t>
                  </w:r>
                </w:p>
              </w:tc>
              <w:tc>
                <w:tcPr>
                  <w:tcW w:w="1223" w:type="dxa"/>
                  <w:vAlign w:val="center"/>
                </w:tcPr>
                <w:p w14:paraId="01BB30A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1564" w:type="dxa"/>
                  <w:shd w:val="clear" w:color="auto" w:fill="auto"/>
                  <w:vAlign w:val="center"/>
                </w:tcPr>
                <w:p w14:paraId="7EC9751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4.06E-11</w:t>
                  </w:r>
                </w:p>
              </w:tc>
              <w:tc>
                <w:tcPr>
                  <w:tcW w:w="1528" w:type="dxa"/>
                  <w:shd w:val="clear" w:color="auto" w:fill="auto"/>
                  <w:vAlign w:val="center"/>
                </w:tcPr>
                <w:p w14:paraId="182412E6">
                  <w:pPr>
                    <w:keepNext w:val="0"/>
                    <w:keepLines w:val="0"/>
                    <w:widowControl/>
                    <w:suppressLineNumbers w:val="0"/>
                    <w:spacing w:before="0" w:beforeLines="0" w:beforeAutospacing="0" w:after="0" w:afterLines="0" w:afterAutospacing="0"/>
                    <w:ind w:left="0" w:leftChars="0" w:right="0" w:rightChars="0"/>
                    <w:jc w:val="center"/>
                    <w:textAlignment w:val="center"/>
                    <w:rPr>
                      <w:rFonts w:hint="eastAsia" w:ascii="Times New Roman" w:hAnsi="Times New Roman" w:eastAsia="宋体"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9.60E-04</w:t>
                  </w:r>
                </w:p>
              </w:tc>
              <w:tc>
                <w:tcPr>
                  <w:tcW w:w="1528" w:type="dxa"/>
                  <w:shd w:val="clear" w:color="auto" w:fill="auto"/>
                  <w:vAlign w:val="center"/>
                </w:tcPr>
                <w:p w14:paraId="5197C519">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9.60E-04</w:t>
                  </w:r>
                </w:p>
              </w:tc>
            </w:tr>
            <w:tr w14:paraId="412EBD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624" w:type="dxa"/>
                  <w:shd w:val="clear" w:color="auto" w:fill="auto"/>
                  <w:vAlign w:val="center"/>
                </w:tcPr>
                <w:p w14:paraId="3FB52812">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F</w:t>
                  </w:r>
                </w:p>
              </w:tc>
              <w:tc>
                <w:tcPr>
                  <w:tcW w:w="3010" w:type="dxa"/>
                  <w:shd w:val="clear" w:color="auto" w:fill="auto"/>
                  <w:vAlign w:val="center"/>
                </w:tcPr>
                <w:p w14:paraId="620DBA97">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术者位1</w:t>
                  </w:r>
                </w:p>
              </w:tc>
              <w:tc>
                <w:tcPr>
                  <w:tcW w:w="1223" w:type="dxa"/>
                  <w:vAlign w:val="center"/>
                </w:tcPr>
                <w:p w14:paraId="767638D4">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职业</w:t>
                  </w:r>
                </w:p>
              </w:tc>
              <w:tc>
                <w:tcPr>
                  <w:tcW w:w="1564" w:type="dxa"/>
                  <w:shd w:val="clear" w:color="auto" w:fill="auto"/>
                  <w:vAlign w:val="center"/>
                </w:tcPr>
                <w:p w14:paraId="61A32F9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1.49E-09</w:t>
                  </w:r>
                </w:p>
              </w:tc>
              <w:tc>
                <w:tcPr>
                  <w:tcW w:w="1528" w:type="dxa"/>
                  <w:shd w:val="clear" w:color="auto" w:fill="auto"/>
                  <w:vAlign w:val="center"/>
                </w:tcPr>
                <w:p w14:paraId="6D60A42C">
                  <w:pPr>
                    <w:keepNext w:val="0"/>
                    <w:keepLines w:val="0"/>
                    <w:widowControl/>
                    <w:suppressLineNumbers w:val="0"/>
                    <w:spacing w:before="0" w:beforeLines="0" w:beforeAutospacing="0" w:after="0" w:afterLines="0" w:afterAutospacing="0"/>
                    <w:ind w:left="0" w:leftChars="0" w:right="0" w:rightChars="0"/>
                    <w:jc w:val="center"/>
                    <w:textAlignment w:val="center"/>
                    <w:rPr>
                      <w:rFonts w:hint="eastAsia" w:ascii="Times New Roman" w:hAnsi="Times New Roman" w:eastAsia="宋体" w:cs="Times New Roman"/>
                      <w:color w:val="auto"/>
                      <w:sz w:val="20"/>
                      <w:szCs w:val="20"/>
                      <w:highlight w:val="none"/>
                      <w:lang w:val="en-US" w:eastAsia="zh-CN" w:bidi="ar"/>
                    </w:rPr>
                  </w:pPr>
                  <w:r>
                    <w:rPr>
                      <w:rFonts w:hint="eastAsia" w:ascii="Times New Roman" w:hAnsi="Times New Roman" w:cs="Times New Roman"/>
                      <w:b/>
                      <w:bCs/>
                      <w:color w:val="auto"/>
                      <w:sz w:val="20"/>
                      <w:szCs w:val="20"/>
                      <w:highlight w:val="none"/>
                      <w:lang w:val="en-US" w:eastAsia="zh-CN" w:bidi="ar"/>
                    </w:rPr>
                    <w:t>3.27E-01</w:t>
                  </w:r>
                </w:p>
              </w:tc>
              <w:tc>
                <w:tcPr>
                  <w:tcW w:w="1528" w:type="dxa"/>
                  <w:shd w:val="clear" w:color="auto" w:fill="auto"/>
                  <w:vAlign w:val="center"/>
                </w:tcPr>
                <w:p w14:paraId="52416237">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b/>
                      <w:bCs/>
                      <w:color w:val="auto"/>
                      <w:sz w:val="20"/>
                      <w:szCs w:val="20"/>
                      <w:highlight w:val="none"/>
                      <w:lang w:val="en-US" w:eastAsia="zh-CN" w:bidi="ar"/>
                    </w:rPr>
                    <w:t>3.27E-01</w:t>
                  </w:r>
                </w:p>
              </w:tc>
            </w:tr>
            <w:tr w14:paraId="3234C9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624" w:type="dxa"/>
                  <w:shd w:val="clear" w:color="auto" w:fill="auto"/>
                  <w:vAlign w:val="center"/>
                </w:tcPr>
                <w:p w14:paraId="670C7D61">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G</w:t>
                  </w:r>
                </w:p>
              </w:tc>
              <w:tc>
                <w:tcPr>
                  <w:tcW w:w="3010" w:type="dxa"/>
                  <w:shd w:val="clear" w:color="auto" w:fill="auto"/>
                  <w:vAlign w:val="center"/>
                </w:tcPr>
                <w:p w14:paraId="0E42BF7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术者位2</w:t>
                  </w:r>
                </w:p>
              </w:tc>
              <w:tc>
                <w:tcPr>
                  <w:tcW w:w="1223" w:type="dxa"/>
                  <w:vAlign w:val="center"/>
                </w:tcPr>
                <w:p w14:paraId="53B11767">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职业</w:t>
                  </w:r>
                </w:p>
              </w:tc>
              <w:tc>
                <w:tcPr>
                  <w:tcW w:w="1564" w:type="dxa"/>
                  <w:shd w:val="clear" w:color="auto" w:fill="auto"/>
                  <w:vAlign w:val="center"/>
                </w:tcPr>
                <w:p w14:paraId="282FEC28">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2.10E-10</w:t>
                  </w:r>
                </w:p>
              </w:tc>
              <w:tc>
                <w:tcPr>
                  <w:tcW w:w="1528" w:type="dxa"/>
                  <w:shd w:val="clear" w:color="auto" w:fill="auto"/>
                  <w:vAlign w:val="center"/>
                </w:tcPr>
                <w:p w14:paraId="17FDD897">
                  <w:pPr>
                    <w:keepNext w:val="0"/>
                    <w:keepLines w:val="0"/>
                    <w:widowControl/>
                    <w:suppressLineNumbers w:val="0"/>
                    <w:spacing w:before="0" w:beforeLines="0" w:beforeAutospacing="0" w:after="0" w:afterLines="0" w:afterAutospacing="0"/>
                    <w:ind w:left="0" w:leftChars="0" w:right="0" w:rightChars="0"/>
                    <w:jc w:val="center"/>
                    <w:textAlignment w:val="center"/>
                    <w:rPr>
                      <w:rFonts w:hint="eastAsia" w:ascii="Times New Roman" w:hAnsi="Times New Roman" w:eastAsia="宋体"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4.59E-02</w:t>
                  </w:r>
                </w:p>
              </w:tc>
              <w:tc>
                <w:tcPr>
                  <w:tcW w:w="1528" w:type="dxa"/>
                  <w:shd w:val="clear" w:color="auto" w:fill="auto"/>
                  <w:vAlign w:val="center"/>
                </w:tcPr>
                <w:p w14:paraId="0EB8B762">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4.59E-02</w:t>
                  </w:r>
                </w:p>
              </w:tc>
            </w:tr>
            <w:tr w14:paraId="008F8D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624" w:type="dxa"/>
                  <w:shd w:val="clear" w:color="auto" w:fill="auto"/>
                  <w:vAlign w:val="center"/>
                </w:tcPr>
                <w:p w14:paraId="20628583">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H</w:t>
                  </w:r>
                </w:p>
              </w:tc>
              <w:tc>
                <w:tcPr>
                  <w:tcW w:w="3010" w:type="dxa"/>
                  <w:shd w:val="clear" w:color="auto" w:fill="auto"/>
                  <w:vAlign w:val="center"/>
                </w:tcPr>
                <w:p w14:paraId="1F122AA0">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顶棚上方距顶棚地面 100cm 处</w:t>
                  </w:r>
                </w:p>
              </w:tc>
              <w:tc>
                <w:tcPr>
                  <w:tcW w:w="1223" w:type="dxa"/>
                  <w:vAlign w:val="center"/>
                </w:tcPr>
                <w:p w14:paraId="4F52B47A">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1564" w:type="dxa"/>
                  <w:shd w:val="clear" w:color="auto" w:fill="auto"/>
                  <w:vAlign w:val="center"/>
                </w:tcPr>
                <w:p w14:paraId="5DEA925C">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1.70E-11</w:t>
                  </w:r>
                </w:p>
              </w:tc>
              <w:tc>
                <w:tcPr>
                  <w:tcW w:w="1528" w:type="dxa"/>
                  <w:shd w:val="clear" w:color="auto" w:fill="auto"/>
                  <w:vAlign w:val="center"/>
                </w:tcPr>
                <w:p w14:paraId="6AB43CB4">
                  <w:pPr>
                    <w:keepNext w:val="0"/>
                    <w:keepLines w:val="0"/>
                    <w:widowControl/>
                    <w:suppressLineNumbers w:val="0"/>
                    <w:spacing w:before="0" w:beforeLines="0" w:beforeAutospacing="0" w:after="0" w:afterLines="0" w:afterAutospacing="0"/>
                    <w:ind w:left="0" w:leftChars="0" w:right="0" w:rightChars="0"/>
                    <w:jc w:val="center"/>
                    <w:textAlignment w:val="center"/>
                    <w:rPr>
                      <w:rFonts w:hint="eastAsia" w:ascii="Times New Roman" w:hAnsi="Times New Roman" w:eastAsia="宋体"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4.02E-04</w:t>
                  </w:r>
                </w:p>
              </w:tc>
              <w:tc>
                <w:tcPr>
                  <w:tcW w:w="1528" w:type="dxa"/>
                  <w:shd w:val="clear" w:color="auto" w:fill="auto"/>
                  <w:vAlign w:val="center"/>
                </w:tcPr>
                <w:p w14:paraId="24ED4BED">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4.02E-04</w:t>
                  </w:r>
                </w:p>
              </w:tc>
            </w:tr>
            <w:tr w14:paraId="20CE39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624" w:type="dxa"/>
                  <w:shd w:val="clear" w:color="auto" w:fill="auto"/>
                  <w:vAlign w:val="center"/>
                </w:tcPr>
                <w:p w14:paraId="4F85F339">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I</w:t>
                  </w:r>
                </w:p>
              </w:tc>
              <w:tc>
                <w:tcPr>
                  <w:tcW w:w="3010" w:type="dxa"/>
                  <w:shd w:val="clear" w:color="auto" w:fill="auto"/>
                  <w:vAlign w:val="center"/>
                </w:tcPr>
                <w:p w14:paraId="1A6DA92D">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地面下方距楼下地面 170cm 处</w:t>
                  </w:r>
                </w:p>
              </w:tc>
              <w:tc>
                <w:tcPr>
                  <w:tcW w:w="1223" w:type="dxa"/>
                  <w:vAlign w:val="center"/>
                </w:tcPr>
                <w:p w14:paraId="169BCAD4">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bidi="ar"/>
                    </w:rPr>
                  </w:pPr>
                  <w:r>
                    <w:rPr>
                      <w:rFonts w:hint="default" w:ascii="Times New Roman" w:hAnsi="Times New Roman" w:cs="Times New Roman"/>
                      <w:color w:val="auto"/>
                      <w:sz w:val="20"/>
                      <w:szCs w:val="20"/>
                      <w:highlight w:val="none"/>
                      <w:lang w:val="en-US" w:eastAsia="zh-CN" w:bidi="ar"/>
                    </w:rPr>
                    <w:t>公众</w:t>
                  </w:r>
                </w:p>
              </w:tc>
              <w:tc>
                <w:tcPr>
                  <w:tcW w:w="1564" w:type="dxa"/>
                  <w:shd w:val="clear" w:color="auto" w:fill="auto"/>
                  <w:vAlign w:val="center"/>
                </w:tcPr>
                <w:p w14:paraId="320906D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4.14E-11</w:t>
                  </w:r>
                </w:p>
              </w:tc>
              <w:tc>
                <w:tcPr>
                  <w:tcW w:w="1528" w:type="dxa"/>
                  <w:shd w:val="clear" w:color="auto" w:fill="auto"/>
                  <w:vAlign w:val="center"/>
                </w:tcPr>
                <w:p w14:paraId="7DA7D370">
                  <w:pPr>
                    <w:keepNext w:val="0"/>
                    <w:keepLines w:val="0"/>
                    <w:widowControl/>
                    <w:suppressLineNumbers w:val="0"/>
                    <w:spacing w:before="0" w:beforeLines="0" w:beforeAutospacing="0" w:after="0" w:afterLines="0" w:afterAutospacing="0"/>
                    <w:ind w:left="0" w:leftChars="0" w:right="0" w:rightChars="0"/>
                    <w:jc w:val="center"/>
                    <w:textAlignment w:val="center"/>
                    <w:rPr>
                      <w:rFonts w:hint="eastAsia" w:ascii="Times New Roman" w:hAnsi="Times New Roman" w:eastAsia="宋体"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9.83E-04</w:t>
                  </w:r>
                </w:p>
              </w:tc>
              <w:tc>
                <w:tcPr>
                  <w:tcW w:w="1528" w:type="dxa"/>
                  <w:shd w:val="clear" w:color="auto" w:fill="auto"/>
                  <w:vAlign w:val="center"/>
                </w:tcPr>
                <w:p w14:paraId="7EE5701A">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9.83E-04</w:t>
                  </w:r>
                </w:p>
              </w:tc>
            </w:tr>
            <w:tr w14:paraId="1DD42F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3" w:hRule="atLeast"/>
                <w:jc w:val="center"/>
              </w:trPr>
              <w:tc>
                <w:tcPr>
                  <w:tcW w:w="624" w:type="dxa"/>
                  <w:vMerge w:val="restart"/>
                  <w:shd w:val="clear" w:color="auto" w:fill="auto"/>
                  <w:vAlign w:val="center"/>
                </w:tcPr>
                <w:p w14:paraId="09E352B4">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J</w:t>
                  </w:r>
                </w:p>
              </w:tc>
              <w:tc>
                <w:tcPr>
                  <w:tcW w:w="3010" w:type="dxa"/>
                  <w:vMerge w:val="restart"/>
                  <w:shd w:val="clear" w:color="auto" w:fill="auto"/>
                  <w:vAlign w:val="center"/>
                </w:tcPr>
                <w:p w14:paraId="4D3A2D21">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bidi="ar"/>
                    </w:rPr>
                    <w:t>Y-90运输铅罐表面30cm</w:t>
                  </w:r>
                </w:p>
              </w:tc>
              <w:tc>
                <w:tcPr>
                  <w:tcW w:w="1223" w:type="dxa"/>
                  <w:shd w:val="clear" w:color="auto" w:fill="auto"/>
                  <w:vAlign w:val="center"/>
                </w:tcPr>
                <w:p w14:paraId="15CF1F3D">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default" w:ascii="Times New Roman" w:hAnsi="Times New Roman" w:cs="Times New Roman"/>
                      <w:color w:val="auto"/>
                      <w:sz w:val="20"/>
                      <w:szCs w:val="20"/>
                      <w:highlight w:val="none"/>
                      <w:lang w:val="en-US" w:eastAsia="zh-CN" w:bidi="ar"/>
                    </w:rPr>
                    <w:t>职业</w:t>
                  </w:r>
                </w:p>
              </w:tc>
              <w:tc>
                <w:tcPr>
                  <w:tcW w:w="1564" w:type="dxa"/>
                  <w:shd w:val="clear" w:color="auto" w:fill="auto"/>
                  <w:vAlign w:val="center"/>
                </w:tcPr>
                <w:p w14:paraId="533F4524">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1.49E-20</w:t>
                  </w:r>
                </w:p>
              </w:tc>
              <w:tc>
                <w:tcPr>
                  <w:tcW w:w="1528" w:type="dxa"/>
                  <w:shd w:val="clear" w:color="auto" w:fill="auto"/>
                  <w:vAlign w:val="center"/>
                </w:tcPr>
                <w:p w14:paraId="1799A9F1">
                  <w:pPr>
                    <w:keepNext w:val="0"/>
                    <w:keepLines w:val="0"/>
                    <w:widowControl/>
                    <w:suppressLineNumbers w:val="0"/>
                    <w:spacing w:before="0" w:beforeLines="0" w:beforeAutospacing="0" w:after="0" w:afterLines="0" w:afterAutospacing="0"/>
                    <w:ind w:left="0" w:leftChars="0" w:right="0" w:rightChars="0"/>
                    <w:jc w:val="center"/>
                    <w:textAlignment w:val="center"/>
                    <w:rPr>
                      <w:rFonts w:hint="eastAsia" w:ascii="Times New Roman" w:hAnsi="Times New Roman" w:eastAsia="宋体"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4.74E-02</w:t>
                  </w:r>
                </w:p>
              </w:tc>
              <w:tc>
                <w:tcPr>
                  <w:tcW w:w="1528" w:type="dxa"/>
                  <w:shd w:val="clear" w:color="auto" w:fill="auto"/>
                  <w:vAlign w:val="center"/>
                </w:tcPr>
                <w:p w14:paraId="6C5EDAEB">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color w:val="auto"/>
                      <w:sz w:val="20"/>
                      <w:szCs w:val="20"/>
                      <w:highlight w:val="none"/>
                      <w:lang w:val="en-US" w:eastAsia="zh-CN" w:bidi="ar"/>
                    </w:rPr>
                    <w:t>4.74E-02</w:t>
                  </w:r>
                </w:p>
              </w:tc>
            </w:tr>
            <w:tr w14:paraId="4DB2092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20" w:hRule="atLeast"/>
                <w:jc w:val="center"/>
              </w:trPr>
              <w:tc>
                <w:tcPr>
                  <w:tcW w:w="624" w:type="dxa"/>
                  <w:vMerge w:val="continue"/>
                  <w:vAlign w:val="center"/>
                </w:tcPr>
                <w:p w14:paraId="144A95BD">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p>
              </w:tc>
              <w:tc>
                <w:tcPr>
                  <w:tcW w:w="3010" w:type="dxa"/>
                  <w:vMerge w:val="continue"/>
                  <w:vAlign w:val="center"/>
                </w:tcPr>
                <w:p w14:paraId="47670732">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p>
              </w:tc>
              <w:tc>
                <w:tcPr>
                  <w:tcW w:w="1223" w:type="dxa"/>
                  <w:shd w:val="clear" w:color="auto" w:fill="auto"/>
                  <w:vAlign w:val="center"/>
                </w:tcPr>
                <w:p w14:paraId="71E625DB">
                  <w:pPr>
                    <w:keepNext w:val="0"/>
                    <w:keepLines w:val="0"/>
                    <w:widowControl/>
                    <w:suppressLineNumbers w:val="0"/>
                    <w:spacing w:before="0" w:beforeLines="0" w:beforeAutospacing="0" w:after="0" w:afterLines="0" w:afterAutospacing="0"/>
                    <w:ind w:left="0" w:right="0"/>
                    <w:jc w:val="center"/>
                    <w:textAlignment w:val="center"/>
                    <w:rPr>
                      <w:rFonts w:hint="default" w:ascii="Times New Roman" w:hAnsi="Times New Roman" w:cs="Times New Roman"/>
                      <w:color w:val="auto"/>
                      <w:sz w:val="20"/>
                      <w:szCs w:val="20"/>
                      <w:highlight w:val="none"/>
                      <w:lang w:val="en-US" w:eastAsia="zh-CN" w:bidi="ar"/>
                    </w:rPr>
                  </w:pPr>
                  <w:r>
                    <w:rPr>
                      <w:rFonts w:hint="default" w:ascii="Times New Roman" w:hAnsi="Times New Roman" w:cs="Times New Roman"/>
                      <w:color w:val="auto"/>
                      <w:sz w:val="20"/>
                      <w:szCs w:val="20"/>
                      <w:highlight w:val="none"/>
                      <w:lang w:val="en-US" w:eastAsia="zh-CN" w:bidi="ar"/>
                    </w:rPr>
                    <w:t>公众</w:t>
                  </w:r>
                </w:p>
              </w:tc>
              <w:tc>
                <w:tcPr>
                  <w:tcW w:w="1564" w:type="dxa"/>
                  <w:shd w:val="clear" w:color="auto" w:fill="auto"/>
                  <w:vAlign w:val="center"/>
                </w:tcPr>
                <w:p w14:paraId="223A557A">
                  <w:pPr>
                    <w:keepNext w:val="0"/>
                    <w:keepLines w:val="0"/>
                    <w:widowControl/>
                    <w:suppressLineNumbers w:val="0"/>
                    <w:spacing w:before="0" w:beforeAutospacing="0" w:after="0" w:afterAutospacing="0"/>
                    <w:ind w:left="0" w:leftChars="0" w:right="0" w:rightChars="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kern w:val="0"/>
                      <w:sz w:val="20"/>
                      <w:szCs w:val="20"/>
                      <w:highlight w:val="none"/>
                      <w:u w:val="none"/>
                      <w:lang w:val="en-US" w:eastAsia="zh-CN" w:bidi="ar"/>
                    </w:rPr>
                    <w:t>3.74E-21</w:t>
                  </w:r>
                </w:p>
              </w:tc>
              <w:tc>
                <w:tcPr>
                  <w:tcW w:w="1528" w:type="dxa"/>
                  <w:shd w:val="clear" w:color="auto" w:fill="auto"/>
                  <w:vAlign w:val="center"/>
                </w:tcPr>
                <w:p w14:paraId="2811B674">
                  <w:pPr>
                    <w:keepNext w:val="0"/>
                    <w:keepLines w:val="0"/>
                    <w:widowControl/>
                    <w:suppressLineNumbers w:val="0"/>
                    <w:spacing w:before="0" w:beforeLines="0" w:beforeAutospacing="0" w:after="0" w:afterLines="0" w:afterAutospacing="0"/>
                    <w:ind w:left="0" w:leftChars="0" w:right="0" w:rightChars="0"/>
                    <w:jc w:val="center"/>
                    <w:textAlignment w:val="center"/>
                    <w:rPr>
                      <w:rFonts w:hint="eastAsia" w:ascii="Times New Roman" w:hAnsi="Times New Roman" w:eastAsia="宋体" w:cs="Times New Roman"/>
                      <w:color w:val="auto"/>
                      <w:sz w:val="20"/>
                      <w:szCs w:val="20"/>
                      <w:highlight w:val="none"/>
                      <w:lang w:val="en-US" w:eastAsia="zh-CN" w:bidi="ar"/>
                    </w:rPr>
                  </w:pPr>
                  <w:r>
                    <w:rPr>
                      <w:rFonts w:hint="eastAsia" w:ascii="Times New Roman" w:hAnsi="Times New Roman" w:cs="Times New Roman"/>
                      <w:b/>
                      <w:bCs/>
                      <w:color w:val="auto"/>
                      <w:sz w:val="20"/>
                      <w:szCs w:val="20"/>
                      <w:highlight w:val="none"/>
                      <w:lang w:val="en-US" w:eastAsia="zh-CN" w:bidi="ar"/>
                    </w:rPr>
                    <w:t>1.19E-02</w:t>
                  </w:r>
                </w:p>
              </w:tc>
              <w:tc>
                <w:tcPr>
                  <w:tcW w:w="1528" w:type="dxa"/>
                  <w:shd w:val="clear" w:color="auto" w:fill="auto"/>
                  <w:vAlign w:val="center"/>
                </w:tcPr>
                <w:p w14:paraId="7703583B">
                  <w:pPr>
                    <w:keepNext w:val="0"/>
                    <w:keepLines w:val="0"/>
                    <w:widowControl/>
                    <w:suppressLineNumbers w:val="0"/>
                    <w:spacing w:before="0" w:beforeLines="0" w:beforeAutospacing="0" w:after="0" w:afterLines="0" w:afterAutospacing="0"/>
                    <w:ind w:left="0" w:right="0"/>
                    <w:jc w:val="center"/>
                    <w:textAlignment w:val="center"/>
                    <w:rPr>
                      <w:rFonts w:hint="eastAsia" w:ascii="Times New Roman" w:hAnsi="Times New Roman" w:cs="Times New Roman"/>
                      <w:color w:val="auto"/>
                      <w:sz w:val="20"/>
                      <w:szCs w:val="20"/>
                      <w:highlight w:val="none"/>
                      <w:lang w:val="en-US" w:eastAsia="zh-CN" w:bidi="ar"/>
                    </w:rPr>
                  </w:pPr>
                  <w:r>
                    <w:rPr>
                      <w:rFonts w:hint="eastAsia" w:ascii="Times New Roman" w:hAnsi="Times New Roman" w:cs="Times New Roman"/>
                      <w:b/>
                      <w:bCs/>
                      <w:color w:val="auto"/>
                      <w:sz w:val="20"/>
                      <w:szCs w:val="20"/>
                      <w:highlight w:val="none"/>
                      <w:lang w:val="en-US" w:eastAsia="zh-CN" w:bidi="ar"/>
                    </w:rPr>
                    <w:t>1.19E-02</w:t>
                  </w:r>
                </w:p>
              </w:tc>
            </w:tr>
          </w:tbl>
          <w:p w14:paraId="4C9AE5AC">
            <w:pPr>
              <w:keepNext w:val="0"/>
              <w:keepLines w:val="0"/>
              <w:suppressLineNumbers w:val="0"/>
              <w:spacing w:before="0" w:beforeLines="0" w:beforeAutospacing="0" w:after="0" w:afterLines="0" w:afterAutospacing="0" w:line="360" w:lineRule="auto"/>
              <w:ind w:left="0" w:right="0" w:firstLine="480" w:firstLineChars="200"/>
              <w:jc w:val="both"/>
              <w:rPr>
                <w:rFonts w:hint="eastAsia" w:ascii="Times New Roman" w:hAnsi="Times New Roman"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根据《新疆医科大学附属肿瘤医院新增数字减影血管造影机（DSA）项目环境影响报告表》中的结论：</w:t>
            </w:r>
            <w:r>
              <w:rPr>
                <w:rFonts w:hint="default" w:ascii="Times New Roman" w:hAnsi="Times New Roman" w:eastAsia="宋体" w:cs="Times New Roman"/>
                <w:color w:val="auto"/>
                <w:sz w:val="24"/>
                <w:szCs w:val="24"/>
                <w:highlight w:val="none"/>
                <w:lang w:val="en-US" w:eastAsia="zh-CN"/>
              </w:rPr>
              <w:t>本项目 DSA 射线装置在正常运行时，所致机房内职业人员年受照最大有效剂量为3.96E+00mSv，公众人员受照的有效剂量最大为1.79E-04mSv/a</w:t>
            </w:r>
            <w:r>
              <w:rPr>
                <w:rFonts w:hint="eastAsia" w:ascii="Times New Roman" w:hAnsi="Times New Roman" w:cs="Times New Roman"/>
                <w:color w:val="auto"/>
                <w:sz w:val="24"/>
                <w:szCs w:val="24"/>
                <w:highlight w:val="none"/>
                <w:lang w:val="en-US" w:eastAsia="zh-CN"/>
              </w:rPr>
              <w:t>。则本项目Y-90辐射工作人员叠加DSA辐射影响年有效剂量为3.27E-01+3.96E+00=4.29E+00mSv/a；公众人员1.19E-02+1.79E-04=1.21E-02mSv/a。</w:t>
            </w:r>
          </w:p>
          <w:p w14:paraId="0F605542">
            <w:pPr>
              <w:keepNext w:val="0"/>
              <w:keepLines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则由</w:t>
            </w:r>
            <w:r>
              <w:rPr>
                <w:rFonts w:hint="default" w:ascii="Times New Roman" w:hAnsi="Times New Roman" w:cs="Times New Roman"/>
                <w:color w:val="auto"/>
                <w:sz w:val="24"/>
                <w:szCs w:val="24"/>
                <w:highlight w:val="none"/>
                <w:lang w:val="en-US" w:eastAsia="zh-CN"/>
              </w:rPr>
              <w:t>计算结果可知，本项目</w:t>
            </w:r>
            <w:r>
              <w:rPr>
                <w:rFonts w:hint="eastAsia" w:ascii="Times New Roman" w:hAnsi="Times New Roman" w:cs="Times New Roman"/>
                <w:color w:val="auto"/>
                <w:sz w:val="24"/>
                <w:szCs w:val="24"/>
                <w:highlight w:val="none"/>
                <w:lang w:val="en-US" w:eastAsia="zh-CN"/>
              </w:rPr>
              <w:t>Y-90非密封源工作</w:t>
            </w:r>
            <w:r>
              <w:rPr>
                <w:rFonts w:hint="eastAsia" w:cs="Times New Roman"/>
                <w:color w:val="auto"/>
                <w:sz w:val="24"/>
                <w:szCs w:val="24"/>
                <w:highlight w:val="none"/>
                <w:lang w:val="en-US" w:eastAsia="zh-CN"/>
              </w:rPr>
              <w:t>场所</w:t>
            </w:r>
            <w:r>
              <w:rPr>
                <w:rFonts w:hint="default" w:ascii="Times New Roman" w:hAnsi="Times New Roman" w:cs="Times New Roman"/>
                <w:color w:val="auto"/>
                <w:sz w:val="24"/>
                <w:szCs w:val="24"/>
                <w:highlight w:val="none"/>
                <w:lang w:val="en-US" w:eastAsia="zh-CN"/>
              </w:rPr>
              <w:t>周围</w:t>
            </w:r>
            <w:r>
              <w:rPr>
                <w:rFonts w:hint="eastAsia" w:cs="Times New Roman"/>
                <w:color w:val="auto"/>
                <w:sz w:val="24"/>
                <w:szCs w:val="24"/>
                <w:highlight w:val="none"/>
                <w:lang w:val="en-US" w:eastAsia="zh-CN"/>
              </w:rPr>
              <w:t>的职业人员、</w:t>
            </w:r>
            <w:r>
              <w:rPr>
                <w:rFonts w:hint="default" w:ascii="Times New Roman" w:hAnsi="Times New Roman" w:cs="Times New Roman"/>
                <w:color w:val="auto"/>
                <w:sz w:val="24"/>
                <w:szCs w:val="24"/>
                <w:highlight w:val="none"/>
                <w:lang w:val="en-US" w:eastAsia="zh-CN"/>
              </w:rPr>
              <w:t>公众人员年有效剂量能满足《核医学辐射防护与安全要求》（HJ1188-2021）中规定的职业照射的剂量约束值不超过5mSv/a</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公众照射的剂量约束值不超过0.1mSv/a”限值要求。</w:t>
            </w:r>
          </w:p>
          <w:p w14:paraId="13AC0BAB">
            <w:pPr>
              <w:pStyle w:val="14"/>
              <w:keepNext w:val="0"/>
              <w:keepLines w:val="0"/>
              <w:suppressLineNumbers w:val="0"/>
              <w:spacing w:before="0" w:beforeAutospacing="0" w:after="0" w:afterAutospacing="0" w:line="360" w:lineRule="auto"/>
              <w:ind w:left="0" w:right="0"/>
              <w:jc w:val="both"/>
              <w:rPr>
                <w:rFonts w:hint="default" w:ascii="Times New Roman" w:hAnsi="Times New Roman" w:eastAsia="Times New Roman" w:cs="Times New Roman"/>
                <w:b/>
                <w:color w:val="auto"/>
                <w:sz w:val="24"/>
                <w:szCs w:val="24"/>
                <w:highlight w:val="none"/>
                <w:lang w:val="en-US" w:eastAsia="zh-CN"/>
              </w:rPr>
            </w:pPr>
            <w:r>
              <w:rPr>
                <w:rFonts w:hint="default" w:ascii="Times New Roman" w:hAnsi="Times New Roman" w:eastAsia="Times New Roman" w:cs="Times New Roman"/>
                <w:b/>
                <w:color w:val="auto"/>
                <w:sz w:val="24"/>
                <w:szCs w:val="24"/>
                <w:highlight w:val="none"/>
              </w:rPr>
              <w:t>11.2.</w:t>
            </w:r>
            <w:r>
              <w:rPr>
                <w:rFonts w:hint="eastAsia" w:ascii="Times New Roman" w:hAnsi="Times New Roman" w:eastAsia="Times New Roman" w:cs="Times New Roman"/>
                <w:b/>
                <w:color w:val="auto"/>
                <w:sz w:val="24"/>
                <w:szCs w:val="24"/>
                <w:highlight w:val="none"/>
                <w:lang w:val="en-US" w:eastAsia="zh-CN"/>
              </w:rPr>
              <w:t>3</w:t>
            </w:r>
            <w:r>
              <w:rPr>
                <w:rFonts w:hint="default" w:ascii="Times New Roman" w:hAnsi="Times New Roman" w:eastAsia="Times New Roman" w:cs="Times New Roman"/>
                <w:b/>
                <w:color w:val="auto"/>
                <w:sz w:val="24"/>
                <w:szCs w:val="24"/>
                <w:highlight w:val="none"/>
                <w:lang w:val="en-US" w:eastAsia="zh-CN"/>
              </w:rPr>
              <w:t xml:space="preserve"> 放射性三废环境影响分析</w:t>
            </w:r>
          </w:p>
          <w:p w14:paraId="47ADDD29">
            <w:pPr>
              <w:keepNext w:val="0"/>
              <w:keepLines w:val="0"/>
              <w:suppressLineNumbers w:val="0"/>
              <w:shd w:val="clear"/>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rPr>
            </w:pPr>
            <w:r>
              <w:rPr>
                <w:rFonts w:hint="eastAsia" w:cs="Times New Roman"/>
                <w:b/>
                <w:bCs w:val="0"/>
                <w:color w:val="auto"/>
                <w:kern w:val="0"/>
                <w:sz w:val="24"/>
                <w:szCs w:val="24"/>
                <w:highlight w:val="none"/>
                <w:lang w:val="en-US" w:eastAsia="zh-CN"/>
              </w:rPr>
              <w:t>11.2.3.</w:t>
            </w:r>
            <w:r>
              <w:rPr>
                <w:rFonts w:hint="default" w:ascii="Times New Roman" w:hAnsi="Times New Roman" w:eastAsia="宋体" w:cs="Times New Roman"/>
                <w:b/>
                <w:bCs w:val="0"/>
                <w:color w:val="auto"/>
                <w:kern w:val="0"/>
                <w:sz w:val="24"/>
                <w:szCs w:val="24"/>
                <w:highlight w:val="none"/>
                <w:lang w:val="en-US" w:eastAsia="zh-CN"/>
              </w:rPr>
              <w:t>1放射性废水</w:t>
            </w:r>
          </w:p>
          <w:p w14:paraId="7D22D129">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color w:val="auto"/>
                <w:highlight w:val="none"/>
              </w:rPr>
            </w:pPr>
            <w:r>
              <w:rPr>
                <w:rFonts w:hint="default" w:ascii="Times New Roman" w:hAnsi="Times New Roman" w:cs="Times New Roman"/>
                <w:b w:val="0"/>
                <w:bCs/>
                <w:color w:val="auto"/>
                <w:kern w:val="0"/>
                <w:sz w:val="24"/>
                <w:szCs w:val="24"/>
                <w:highlight w:val="none"/>
                <w:lang w:val="en-US" w:eastAsia="zh-CN"/>
              </w:rPr>
              <w:t>1）</w:t>
            </w:r>
            <w:r>
              <w:rPr>
                <w:rFonts w:hint="eastAsia" w:cs="Times New Roman"/>
                <w:b w:val="0"/>
                <w:bCs/>
                <w:color w:val="auto"/>
                <w:kern w:val="0"/>
                <w:sz w:val="24"/>
                <w:szCs w:val="24"/>
                <w:highlight w:val="none"/>
                <w:lang w:val="en-US" w:eastAsia="zh-CN"/>
              </w:rPr>
              <w:t>短</w:t>
            </w:r>
            <w:r>
              <w:rPr>
                <w:rFonts w:hint="default" w:ascii="Times New Roman" w:hAnsi="Times New Roman" w:cs="Times New Roman"/>
                <w:b w:val="0"/>
                <w:bCs/>
                <w:color w:val="auto"/>
                <w:kern w:val="0"/>
                <w:sz w:val="24"/>
                <w:szCs w:val="24"/>
                <w:highlight w:val="none"/>
                <w:lang w:val="en-US" w:eastAsia="zh-CN"/>
              </w:rPr>
              <w:t>半衰期</w:t>
            </w:r>
            <w:r>
              <w:rPr>
                <w:rFonts w:hint="default" w:ascii="Times New Roman" w:hAnsi="Times New Roman" w:eastAsia="宋体" w:cs="Times New Roman"/>
                <w:b w:val="0"/>
                <w:bCs/>
                <w:color w:val="auto"/>
                <w:kern w:val="0"/>
                <w:sz w:val="24"/>
                <w:szCs w:val="24"/>
                <w:highlight w:val="none"/>
                <w:lang w:val="en-US" w:eastAsia="zh-CN"/>
              </w:rPr>
              <w:t>放射性废水</w:t>
            </w:r>
          </w:p>
          <w:p w14:paraId="016A4E62">
            <w:pPr>
              <w:keepNext w:val="0"/>
              <w:keepLines w:val="0"/>
              <w:suppressLineNumbers w:val="0"/>
              <w:bidi w:val="0"/>
              <w:spacing w:before="0" w:beforeAutospacing="0" w:after="0" w:afterAutospacing="0" w:line="360" w:lineRule="auto"/>
              <w:ind w:left="0" w:right="0" w:firstLine="480" w:firstLineChars="200"/>
              <w:jc w:val="both"/>
              <w:rPr>
                <w:rFonts w:hint="default"/>
                <w:color w:val="auto"/>
                <w:highlight w:val="none"/>
                <w:lang w:val="en-US" w:eastAsia="zh-CN"/>
              </w:rPr>
            </w:pPr>
            <w:r>
              <w:rPr>
                <w:rFonts w:hint="default" w:ascii="Times New Roman" w:hAnsi="Times New Roman" w:eastAsia="宋体" w:cs="Times New Roman"/>
                <w:color w:val="auto"/>
                <w:sz w:val="24"/>
                <w:szCs w:val="24"/>
                <w:highlight w:val="none"/>
              </w:rPr>
              <w:t>本项目</w:t>
            </w:r>
            <w:r>
              <w:rPr>
                <w:rFonts w:hint="eastAsia" w:cs="Times New Roman"/>
                <w:color w:val="auto"/>
                <w:sz w:val="24"/>
                <w:szCs w:val="24"/>
                <w:highlight w:val="none"/>
                <w:lang w:val="en-US" w:eastAsia="zh-CN"/>
              </w:rPr>
              <w:t>使用</w:t>
            </w:r>
            <w:r>
              <w:rPr>
                <w:rFonts w:hint="default" w:ascii="Times New Roman" w:hAnsi="Times New Roman" w:eastAsia="宋体" w:cs="Times New Roman"/>
                <w:b w:val="0"/>
                <w:bCs w:val="0"/>
                <w:color w:val="auto"/>
                <w:sz w:val="24"/>
                <w:szCs w:val="24"/>
                <w:highlight w:val="none"/>
                <w:vertAlign w:val="baseline"/>
                <w:lang w:val="en-US" w:eastAsia="zh-CN"/>
              </w:rPr>
              <w:t>F-18、Ga-68、C-11、N-13、Tc-99m</w:t>
            </w:r>
            <w:r>
              <w:rPr>
                <w:rFonts w:hint="eastAsia" w:cs="Times New Roman"/>
                <w:b w:val="0"/>
                <w:bCs w:val="0"/>
                <w:color w:val="auto"/>
                <w:sz w:val="24"/>
                <w:szCs w:val="24"/>
                <w:highlight w:val="none"/>
                <w:vertAlign w:val="baseline"/>
                <w:lang w:val="en-US" w:eastAsia="zh-CN"/>
              </w:rPr>
              <w:t>核素，将产生短半衰期放射性废水。</w:t>
            </w:r>
            <w:r>
              <w:rPr>
                <w:rFonts w:hint="default" w:ascii="Times New Roman" w:hAnsi="Times New Roman" w:eastAsia="宋体" w:cs="Times New Roman"/>
                <w:color w:val="auto"/>
                <w:kern w:val="0"/>
                <w:sz w:val="24"/>
                <w:szCs w:val="22"/>
                <w:highlight w:val="none"/>
                <w:lang w:val="en-US" w:eastAsia="zh-CN" w:bidi="ar-SA"/>
              </w:rPr>
              <w:t>短半衰期废水按年排放量1190m³计算，日均排放约3.26m³，3个60m³集水池总容积180m³。单池注满约需18.4天，加上30天暂存期，单池完整周期约48.4天。系统年处理能力为3×60÷(48.4/365)≈1357m³/年，大于实际排放量1190m³/年，容积可行且余量充足。</w:t>
            </w:r>
          </w:p>
          <w:p w14:paraId="56435380">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b w:val="0"/>
                <w:bCs/>
                <w:color w:val="auto"/>
                <w:sz w:val="24"/>
                <w:szCs w:val="24"/>
                <w:highlight w:val="none"/>
                <w:lang w:val="en-US" w:eastAsia="zh-CN"/>
              </w:rPr>
              <w:t>短半衰期放射性废水</w:t>
            </w:r>
            <w:r>
              <w:rPr>
                <w:rFonts w:hint="eastAsia" w:cs="Times New Roman"/>
                <w:b w:val="0"/>
                <w:bCs/>
                <w:color w:val="auto"/>
                <w:sz w:val="24"/>
                <w:szCs w:val="24"/>
                <w:highlight w:val="none"/>
                <w:lang w:val="en-US" w:eastAsia="zh-CN"/>
              </w:rPr>
              <w:t>暂存时间可以满足</w:t>
            </w:r>
            <w:r>
              <w:rPr>
                <w:rFonts w:hint="default" w:ascii="Times New Roman" w:hAnsi="Times New Roman" w:cs="Times New Roman"/>
                <w:b w:val="0"/>
                <w:bCs/>
                <w:color w:val="auto"/>
                <w:sz w:val="24"/>
                <w:szCs w:val="24"/>
                <w:highlight w:val="none"/>
                <w:lang w:val="en-US" w:eastAsia="zh-CN"/>
              </w:rPr>
              <w:t>《核医学辐射防护与安全要求》（</w:t>
            </w:r>
            <w:r>
              <w:rPr>
                <w:rFonts w:hint="default" w:ascii="Times New Roman" w:hAnsi="Times New Roman" w:cs="Times New Roman"/>
                <w:b w:val="0"/>
                <w:bCs/>
                <w:color w:val="auto"/>
                <w:highlight w:val="none"/>
                <w:lang w:val="en-US" w:eastAsia="zh-CN"/>
              </w:rPr>
              <w:t>HJ 1188—2021</w:t>
            </w:r>
            <w:r>
              <w:rPr>
                <w:rFonts w:hint="default" w:ascii="Times New Roman" w:hAnsi="Times New Roman" w:cs="Times New Roman"/>
                <w:b w:val="0"/>
                <w:bCs/>
                <w:color w:val="auto"/>
                <w:sz w:val="24"/>
                <w:szCs w:val="24"/>
                <w:highlight w:val="none"/>
                <w:lang w:val="en-US" w:eastAsia="zh-CN"/>
              </w:rPr>
              <w:t>）</w:t>
            </w:r>
            <w:r>
              <w:rPr>
                <w:rFonts w:hint="default" w:ascii="Times New Roman" w:hAnsi="Times New Roman" w:cs="Times New Roman"/>
                <w:b w:val="0"/>
                <w:bCs/>
                <w:color w:val="auto"/>
                <w:highlight w:val="none"/>
                <w:lang w:val="en-US" w:eastAsia="zh-CN"/>
              </w:rPr>
              <w:t>要求</w:t>
            </w:r>
            <w:r>
              <w:rPr>
                <w:rFonts w:hint="default" w:ascii="Times New Roman" w:hAnsi="Times New Roman" w:cs="Times New Roman"/>
                <w:b w:val="0"/>
                <w:bCs/>
                <w:color w:val="auto"/>
                <w:sz w:val="24"/>
                <w:szCs w:val="24"/>
                <w:highlight w:val="none"/>
                <w:lang w:val="en-US" w:eastAsia="zh-CN"/>
              </w:rPr>
              <w:t>的</w:t>
            </w:r>
            <w:r>
              <w:rPr>
                <w:rFonts w:hint="default" w:ascii="Times New Roman" w:hAnsi="Times New Roman" w:eastAsia="宋体" w:cs="Times New Roman"/>
                <w:b w:val="0"/>
                <w:bCs/>
                <w:color w:val="auto"/>
                <w:kern w:val="0"/>
                <w:szCs w:val="24"/>
                <w:highlight w:val="none"/>
                <w:lang w:val="en-US" w:eastAsia="zh-CN" w:bidi="ar"/>
              </w:rPr>
              <w:t>：</w:t>
            </w:r>
            <w:r>
              <w:rPr>
                <w:rFonts w:hint="default" w:ascii="Times New Roman" w:hAnsi="Times New Roman" w:cs="Times New Roman"/>
                <w:b w:val="0"/>
                <w:bCs/>
                <w:color w:val="auto"/>
                <w:highlight w:val="none"/>
                <w:lang w:val="en-US" w:eastAsia="zh-CN"/>
              </w:rPr>
              <w:t>a）所含核素半衰期小于 24 小时的放射性废液暂存时间超过 30 天后可直接解控排放。</w:t>
            </w:r>
          </w:p>
          <w:p w14:paraId="23CEFDD4">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color w:val="auto"/>
                <w:highlight w:val="none"/>
              </w:rPr>
            </w:pPr>
            <w:r>
              <w:rPr>
                <w:rFonts w:hint="eastAsia" w:cs="Times New Roman"/>
                <w:b w:val="0"/>
                <w:bCs/>
                <w:color w:val="auto"/>
                <w:kern w:val="0"/>
                <w:sz w:val="24"/>
                <w:szCs w:val="24"/>
                <w:highlight w:val="none"/>
                <w:lang w:val="en-US" w:eastAsia="zh-CN"/>
              </w:rPr>
              <w:t>2</w:t>
            </w:r>
            <w:r>
              <w:rPr>
                <w:rFonts w:hint="default" w:ascii="Times New Roman" w:hAnsi="Times New Roman" w:cs="Times New Roman"/>
                <w:b w:val="0"/>
                <w:bCs/>
                <w:color w:val="auto"/>
                <w:kern w:val="0"/>
                <w:sz w:val="24"/>
                <w:szCs w:val="24"/>
                <w:highlight w:val="none"/>
                <w:lang w:val="en-US" w:eastAsia="zh-CN"/>
              </w:rPr>
              <w:t>）</w:t>
            </w:r>
            <w:r>
              <w:rPr>
                <w:rFonts w:hint="eastAsia" w:cs="Times New Roman"/>
                <w:b w:val="0"/>
                <w:bCs/>
                <w:color w:val="auto"/>
                <w:kern w:val="0"/>
                <w:sz w:val="24"/>
                <w:szCs w:val="24"/>
                <w:highlight w:val="none"/>
                <w:lang w:val="en-US" w:eastAsia="zh-CN"/>
              </w:rPr>
              <w:t>长</w:t>
            </w:r>
            <w:r>
              <w:rPr>
                <w:rFonts w:hint="default" w:ascii="Times New Roman" w:hAnsi="Times New Roman" w:cs="Times New Roman"/>
                <w:b w:val="0"/>
                <w:bCs/>
                <w:color w:val="auto"/>
                <w:kern w:val="0"/>
                <w:sz w:val="24"/>
                <w:szCs w:val="24"/>
                <w:highlight w:val="none"/>
                <w:lang w:val="en-US" w:eastAsia="zh-CN"/>
              </w:rPr>
              <w:t>半衰期</w:t>
            </w:r>
            <w:r>
              <w:rPr>
                <w:rFonts w:hint="default" w:ascii="Times New Roman" w:hAnsi="Times New Roman" w:eastAsia="宋体" w:cs="Times New Roman"/>
                <w:b w:val="0"/>
                <w:bCs/>
                <w:color w:val="auto"/>
                <w:kern w:val="0"/>
                <w:sz w:val="24"/>
                <w:szCs w:val="24"/>
                <w:highlight w:val="none"/>
                <w:lang w:val="en-US" w:eastAsia="zh-CN"/>
              </w:rPr>
              <w:t>放射性废水</w:t>
            </w:r>
          </w:p>
          <w:p w14:paraId="6FEE9EB9">
            <w:pPr>
              <w:keepNext w:val="0"/>
              <w:keepLines w:val="0"/>
              <w:suppressLineNumbers w:val="0"/>
              <w:shd w:val="clear"/>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color w:val="auto"/>
                <w:sz w:val="24"/>
                <w:szCs w:val="24"/>
                <w:highlight w:val="none"/>
              </w:rPr>
              <w:t>本项目</w:t>
            </w:r>
            <w:r>
              <w:rPr>
                <w:rFonts w:hint="eastAsia" w:cs="Times New Roman"/>
                <w:color w:val="auto"/>
                <w:sz w:val="24"/>
                <w:szCs w:val="24"/>
                <w:highlight w:val="none"/>
                <w:lang w:val="en-US" w:eastAsia="zh-CN"/>
              </w:rPr>
              <w:t>使用</w:t>
            </w:r>
            <w:r>
              <w:rPr>
                <w:rFonts w:hint="default" w:ascii="Times New Roman" w:hAnsi="Times New Roman" w:eastAsia="宋体" w:cs="Times New Roman"/>
                <w:b w:val="0"/>
                <w:bCs w:val="0"/>
                <w:color w:val="auto"/>
                <w:sz w:val="24"/>
                <w:szCs w:val="24"/>
                <w:highlight w:val="none"/>
                <w:vertAlign w:val="baseline"/>
              </w:rPr>
              <w:t>I-131</w:t>
            </w:r>
            <w:r>
              <w:rPr>
                <w:rFonts w:hint="eastAsia" w:cs="Times New Roman"/>
                <w:b w:val="0"/>
                <w:bCs w:val="0"/>
                <w:color w:val="auto"/>
                <w:sz w:val="24"/>
                <w:szCs w:val="24"/>
                <w:highlight w:val="none"/>
                <w:vertAlign w:val="baseline"/>
                <w:lang w:eastAsia="zh-CN"/>
              </w:rPr>
              <w:t>、</w:t>
            </w:r>
            <w:r>
              <w:rPr>
                <w:rFonts w:hint="default" w:ascii="Times New Roman" w:hAnsi="Times New Roman" w:eastAsia="宋体" w:cs="Times New Roman"/>
                <w:b w:val="0"/>
                <w:bCs w:val="0"/>
                <w:color w:val="auto"/>
                <w:sz w:val="24"/>
                <w:szCs w:val="24"/>
                <w:highlight w:val="none"/>
                <w:vertAlign w:val="baseline"/>
              </w:rPr>
              <w:t>Lu-177</w:t>
            </w:r>
            <w:r>
              <w:rPr>
                <w:rFonts w:hint="eastAsia" w:cs="Times New Roman"/>
                <w:b w:val="0"/>
                <w:bCs w:val="0"/>
                <w:color w:val="auto"/>
                <w:sz w:val="24"/>
                <w:szCs w:val="24"/>
                <w:highlight w:val="none"/>
                <w:vertAlign w:val="baseline"/>
                <w:lang w:eastAsia="zh-CN"/>
              </w:rPr>
              <w:t>、</w:t>
            </w:r>
            <w:r>
              <w:rPr>
                <w:rFonts w:hint="default" w:ascii="Times New Roman" w:hAnsi="Times New Roman" w:eastAsia="宋体" w:cs="Times New Roman"/>
                <w:b w:val="0"/>
                <w:bCs w:val="0"/>
                <w:color w:val="auto"/>
                <w:sz w:val="24"/>
                <w:szCs w:val="24"/>
                <w:highlight w:val="none"/>
                <w:vertAlign w:val="baseline"/>
              </w:rPr>
              <w:t>Ra-223</w:t>
            </w:r>
            <w:r>
              <w:rPr>
                <w:rFonts w:hint="eastAsia" w:cs="Times New Roman"/>
                <w:b w:val="0"/>
                <w:bCs w:val="0"/>
                <w:color w:val="auto"/>
                <w:sz w:val="24"/>
                <w:szCs w:val="24"/>
                <w:highlight w:val="none"/>
                <w:vertAlign w:val="baseline"/>
                <w:lang w:eastAsia="zh-CN"/>
              </w:rPr>
              <w:t>、</w:t>
            </w:r>
            <w:r>
              <w:rPr>
                <w:rFonts w:hint="default" w:ascii="Times New Roman" w:hAnsi="Times New Roman" w:eastAsia="宋体" w:cs="Times New Roman"/>
                <w:b w:val="0"/>
                <w:bCs w:val="0"/>
                <w:color w:val="auto"/>
                <w:sz w:val="24"/>
                <w:szCs w:val="24"/>
                <w:highlight w:val="none"/>
                <w:vertAlign w:val="baseline"/>
              </w:rPr>
              <w:t>Ac-225</w:t>
            </w:r>
            <w:r>
              <w:rPr>
                <w:rFonts w:hint="eastAsia" w:cs="Times New Roman"/>
                <w:b w:val="0"/>
                <w:bCs w:val="0"/>
                <w:color w:val="auto"/>
                <w:sz w:val="24"/>
                <w:szCs w:val="24"/>
                <w:highlight w:val="none"/>
                <w:vertAlign w:val="baseline"/>
                <w:lang w:eastAsia="zh-CN"/>
              </w:rPr>
              <w:t>、</w:t>
            </w:r>
            <w:r>
              <w:rPr>
                <w:rFonts w:hint="default" w:ascii="Times New Roman" w:hAnsi="Times New Roman" w:eastAsia="宋体" w:cs="Times New Roman"/>
                <w:b w:val="0"/>
                <w:bCs w:val="0"/>
                <w:color w:val="auto"/>
                <w:sz w:val="24"/>
                <w:szCs w:val="24"/>
                <w:highlight w:val="none"/>
                <w:vertAlign w:val="baseline"/>
              </w:rPr>
              <w:t>Y-90</w:t>
            </w:r>
            <w:r>
              <w:rPr>
                <w:rFonts w:hint="eastAsia" w:cs="Times New Roman"/>
                <w:b w:val="0"/>
                <w:bCs w:val="0"/>
                <w:color w:val="auto"/>
                <w:sz w:val="24"/>
                <w:szCs w:val="24"/>
                <w:highlight w:val="none"/>
                <w:vertAlign w:val="baseline"/>
                <w:lang w:val="en-US" w:eastAsia="zh-CN"/>
              </w:rPr>
              <w:t>核素，将产生长半衰期放射性废水。长半衰期放射性废水按年排放量816.32m³计算，日均排放约2.24m³，8个114m³集水池总容积912m³。若每池注满后需暂存180天方可排放，则单池从开始进水到注满约需51天（114÷2.24），加上180天暂存期，单池完整周期约231天。8个池子按序轮换，当第8池注满时，第1池已暂存约357天（7×51），远超180天要求。系统年处理能力为8×114÷(231/365)≈1441m³/年，大于实际排放量816.32m³/年，容积可行且余量充足。</w:t>
            </w:r>
          </w:p>
          <w:p w14:paraId="69A44920">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 w:val="0"/>
                <w:bCs w:val="0"/>
                <w:color w:val="auto"/>
                <w:sz w:val="24"/>
                <w:szCs w:val="24"/>
                <w:highlight w:val="none"/>
                <w:vertAlign w:val="superscript"/>
              </w:rPr>
            </w:pPr>
            <w:r>
              <w:rPr>
                <w:rFonts w:hint="eastAsia" w:cs="Times New Roman"/>
                <w:b w:val="0"/>
                <w:bCs w:val="0"/>
                <w:color w:val="auto"/>
                <w:highlight w:val="none"/>
                <w:lang w:val="en-US" w:eastAsia="zh-CN"/>
              </w:rPr>
              <w:t>长</w:t>
            </w:r>
            <w:r>
              <w:rPr>
                <w:rFonts w:hint="default" w:ascii="Times New Roman" w:hAnsi="Times New Roman" w:cs="Times New Roman"/>
                <w:b w:val="0"/>
                <w:bCs w:val="0"/>
                <w:color w:val="auto"/>
                <w:highlight w:val="none"/>
                <w:lang w:val="en-US" w:eastAsia="zh-CN"/>
              </w:rPr>
              <w:t>半衰期放射性废水暂存时间可以满足《核医学辐射防护与安全要求》（HJ 1188—2021）要求的</w:t>
            </w:r>
            <w:r>
              <w:rPr>
                <w:rFonts w:hint="default" w:ascii="Times New Roman" w:hAnsi="Times New Roman" w:eastAsia="宋体" w:cs="Times New Roman"/>
                <w:b w:val="0"/>
                <w:bCs w:val="0"/>
                <w:color w:val="auto"/>
                <w:kern w:val="0"/>
                <w:szCs w:val="24"/>
                <w:highlight w:val="none"/>
                <w:lang w:val="en-US" w:eastAsia="zh-CN" w:bidi="ar"/>
              </w:rPr>
              <w:t>：</w:t>
            </w:r>
            <w:r>
              <w:rPr>
                <w:rFonts w:hint="default" w:ascii="Times New Roman" w:hAnsi="Times New Roman" w:eastAsia="宋体" w:cs="Times New Roman"/>
                <w:color w:val="auto"/>
                <w:sz w:val="24"/>
                <w:szCs w:val="24"/>
                <w:highlight w:val="none"/>
                <w:lang w:val="en-US" w:eastAsia="zh-CN"/>
              </w:rPr>
              <w:t>b）所含核素半衰期大于24小时的放射性废液暂存时间超过10倍最长半衰期（含碘-131核素的暂存超过180天），监测结果经审管部门认可后，按照GB18871中8.6.2规定方式进行排放。</w:t>
            </w:r>
          </w:p>
          <w:p w14:paraId="6878ED12">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color w:val="auto"/>
                <w:kern w:val="0"/>
                <w:sz w:val="24"/>
                <w:szCs w:val="24"/>
                <w:highlight w:val="none"/>
                <w:lang w:val="en-US" w:eastAsia="zh-CN"/>
              </w:rPr>
            </w:pPr>
            <w:r>
              <w:rPr>
                <w:rFonts w:hint="eastAsia" w:cs="Times New Roman"/>
                <w:b w:val="0"/>
                <w:bCs w:val="0"/>
                <w:color w:val="auto"/>
                <w:sz w:val="24"/>
                <w:szCs w:val="24"/>
                <w:highlight w:val="none"/>
                <w:vertAlign w:val="baseline"/>
                <w:lang w:val="en-US" w:eastAsia="zh-CN"/>
              </w:rPr>
              <w:t>本项目短、长半衰期放射性废水可以满足暂存时间的要求，满足暂存时间后，排入医院污水处理站集中处理。因此，本项目产生的放射性废水对周围环境影响较小。</w:t>
            </w:r>
          </w:p>
          <w:p w14:paraId="17C54AB0">
            <w:pPr>
              <w:keepNext w:val="0"/>
              <w:keepLines w:val="0"/>
              <w:suppressLineNumbers w:val="0"/>
              <w:shd w:val="clear"/>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rPr>
            </w:pPr>
            <w:r>
              <w:rPr>
                <w:rFonts w:hint="default" w:ascii="Times New Roman" w:hAnsi="Times New Roman" w:eastAsia="宋体" w:cs="Times New Roman"/>
                <w:b/>
                <w:bCs w:val="0"/>
                <w:color w:val="auto"/>
                <w:kern w:val="0"/>
                <w:sz w:val="24"/>
                <w:szCs w:val="24"/>
                <w:highlight w:val="none"/>
                <w:lang w:val="en-US" w:eastAsia="zh-CN"/>
              </w:rPr>
              <w:t>11.2.3.</w:t>
            </w:r>
            <w:r>
              <w:rPr>
                <w:rFonts w:hint="default" w:ascii="Times New Roman" w:hAnsi="Times New Roman" w:cs="Times New Roman"/>
                <w:b/>
                <w:bCs w:val="0"/>
                <w:color w:val="auto"/>
                <w:kern w:val="0"/>
                <w:sz w:val="24"/>
                <w:szCs w:val="24"/>
                <w:highlight w:val="none"/>
                <w:lang w:val="en-US" w:eastAsia="zh-CN"/>
              </w:rPr>
              <w:t>2</w:t>
            </w:r>
            <w:r>
              <w:rPr>
                <w:rFonts w:hint="default" w:ascii="Times New Roman" w:hAnsi="Times New Roman" w:eastAsia="宋体" w:cs="Times New Roman"/>
                <w:b/>
                <w:bCs w:val="0"/>
                <w:color w:val="auto"/>
                <w:kern w:val="0"/>
                <w:sz w:val="24"/>
                <w:szCs w:val="24"/>
                <w:highlight w:val="none"/>
                <w:lang w:val="en-US" w:eastAsia="zh-CN"/>
              </w:rPr>
              <w:t>放射性</w:t>
            </w:r>
            <w:r>
              <w:rPr>
                <w:rFonts w:hint="default" w:ascii="Times New Roman" w:hAnsi="Times New Roman" w:cs="Times New Roman"/>
                <w:b/>
                <w:bCs w:val="0"/>
                <w:color w:val="auto"/>
                <w:kern w:val="0"/>
                <w:sz w:val="24"/>
                <w:szCs w:val="24"/>
                <w:highlight w:val="none"/>
                <w:lang w:val="en-US" w:eastAsia="zh-CN"/>
              </w:rPr>
              <w:t>废气</w:t>
            </w:r>
          </w:p>
          <w:p w14:paraId="56B112B0">
            <w:pPr>
              <w:keepNext w:val="0"/>
              <w:keepLines w:val="0"/>
              <w:suppressLineNumbers w:val="0"/>
              <w:shd w:val="clear"/>
              <w:spacing w:before="0" w:beforeLines="0" w:beforeAutospacing="0" w:after="0" w:afterLines="0" w:afterAutospacing="0" w:line="360" w:lineRule="auto"/>
              <w:ind w:left="0" w:right="0" w:firstLine="480" w:firstLineChars="200"/>
              <w:jc w:val="both"/>
              <w:rPr>
                <w:rFonts w:hint="eastAsia" w:cs="Times New Roman"/>
                <w:b w:val="0"/>
                <w:bCs w:val="0"/>
                <w:color w:val="auto"/>
                <w:sz w:val="24"/>
                <w:szCs w:val="24"/>
                <w:highlight w:val="none"/>
                <w:vertAlign w:val="baseline"/>
                <w:lang w:val="en-US" w:eastAsia="zh-CN"/>
              </w:rPr>
            </w:pPr>
            <w:r>
              <w:rPr>
                <w:rFonts w:hint="eastAsia" w:cs="Times New Roman"/>
                <w:b w:val="0"/>
                <w:bCs w:val="0"/>
                <w:color w:val="auto"/>
                <w:sz w:val="24"/>
                <w:szCs w:val="24"/>
                <w:highlight w:val="none"/>
                <w:vertAlign w:val="baseline"/>
                <w:lang w:val="en-US" w:eastAsia="zh-CN"/>
              </w:rPr>
              <w:t>本项目核医学各功能分区按照工艺及辐射防护要求，分区、分级设置专用独立排风系统，对药物生产、影像诊断、核素治疗等各产污场所的放射性废气进行专项收集、管控与处理排放，综合楼介入区域无挥发性放射性废气产生，无需专项排风设施。各区域废气收集、治理及排放管控措施完善，可有效控制放射性废气无组织扩散与污染物外排，对周边环境影响较小，具体分析如下：</w:t>
            </w:r>
          </w:p>
          <w:p w14:paraId="32DA9E25">
            <w:pPr>
              <w:keepNext w:val="0"/>
              <w:keepLines w:val="0"/>
              <w:suppressLineNumbers w:val="0"/>
              <w:shd w:val="clear"/>
              <w:spacing w:before="0" w:beforeLines="0" w:beforeAutospacing="0" w:after="0" w:afterLines="0" w:afterAutospacing="0" w:line="360" w:lineRule="auto"/>
              <w:ind w:left="0" w:right="0" w:firstLine="480" w:firstLineChars="200"/>
              <w:jc w:val="both"/>
              <w:rPr>
                <w:rFonts w:hint="eastAsia" w:cs="Times New Roman"/>
                <w:b w:val="0"/>
                <w:bCs w:val="0"/>
                <w:color w:val="auto"/>
                <w:sz w:val="24"/>
                <w:szCs w:val="24"/>
                <w:highlight w:val="none"/>
                <w:vertAlign w:val="baseline"/>
                <w:lang w:val="en-US" w:eastAsia="zh-CN"/>
              </w:rPr>
            </w:pPr>
            <w:r>
              <w:rPr>
                <w:rFonts w:hint="eastAsia" w:cs="Times New Roman"/>
                <w:b w:val="0"/>
                <w:bCs w:val="0"/>
                <w:color w:val="auto"/>
                <w:sz w:val="24"/>
                <w:szCs w:val="24"/>
                <w:highlight w:val="none"/>
                <w:vertAlign w:val="baseline"/>
                <w:lang w:val="en-US" w:eastAsia="zh-CN"/>
              </w:rPr>
              <w:t>项目负一层药物生产区根据功能房间差异化配置多套独立排风系统，回旋加速器室、分装合成热室、单光子药物生产车间、质控室均设置独立排风，放射性原料库与废物库配套专用排风系统，实现各产污区域废气全覆盖、分区域收集，有效避免不同工序放射性废气交叉混合、无序逸散。</w:t>
            </w:r>
          </w:p>
          <w:p w14:paraId="0ABE4292">
            <w:pPr>
              <w:keepNext w:val="0"/>
              <w:keepLines w:val="0"/>
              <w:suppressLineNumbers w:val="0"/>
              <w:shd w:val="clear"/>
              <w:spacing w:before="0" w:beforeLines="0" w:beforeAutospacing="0" w:after="0" w:afterLines="0" w:afterAutospacing="0" w:line="360" w:lineRule="auto"/>
              <w:ind w:left="0" w:right="0" w:firstLine="480" w:firstLineChars="200"/>
              <w:jc w:val="both"/>
              <w:rPr>
                <w:rFonts w:hint="eastAsia" w:cs="Times New Roman"/>
                <w:b w:val="0"/>
                <w:bCs w:val="0"/>
                <w:color w:val="auto"/>
                <w:sz w:val="24"/>
                <w:szCs w:val="24"/>
                <w:highlight w:val="none"/>
                <w:vertAlign w:val="baseline"/>
                <w:lang w:val="en-US" w:eastAsia="zh-CN"/>
              </w:rPr>
            </w:pPr>
            <w:r>
              <w:rPr>
                <w:rFonts w:hint="eastAsia" w:cs="Times New Roman"/>
                <w:b w:val="0"/>
                <w:bCs w:val="0"/>
                <w:color w:val="auto"/>
                <w:sz w:val="24"/>
                <w:szCs w:val="24"/>
                <w:highlight w:val="none"/>
                <w:vertAlign w:val="baseline"/>
                <w:lang w:val="en-US" w:eastAsia="zh-CN"/>
              </w:rPr>
              <w:t>项目一至三层诊断、治疗区域均针对性配套分区排风系统。一层SPECT诊断区、二层PET诊断区结合机房、休息室、留观室、注射室及放废库布局合理划分排风单元；三层核素治疗区分别针对核素病房、分碘及注射操作区域设置独立排风系统，全面覆盖放射性操作及暂存区域，确保作业过程产生的放射性废气全部被有效收集。</w:t>
            </w:r>
          </w:p>
          <w:p w14:paraId="6A9A3CB3">
            <w:pPr>
              <w:keepNext w:val="0"/>
              <w:keepLines w:val="0"/>
              <w:suppressLineNumbers w:val="0"/>
              <w:shd w:val="clear"/>
              <w:spacing w:before="0" w:beforeLines="0" w:beforeAutospacing="0" w:after="0" w:afterLines="0" w:afterAutospacing="0" w:line="360" w:lineRule="auto"/>
              <w:ind w:left="0" w:right="0" w:firstLine="480" w:firstLineChars="200"/>
              <w:jc w:val="both"/>
              <w:rPr>
                <w:rFonts w:hint="eastAsia" w:cs="Times New Roman"/>
                <w:b w:val="0"/>
                <w:bCs w:val="0"/>
                <w:color w:val="auto"/>
                <w:sz w:val="24"/>
                <w:szCs w:val="24"/>
                <w:highlight w:val="none"/>
                <w:vertAlign w:val="baseline"/>
                <w:lang w:val="en-US" w:eastAsia="zh-CN"/>
              </w:rPr>
            </w:pPr>
            <w:r>
              <w:rPr>
                <w:rFonts w:hint="eastAsia" w:cs="Times New Roman"/>
                <w:b w:val="0"/>
                <w:bCs w:val="0"/>
                <w:color w:val="auto"/>
                <w:sz w:val="24"/>
                <w:szCs w:val="24"/>
                <w:highlight w:val="none"/>
                <w:vertAlign w:val="baseline"/>
                <w:lang w:val="en-US" w:eastAsia="zh-CN"/>
              </w:rPr>
              <w:t>本项目所有排风系统均配套完善的通风防控措施，各管路设置独立机械排风装置、大功率排风机，保证通风柜内风速不低于0.5m/s，保障废气收集效率；所有排风管道均设置止回阀、防倒灌装置，有效杜绝放射性废气倒灌、泄漏风险。同时项目采用非放射性区域气压＞监督区气压＞控制区气压的负压梯度通风设计，从气流组织层面杜绝放射性废气向清洁区域扩散，大幅降低无组织排放影响。</w:t>
            </w:r>
          </w:p>
          <w:p w14:paraId="007654B2">
            <w:pPr>
              <w:keepNext w:val="0"/>
              <w:keepLines w:val="0"/>
              <w:suppressLineNumbers w:val="0"/>
              <w:shd w:val="clear"/>
              <w:spacing w:before="0" w:beforeLines="0" w:beforeAutospacing="0" w:after="0" w:afterLines="0" w:afterAutospacing="0" w:line="360" w:lineRule="auto"/>
              <w:ind w:left="0" w:right="0" w:firstLine="480" w:firstLineChars="200"/>
              <w:jc w:val="both"/>
              <w:rPr>
                <w:rFonts w:hint="eastAsia" w:cs="Times New Roman"/>
                <w:b w:val="0"/>
                <w:bCs w:val="0"/>
                <w:color w:val="auto"/>
                <w:sz w:val="24"/>
                <w:szCs w:val="24"/>
                <w:highlight w:val="none"/>
                <w:vertAlign w:val="baseline"/>
                <w:lang w:val="en-US" w:eastAsia="zh-CN"/>
              </w:rPr>
            </w:pPr>
            <w:r>
              <w:rPr>
                <w:rFonts w:hint="eastAsia" w:cs="Times New Roman"/>
                <w:b w:val="0"/>
                <w:bCs w:val="0"/>
                <w:color w:val="auto"/>
                <w:sz w:val="24"/>
                <w:szCs w:val="24"/>
                <w:highlight w:val="none"/>
                <w:vertAlign w:val="baseline"/>
                <w:lang w:val="en-US" w:eastAsia="zh-CN"/>
              </w:rPr>
              <w:t>项目所有放射性废气统一汇入专用放射性废气风井，最终引至核医学大楼楼顶高空排放，排放高度远离周边高层建筑，扩散条件良好；排风口配套活性炭吸附过滤装置，同时设置防鸟、防虫、防雨防护设施，且放射性排风系统与普通通风系统完全独立布设，有效净化废气、规避交叉污染，废气排放严格符合《核医学辐射防护与安全要求》(HJ1188-2021)、《放射诊断放射防护要求》（GBZ130-2020）规范标准。</w:t>
            </w:r>
          </w:p>
          <w:p w14:paraId="0D9E7377">
            <w:pPr>
              <w:keepNext w:val="0"/>
              <w:keepLines w:val="0"/>
              <w:suppressLineNumbers w:val="0"/>
              <w:shd w:val="clear"/>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sz w:val="24"/>
                <w:szCs w:val="24"/>
                <w:highlight w:val="none"/>
                <w:lang w:val="en-US" w:eastAsia="zh-CN"/>
              </w:rPr>
            </w:pPr>
            <w:r>
              <w:rPr>
                <w:rFonts w:hint="eastAsia" w:cs="Times New Roman"/>
                <w:b w:val="0"/>
                <w:bCs w:val="0"/>
                <w:color w:val="auto"/>
                <w:sz w:val="24"/>
                <w:szCs w:val="24"/>
                <w:highlight w:val="none"/>
                <w:vertAlign w:val="baseline"/>
                <w:lang w:val="en-US" w:eastAsia="zh-CN"/>
              </w:rPr>
              <w:t>此外，综合楼一层介入2室开展的Y-90介入治疗作业无分装工序，药剂植入人体后无挥发性废气产生，仅依托常规动力通风即可满足需求，无放射性废气外排影响。</w:t>
            </w:r>
          </w:p>
          <w:p w14:paraId="3EC85762">
            <w:pPr>
              <w:keepNext w:val="0"/>
              <w:keepLines w:val="0"/>
              <w:suppressLineNumbers w:val="0"/>
              <w:shd w:val="clear"/>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rPr>
            </w:pPr>
            <w:r>
              <w:rPr>
                <w:rFonts w:hint="default" w:ascii="Times New Roman" w:hAnsi="Times New Roman" w:eastAsia="宋体" w:cs="Times New Roman"/>
                <w:b/>
                <w:bCs w:val="0"/>
                <w:color w:val="auto"/>
                <w:kern w:val="0"/>
                <w:sz w:val="24"/>
                <w:szCs w:val="24"/>
                <w:highlight w:val="none"/>
                <w:lang w:val="en-US" w:eastAsia="zh-CN"/>
              </w:rPr>
              <w:t>11.2.3</w:t>
            </w:r>
            <w:r>
              <w:rPr>
                <w:rFonts w:hint="eastAsia" w:cs="Times New Roman"/>
                <w:b/>
                <w:bCs w:val="0"/>
                <w:color w:val="auto"/>
                <w:kern w:val="0"/>
                <w:sz w:val="24"/>
                <w:szCs w:val="24"/>
                <w:highlight w:val="none"/>
                <w:lang w:val="en-US" w:eastAsia="zh-CN"/>
              </w:rPr>
              <w:t>.</w:t>
            </w:r>
            <w:r>
              <w:rPr>
                <w:rFonts w:hint="default" w:ascii="Times New Roman" w:hAnsi="Times New Roman" w:cs="Times New Roman"/>
                <w:b/>
                <w:bCs w:val="0"/>
                <w:color w:val="auto"/>
                <w:kern w:val="0"/>
                <w:sz w:val="24"/>
                <w:szCs w:val="24"/>
                <w:highlight w:val="none"/>
                <w:lang w:val="en-US" w:eastAsia="zh-CN"/>
              </w:rPr>
              <w:t>3</w:t>
            </w:r>
            <w:r>
              <w:rPr>
                <w:rFonts w:hint="default" w:ascii="Times New Roman" w:hAnsi="Times New Roman" w:eastAsia="宋体" w:cs="Times New Roman"/>
                <w:b/>
                <w:bCs w:val="0"/>
                <w:color w:val="auto"/>
                <w:kern w:val="0"/>
                <w:sz w:val="24"/>
                <w:szCs w:val="24"/>
                <w:highlight w:val="none"/>
                <w:lang w:val="en-US" w:eastAsia="zh-CN"/>
              </w:rPr>
              <w:t>放射性</w:t>
            </w:r>
            <w:r>
              <w:rPr>
                <w:rFonts w:hint="default" w:ascii="Times New Roman" w:hAnsi="Times New Roman" w:cs="Times New Roman"/>
                <w:b/>
                <w:bCs w:val="0"/>
                <w:color w:val="auto"/>
                <w:kern w:val="0"/>
                <w:sz w:val="24"/>
                <w:szCs w:val="24"/>
                <w:highlight w:val="none"/>
                <w:lang w:val="en-US" w:eastAsia="zh-CN"/>
              </w:rPr>
              <w:t>固体废物</w:t>
            </w:r>
          </w:p>
          <w:p w14:paraId="1C31FB67">
            <w:pPr>
              <w:keepNext w:val="0"/>
              <w:keepLines w:val="0"/>
              <w:suppressLineNumbers w:val="0"/>
              <w:shd w:val="clear"/>
              <w:spacing w:before="0" w:beforeLines="0" w:beforeAutospacing="0" w:after="0" w:afterLines="0" w:afterAutospacing="0" w:line="360" w:lineRule="auto"/>
              <w:ind w:left="0" w:right="0" w:firstLine="480" w:firstLineChars="200"/>
              <w:jc w:val="both"/>
              <w:rPr>
                <w:rFonts w:hint="default" w:cs="Times New Roman"/>
                <w:b w:val="0"/>
                <w:bCs w:val="0"/>
                <w:color w:val="auto"/>
                <w:sz w:val="24"/>
                <w:szCs w:val="24"/>
                <w:highlight w:val="none"/>
                <w:vertAlign w:val="baseline"/>
                <w:lang w:val="en-US" w:eastAsia="zh-CN"/>
              </w:rPr>
            </w:pPr>
            <w:r>
              <w:rPr>
                <w:rFonts w:hint="eastAsia" w:cs="Times New Roman"/>
                <w:b w:val="0"/>
                <w:bCs w:val="0"/>
                <w:color w:val="auto"/>
                <w:sz w:val="24"/>
                <w:szCs w:val="24"/>
                <w:highlight w:val="none"/>
                <w:vertAlign w:val="baseline"/>
                <w:lang w:val="en-US" w:eastAsia="zh-CN"/>
              </w:rPr>
              <w:t>本项目运营期全年产生放射性固体废物总量 7950.5kg，其中长半衰期放射性固体废物 5283kg，短半衰期放射性固体废物 2667.5kg。项目配套建设 6 间放射性废物库，分区布置于负一层药物生产区、一层 SPECT 诊断区、二层 PET 诊断区及核素治疗区，各废物库建筑面积满足放射性废物暂存需求；同时在正电子药物生产区、单光子药物生产区、注射室、质控室等放射性废物产生点位配套设置铅废物桶。项目放射性废物按长、短半衰期分类收集，废物装满后打包转运至放射性废物库分区暂存，外包装标注废物类型、核素种类、比活度及存放日期等信息；短半衰期放射性废物在废物库内自然衰变，待达到清洁解控水平后，归入一般医疗废物，依托院区医疗废物暂存间存放，严格执行医疗废物转移联单制度，委托具备相应资质单位统一回收处置。落实上述放射性废物收集、分类、标识、分区暂存及规范处置等相关措施后，放射性废物可得到有效管控，不会对周边环境造成明显放射性污染，放射性废物对环境的影响较小。</w:t>
            </w:r>
          </w:p>
          <w:p w14:paraId="6E2AB3B1">
            <w:pPr>
              <w:keepNext w:val="0"/>
              <w:keepLines w:val="0"/>
              <w:suppressLineNumbers w:val="0"/>
              <w:shd w:val="clear"/>
              <w:spacing w:before="0"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kern w:val="0"/>
                <w:sz w:val="24"/>
                <w:szCs w:val="24"/>
                <w:highlight w:val="none"/>
                <w:lang w:val="en-US" w:eastAsia="zh-CN"/>
              </w:rPr>
            </w:pPr>
          </w:p>
          <w:p w14:paraId="15A4C8EF">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b/>
                <w:color w:val="auto"/>
                <w:sz w:val="24"/>
                <w:szCs w:val="22"/>
                <w:highlight w:val="none"/>
              </w:rPr>
              <w:t>11.</w:t>
            </w:r>
            <w:r>
              <w:rPr>
                <w:rFonts w:hint="eastAsia" w:cs="Times New Roman"/>
                <w:b/>
                <w:color w:val="auto"/>
                <w:sz w:val="24"/>
                <w:szCs w:val="22"/>
                <w:highlight w:val="none"/>
                <w:lang w:val="en-US" w:eastAsia="zh-CN"/>
              </w:rPr>
              <w:t>3</w:t>
            </w:r>
            <w:r>
              <w:rPr>
                <w:rFonts w:hint="default" w:ascii="Times New Roman" w:hAnsi="Times New Roman" w:eastAsia="宋体" w:cs="Times New Roman"/>
                <w:b/>
                <w:color w:val="auto"/>
                <w:sz w:val="24"/>
                <w:szCs w:val="22"/>
                <w:highlight w:val="none"/>
              </w:rPr>
              <w:t>事故影响分析</w:t>
            </w:r>
          </w:p>
          <w:p w14:paraId="7F1FEE46">
            <w:pPr>
              <w:keepNext w:val="0"/>
              <w:keepLines w:val="0"/>
              <w:numPr>
                <w:ilvl w:val="0"/>
                <w:numId w:val="0"/>
              </w:numPr>
              <w:suppressLineNumbers w:val="0"/>
              <w:spacing w:before="0" w:beforeLines="0" w:beforeAutospacing="0" w:after="0" w:afterLines="0" w:afterAutospacing="0" w:line="360" w:lineRule="auto"/>
              <w:ind w:left="0" w:right="0" w:firstLine="482"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11.3</w:t>
            </w:r>
            <w:r>
              <w:rPr>
                <w:rFonts w:hint="eastAsia" w:cs="Times New Roman"/>
                <w:b/>
                <w:bCs/>
                <w:color w:val="auto"/>
                <w:highlight w:val="none"/>
                <w:lang w:val="en-US" w:eastAsia="zh-CN"/>
              </w:rPr>
              <w:t xml:space="preserve">.1 </w:t>
            </w:r>
            <w:r>
              <w:rPr>
                <w:rFonts w:hint="default" w:ascii="Times New Roman" w:hAnsi="Times New Roman" w:cs="Times New Roman"/>
                <w:b/>
                <w:bCs/>
                <w:color w:val="auto"/>
                <w:highlight w:val="none"/>
                <w:lang w:val="en-US" w:eastAsia="zh-CN"/>
              </w:rPr>
              <w:t>可能发生的辐射事故</w:t>
            </w:r>
          </w:p>
          <w:p w14:paraId="5D3E7AF4">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①医用回旋加速器使用过程中，当气体进入医用回旋加速器真空系统将导致空气受中子照射后生成活化气体，将产生放射性气体；门机</w:t>
            </w:r>
            <w:r>
              <w:rPr>
                <w:rFonts w:hint="eastAsia" w:cs="Times New Roman"/>
                <w:color w:val="auto"/>
                <w:highlight w:val="none"/>
                <w:lang w:val="en-US" w:eastAsia="zh-CN"/>
              </w:rPr>
              <w:t>联锁</w:t>
            </w:r>
            <w:r>
              <w:rPr>
                <w:rFonts w:hint="default" w:ascii="Times New Roman" w:hAnsi="Times New Roman" w:cs="Times New Roman"/>
                <w:color w:val="auto"/>
                <w:highlight w:val="none"/>
                <w:lang w:val="en-US" w:eastAsia="zh-CN"/>
              </w:rPr>
              <w:t>装置发生故障可能发生人员误入辐射现场，受到加速器γ、n射线外照射；放射性药物传输管道脱落或破裂（堵塞事故）造成核素泄露、或药物合成过程中</w:t>
            </w:r>
            <w:r>
              <w:rPr>
                <w:rFonts w:hint="eastAsia" w:cs="Times New Roman"/>
                <w:color w:val="auto"/>
                <w:highlight w:val="none"/>
                <w:lang w:val="en-US" w:eastAsia="zh-CN"/>
              </w:rPr>
              <w:t>意外</w:t>
            </w:r>
            <w:r>
              <w:rPr>
                <w:rFonts w:hint="default" w:ascii="Times New Roman" w:hAnsi="Times New Roman" w:cs="Times New Roman"/>
                <w:color w:val="auto"/>
                <w:highlight w:val="none"/>
                <w:lang w:val="en-US" w:eastAsia="zh-CN"/>
              </w:rPr>
              <w:t>打开合成热室，或分装过程中不慎将放射性药物液体试剂洒落，导致放射性气体外泄，可能对环境造成污染和对公众造成危害。</w:t>
            </w:r>
          </w:p>
          <w:p w14:paraId="412D1E10">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②由于管理不善，放射性药物或放射源被盗、丢失。</w:t>
            </w:r>
          </w:p>
          <w:p w14:paraId="3741FFD0">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③在核素使用过程中，由于操作人员违反操作规程或误操作引起的意外泄露，造成台面、地面辐射污染。</w:t>
            </w:r>
          </w:p>
          <w:p w14:paraId="5E932943">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④工作人员未按要求穿戴个人防护用品等，造成额外附加照射剂量。</w:t>
            </w:r>
          </w:p>
          <w:p w14:paraId="500A1879">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⑤核素治疗患者用药后未经允许离开</w:t>
            </w:r>
            <w:r>
              <w:rPr>
                <w:rFonts w:hint="eastAsia" w:cs="Times New Roman"/>
                <w:color w:val="auto"/>
                <w:highlight w:val="none"/>
                <w:lang w:val="en-US" w:eastAsia="zh-CN"/>
              </w:rPr>
              <w:t>核医学楼</w:t>
            </w:r>
            <w:r>
              <w:rPr>
                <w:rFonts w:hint="default" w:ascii="Times New Roman" w:hAnsi="Times New Roman" w:cs="Times New Roman"/>
                <w:color w:val="auto"/>
                <w:highlight w:val="none"/>
                <w:lang w:val="en-US" w:eastAsia="zh-CN"/>
              </w:rPr>
              <w:t>，尤其是在用药初期离开候诊室或病房，可能对接近患者的人员造成额外照射。</w:t>
            </w:r>
          </w:p>
          <w:p w14:paraId="37E4E7FA">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⑥放射性固废未达到解控水平即进行处理。</w:t>
            </w:r>
          </w:p>
          <w:p w14:paraId="61B6261F">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根据《放射性同位素与射线装置安全和防护条例》（国务院令第449号）、《关于发布放射源分类办法的公告》（国家环境保护总局公告第62号），本项目</w:t>
            </w:r>
            <w:r>
              <w:rPr>
                <w:rFonts w:hint="eastAsia" w:cs="Times New Roman"/>
                <w:color w:val="auto"/>
                <w:highlight w:val="none"/>
                <w:lang w:val="en-US" w:eastAsia="zh-CN"/>
              </w:rPr>
              <w:t>核医学科</w:t>
            </w:r>
            <w:r>
              <w:rPr>
                <w:rFonts w:hint="default" w:ascii="Times New Roman" w:hAnsi="Times New Roman" w:cs="Times New Roman"/>
                <w:color w:val="auto"/>
                <w:highlight w:val="none"/>
                <w:lang w:val="en-US" w:eastAsia="zh-CN"/>
              </w:rPr>
              <w:t>可能发生的辐射事故为一般辐射事故。</w:t>
            </w:r>
          </w:p>
          <w:p w14:paraId="00420CF9">
            <w:pPr>
              <w:keepNext w:val="0"/>
              <w:keepLines w:val="0"/>
              <w:numPr>
                <w:ilvl w:val="0"/>
                <w:numId w:val="0"/>
              </w:numPr>
              <w:suppressLineNumbers w:val="0"/>
              <w:spacing w:before="0" w:beforeLines="0" w:beforeAutospacing="0" w:after="0" w:afterLines="0" w:afterAutospacing="0" w:line="360" w:lineRule="auto"/>
              <w:ind w:left="0" w:right="0" w:firstLine="482"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11.3.</w:t>
            </w:r>
            <w:r>
              <w:rPr>
                <w:rFonts w:hint="eastAsia" w:cs="Times New Roman"/>
                <w:b/>
                <w:bCs/>
                <w:color w:val="auto"/>
                <w:highlight w:val="none"/>
                <w:lang w:val="en-US" w:eastAsia="zh-CN"/>
              </w:rPr>
              <w:t xml:space="preserve">2 </w:t>
            </w:r>
            <w:r>
              <w:rPr>
                <w:rFonts w:hint="default" w:ascii="Times New Roman" w:hAnsi="Times New Roman" w:cs="Times New Roman"/>
                <w:b/>
                <w:bCs/>
                <w:color w:val="auto"/>
                <w:highlight w:val="none"/>
                <w:lang w:val="en-US" w:eastAsia="zh-CN"/>
              </w:rPr>
              <w:t>辐射事故防范措施</w:t>
            </w:r>
          </w:p>
          <w:p w14:paraId="28B14C21">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①辐射安全综合管理</w:t>
            </w:r>
          </w:p>
          <w:p w14:paraId="3D87B875">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医院成立了辐射安全管理委员会负责对全院辐射安全与防护工作进行监督管理。</w:t>
            </w:r>
          </w:p>
          <w:p w14:paraId="6E6D540F">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②规章制度</w:t>
            </w:r>
          </w:p>
          <w:p w14:paraId="1A5E6C90">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医院制定</w:t>
            </w:r>
            <w:r>
              <w:rPr>
                <w:rFonts w:hint="eastAsia" w:cs="Times New Roman"/>
                <w:color w:val="auto"/>
                <w:highlight w:val="none"/>
                <w:lang w:val="en-US" w:eastAsia="zh-CN"/>
              </w:rPr>
              <w:t>的</w:t>
            </w:r>
            <w:r>
              <w:rPr>
                <w:rFonts w:hint="default" w:ascii="Times New Roman" w:hAnsi="Times New Roman" w:cs="Times New Roman"/>
                <w:color w:val="auto"/>
                <w:highlight w:val="none"/>
                <w:lang w:val="en-US" w:eastAsia="zh-CN"/>
              </w:rPr>
              <w:t>规章制度包括：</w:t>
            </w:r>
            <w:r>
              <w:rPr>
                <w:rFonts w:hint="eastAsia" w:cs="Times New Roman"/>
                <w:color w:val="auto"/>
                <w:highlight w:val="none"/>
                <w:lang w:val="en-US" w:eastAsia="zh-CN"/>
              </w:rPr>
              <w:t>《新疆医科大学附属肿瘤医院放射防护及辐射安全管理制度》《辐射安全总则》《辐射防护和安全保卫制度》《操作规程》《岗位职责》《设备检修维护制度》《人员培训制度》《辐射监测方案》《个人剂量管理和健康管理规定》《辐射监测仪器使用维护操作规程》《台账管理制度》《医院放射性废物处理规范》《放射防护及辐射安全管理制度(修订)的通知》《核医学SOP制度》《核医学规章制度细则》</w:t>
            </w:r>
            <w:r>
              <w:rPr>
                <w:rFonts w:hint="default" w:ascii="Times New Roman" w:hAnsi="Times New Roman" w:cs="Times New Roman"/>
                <w:color w:val="auto"/>
                <w:highlight w:val="none"/>
                <w:lang w:val="en-US" w:eastAsia="zh-CN"/>
              </w:rPr>
              <w:t>等，并把核医学科辐射工作人员健康管理、个人剂量管理等并入医院现有相应管理制度中。各辐射工作场所日常工作中严格按照工作制度执行，防止辐射事故的发生。</w:t>
            </w:r>
          </w:p>
          <w:p w14:paraId="367FD728">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③所有辐射工作场所进行严格的分区管理，设置控制区和监督区，控制区禁止无关人员进入，设置门禁系统，悬挂电离辐射警示标识，设置视频监控系统。</w:t>
            </w:r>
          </w:p>
          <w:p w14:paraId="72D656D2">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④进入控制区工作人员佩戴个人剂量报警仪，并穿戴铅衣、铅帽、手套、防护眼镜等必要的个人防护用品。</w:t>
            </w:r>
          </w:p>
          <w:p w14:paraId="0E8B8A65">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⑤建立放射性药物及发生器的安全管理制度，加强放射性药物安全管理，落实放射性物质安保措施，以防止放射性药物丢失。</w:t>
            </w:r>
          </w:p>
          <w:p w14:paraId="762EDCDD">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⑥对工作人员进行岗前培训，工作人员须熟练掌握放射性药物操作技能和熟悉辐射防护基本知识，能正确处置意外情况。</w:t>
            </w:r>
          </w:p>
          <w:p w14:paraId="4D1B3C62">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⑦各操作场所配备防护面罩、吸水滤纸、酒精等应急物资和灭火器材。</w:t>
            </w:r>
          </w:p>
          <w:p w14:paraId="483B2F99">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⑧</w:t>
            </w:r>
            <w:r>
              <w:rPr>
                <w:rFonts w:hint="eastAsia" w:cs="Times New Roman"/>
                <w:color w:val="auto"/>
                <w:highlight w:val="none"/>
                <w:lang w:val="en-US" w:eastAsia="zh-CN"/>
              </w:rPr>
              <w:t>制定核医学中心专项应急预案</w:t>
            </w:r>
            <w:r>
              <w:rPr>
                <w:rFonts w:hint="default" w:ascii="Times New Roman" w:hAnsi="Times New Roman" w:cs="Times New Roman"/>
                <w:color w:val="auto"/>
                <w:highlight w:val="none"/>
                <w:lang w:val="en-US" w:eastAsia="zh-CN"/>
              </w:rPr>
              <w:t>，并定期进行演练，并进行演练总结，不断修订和完善应急预案内容。</w:t>
            </w:r>
          </w:p>
          <w:p w14:paraId="787BA572">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⑨放射性药物储存场所设置视频监控、红外报警系统，储源保险柜设置双人双锁，自动分碘仪设置双锁，以防止药物丢失或被盗。建立放射性药物领用登记台账。</w:t>
            </w:r>
          </w:p>
          <w:p w14:paraId="0BCF6FB1">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综上所述，本项目采取以上事故防范措施后，可减少或避免放射性事故的</w:t>
            </w:r>
            <w:r>
              <w:rPr>
                <w:rFonts w:hint="eastAsia" w:cs="Times New Roman"/>
                <w:color w:val="auto"/>
                <w:highlight w:val="none"/>
                <w:lang w:val="en-US" w:eastAsia="zh-CN"/>
              </w:rPr>
              <w:t>发生</w:t>
            </w:r>
            <w:r>
              <w:rPr>
                <w:rFonts w:hint="default" w:ascii="Times New Roman" w:hAnsi="Times New Roman" w:cs="Times New Roman"/>
                <w:color w:val="auto"/>
                <w:highlight w:val="none"/>
                <w:lang w:val="en-US" w:eastAsia="zh-CN"/>
              </w:rPr>
              <w:t>，从而保证项目的正常运营，也保障了工作人员和公众的健康与安全。</w:t>
            </w:r>
          </w:p>
          <w:p w14:paraId="14E53A07">
            <w:pPr>
              <w:keepNext w:val="0"/>
              <w:keepLines w:val="0"/>
              <w:numPr>
                <w:ilvl w:val="0"/>
                <w:numId w:val="0"/>
              </w:numPr>
              <w:suppressLineNumbers w:val="0"/>
              <w:spacing w:before="0" w:beforeLines="0" w:beforeAutospacing="0" w:after="0" w:afterLines="0" w:afterAutospacing="0" w:line="360" w:lineRule="auto"/>
              <w:ind w:left="0" w:right="0" w:firstLine="482"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11.3.</w:t>
            </w:r>
            <w:r>
              <w:rPr>
                <w:rFonts w:hint="eastAsia" w:cs="Times New Roman"/>
                <w:b/>
                <w:bCs/>
                <w:color w:val="auto"/>
                <w:highlight w:val="none"/>
                <w:lang w:val="en-US" w:eastAsia="zh-CN"/>
              </w:rPr>
              <w:t xml:space="preserve">3 </w:t>
            </w:r>
            <w:r>
              <w:rPr>
                <w:rFonts w:hint="default" w:ascii="Times New Roman" w:hAnsi="Times New Roman" w:cs="Times New Roman"/>
                <w:b/>
                <w:bCs/>
                <w:color w:val="auto"/>
                <w:highlight w:val="none"/>
                <w:lang w:val="en-US" w:eastAsia="zh-CN"/>
              </w:rPr>
              <w:t>辐射事故应急处理措施</w:t>
            </w:r>
          </w:p>
          <w:p w14:paraId="19994026">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发生事故时，采取的应急处理措施如下：</w:t>
            </w:r>
          </w:p>
          <w:p w14:paraId="3BD590BF">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由于操作不慎，有少量的液态药物溅洒。发生这种事故应迅速用吸附衬垫吸干溅洒的液体，以防止污染扩散。然后用备用的塑料袋装清洗过程中产生的污染物品和湿的药棉、纸巾，从溅洒处移去垫子，用药棉或纸巾擦抹，应注意从污染区的边沿向中心擦抹，直到擦干污染区。最后用表面沾污仪测量污染区，如果不满足α表面污染小于0.04Bq/cm2、β表面污染小于 0.4Bq/cm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的，表明该污染区未达到解控标准，这时应用酒精浸湿药棉或纸巾擦拭，直到该污染区α表面污染小于0.04Bq/cm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、β表面污染小于 0.4Bq/cm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highlight w:val="none"/>
                <w:lang w:val="en-US" w:eastAsia="zh-CN"/>
              </w:rPr>
              <w:t>为止。若大量放射性物质洒漏，医院应立即封锁相关场所，并向上级有关部门报告，等待专业人员前来处理。事故处理结束后，使用表面污染检测仪器对洒漏放射性液态的区域进行表面污染监测，符合国家相关标准后，结束应急状态。事后及时总结经验，形成纸质报告并存档。处理药物撒漏的擦拭物收集放到放射性固体废弃物衰变箱中，作为放射性固体废物进行管理。</w:t>
            </w:r>
          </w:p>
          <w:p w14:paraId="36260C69">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因不慎造成放射性核素污染了地面或台面时，应先用吸收滤纸将其吸干，以防扩散，并立即标记污染范围，注明放射性核素名称、日期。根据污染程度及时报告上级领导和有关部门。人体溅污放射性核素时，应先用吸水纸吸干体表，避免污染面积扩大，之后根据不同核素分别去污。</w:t>
            </w:r>
          </w:p>
          <w:p w14:paraId="62001B95">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若发生放射源丢失、被盗，应第一时间将事故情况通报有关（环保、公安、卫生等）主管部门；分析确定丢失、被盗事故的具体时间及原因，向相关部门提供信息，根据有关线索，组织人员协同相关部门查找丢失、被盗放射性同位素，在查找过程中携带辐射监测仪器，防止事故处理人员受到照射；对放射性同位素丢失前存放场所进行监测，根据现场辐射剂量率的大小确定是否受污染。如现场受到污染出现辐射剂量率异常情况，根据辐射剂量率大小划定警戒线，撤离警戒区域内的所有人员，事故处理人员应穿戴防护用品，佩戴个人剂量计进入事故现场。</w:t>
            </w:r>
          </w:p>
          <w:p w14:paraId="41048018">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④放射性废物处置或管理不当造成污染时，立即划定警戒区，并设置放射性污染标识，限制无关人员靠近，由专业人员处理，经监测满足解控要求后再解除警戒。</w:t>
            </w:r>
          </w:p>
          <w:p w14:paraId="514C0F0D">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⑤核医学</w:t>
            </w:r>
            <w:r>
              <w:rPr>
                <w:rFonts w:hint="eastAsia" w:cs="Times New Roman"/>
                <w:color w:val="auto"/>
                <w:highlight w:val="none"/>
                <w:lang w:val="en-US" w:eastAsia="zh-CN"/>
              </w:rPr>
              <w:t>科</w:t>
            </w:r>
            <w:r>
              <w:rPr>
                <w:rFonts w:hint="default" w:ascii="Times New Roman" w:hAnsi="Times New Roman" w:cs="Times New Roman"/>
                <w:color w:val="auto"/>
                <w:highlight w:val="none"/>
                <w:lang w:val="en-US" w:eastAsia="zh-CN"/>
              </w:rPr>
              <w:t>个人防护用品主要包括工作服、工作鞋、帽等基本防护用品，以及铅防护衣等附加防护用品。工作人员进入监督区必须穿戴辐射防护用品，个人计量计佩戴于左胸前。在进行分装及注射放射性药物时穿铅衣、戴口罩、手套。尽量利用长柄钳、镊子等工具操作，增加与放射性药物的距离。为病人注射放射性药物时，工作人员手部有一定受照量，操作者应使用注射器屏蔽装置。科室主任负责个人防护用品使用方法培训及个人防护用品的存放、更新工作。</w:t>
            </w:r>
          </w:p>
          <w:p w14:paraId="5CA1D0E3">
            <w:pPr>
              <w:keepNext w:val="0"/>
              <w:keepLines w:val="0"/>
              <w:numPr>
                <w:ilvl w:val="0"/>
                <w:numId w:val="0"/>
              </w:numPr>
              <w:suppressLineNumbers w:val="0"/>
              <w:spacing w:before="0" w:beforeLines="0" w:beforeAutospacing="0" w:after="0" w:afterLines="0" w:afterAutospacing="0" w:line="360" w:lineRule="auto"/>
              <w:ind w:left="0" w:right="0" w:firstLine="482" w:firstLineChars="200"/>
              <w:jc w:val="both"/>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11.3.</w:t>
            </w:r>
            <w:r>
              <w:rPr>
                <w:rFonts w:hint="eastAsia" w:cs="Times New Roman"/>
                <w:b/>
                <w:bCs/>
                <w:color w:val="auto"/>
                <w:highlight w:val="none"/>
                <w:lang w:val="en-US" w:eastAsia="zh-CN"/>
              </w:rPr>
              <w:t>4</w:t>
            </w:r>
            <w:r>
              <w:rPr>
                <w:rFonts w:hint="default" w:ascii="Times New Roman" w:hAnsi="Times New Roman" w:cs="Times New Roman"/>
                <w:b/>
                <w:bCs/>
                <w:color w:val="auto"/>
                <w:highlight w:val="none"/>
                <w:lang w:val="en-US" w:eastAsia="zh-CN"/>
              </w:rPr>
              <w:t>应急预案的启动</w:t>
            </w:r>
          </w:p>
          <w:p w14:paraId="64FE162A">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（1）一旦发生辐射事故，立即启动辐射事故处理应急预案。发生辐射事故时，当事人应即刻报告辐射事故应急处理小组组长，组长随即通知辐射事故应急处理小组有关成员采取应急相应救助措施。</w:t>
            </w:r>
          </w:p>
          <w:p w14:paraId="6226346B">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（2）发生辐射事故时，应急处理小组各成员应认真履行各职责，各相关部门应积极协调配合，</w:t>
            </w:r>
            <w:r>
              <w:rPr>
                <w:rFonts w:hint="eastAsia" w:cs="Times New Roman"/>
                <w:color w:val="auto"/>
                <w:highlight w:val="none"/>
                <w:lang w:val="en-US" w:eastAsia="zh-CN"/>
              </w:rPr>
              <w:t>以便</w:t>
            </w:r>
            <w:r>
              <w:rPr>
                <w:rFonts w:hint="default" w:ascii="Times New Roman" w:hAnsi="Times New Roman" w:cs="Times New Roman"/>
                <w:color w:val="auto"/>
                <w:highlight w:val="none"/>
                <w:lang w:val="en-US" w:eastAsia="zh-CN"/>
              </w:rPr>
              <w:t>妥善处理所发生的辐射事故。</w:t>
            </w:r>
          </w:p>
          <w:p w14:paraId="1A9E18ED">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（3）各应急救助物资应准备充分、调配及时。</w:t>
            </w:r>
          </w:p>
          <w:p w14:paraId="422E72D6">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（4）发生事故后应在2小时内上报生态环境部门及卫健、公安等相关部门，减少和控制事故的危害影响，并配合、接受监督部门的处理。</w:t>
            </w:r>
          </w:p>
          <w:p w14:paraId="0330E075">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p>
          <w:p w14:paraId="01F4D902">
            <w:pPr>
              <w:keepNext w:val="0"/>
              <w:keepLines w:val="0"/>
              <w:numPr>
                <w:ilvl w:val="0"/>
                <w:numId w:val="0"/>
              </w:numPr>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cs="Times New Roman"/>
                <w:color w:val="auto"/>
                <w:highlight w:val="none"/>
                <w:lang w:val="en-US" w:eastAsia="zh-CN"/>
              </w:rPr>
            </w:pPr>
          </w:p>
        </w:tc>
      </w:tr>
    </w:tbl>
    <w:p w14:paraId="5C52E4B3">
      <w:pPr>
        <w:shd w:val="clear"/>
        <w:rPr>
          <w:rFonts w:hint="default" w:ascii="Times New Roman" w:hAnsi="Times New Roman" w:eastAsia="宋体" w:cs="Times New Roman"/>
          <w:color w:val="auto"/>
          <w:highlight w:val="none"/>
        </w:rPr>
        <w:sectPr>
          <w:pgSz w:w="11910" w:h="16840"/>
          <w:pgMar w:top="1219" w:right="1185" w:bottom="1219" w:left="1100" w:header="0" w:footer="1417" w:gutter="0"/>
          <w:pgBorders>
            <w:top w:val="none" w:sz="0" w:space="0"/>
            <w:left w:val="none" w:sz="0" w:space="0"/>
            <w:bottom w:val="none" w:sz="0" w:space="0"/>
            <w:right w:val="none" w:sz="0" w:space="0"/>
          </w:pgBorders>
          <w:pgNumType w:fmt="decimal"/>
          <w:cols w:space="0" w:num="1"/>
        </w:sectPr>
      </w:pPr>
    </w:p>
    <w:p w14:paraId="4256F75A">
      <w:pPr>
        <w:shd w:val="clear"/>
        <w:rPr>
          <w:rFonts w:hint="default" w:ascii="Times New Roman" w:hAnsi="Times New Roman" w:eastAsia="宋体" w:cs="Times New Roman"/>
          <w:color w:val="auto"/>
          <w:sz w:val="2"/>
          <w:szCs w:val="2"/>
          <w:highlight w:val="none"/>
        </w:rPr>
      </w:pPr>
    </w:p>
    <w:p w14:paraId="1761725D">
      <w:pPr>
        <w:shd w:val="clear"/>
        <w:rPr>
          <w:rFonts w:hint="default" w:ascii="Times New Roman" w:hAnsi="Times New Roman" w:eastAsia="宋体" w:cs="Times New Roman"/>
          <w:color w:val="auto"/>
          <w:sz w:val="2"/>
          <w:szCs w:val="2"/>
          <w:highlight w:val="none"/>
        </w:rPr>
      </w:pPr>
    </w:p>
    <w:p w14:paraId="1DC5207E">
      <w:pPr>
        <w:pStyle w:val="6"/>
        <w:shd w:val="clear"/>
        <w:rPr>
          <w:rFonts w:hint="default" w:ascii="Times New Roman" w:hAnsi="Times New Roman" w:eastAsia="宋体" w:cs="Times New Roman"/>
          <w:color w:val="auto"/>
          <w:highlight w:val="none"/>
        </w:rPr>
      </w:pPr>
      <w:bookmarkStart w:id="23" w:name="表12_辐射安全管理"/>
      <w:bookmarkEnd w:id="23"/>
      <w:bookmarkStart w:id="24" w:name="_Toc26486"/>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12 辐射安全管理</w:t>
      </w:r>
      <w:bookmarkEnd w:id="24"/>
    </w:p>
    <w:p w14:paraId="3383C133">
      <w:pPr>
        <w:shd w:val="clear"/>
        <w:rPr>
          <w:rFonts w:hint="default" w:ascii="Times New Roman" w:hAnsi="Times New Roman" w:eastAsia="宋体" w:cs="Times New Roman"/>
          <w:color w:val="auto"/>
          <w:sz w:val="2"/>
          <w:szCs w:val="2"/>
          <w:highlight w:val="none"/>
        </w:rPr>
      </w:pP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6"/>
      </w:tblGrid>
      <w:tr w14:paraId="0C53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1" w:hRule="atLeast"/>
          <w:jc w:val="center"/>
        </w:trPr>
        <w:tc>
          <w:tcPr>
            <w:tcW w:w="9346" w:type="dxa"/>
          </w:tcPr>
          <w:p w14:paraId="6D348F18">
            <w:pPr>
              <w:pStyle w:val="8"/>
              <w:keepNext w:val="0"/>
              <w:keepLines w:val="0"/>
              <w:numPr>
                <w:ilvl w:val="0"/>
                <w:numId w:val="0"/>
              </w:numPr>
              <w:suppressLineNumbers w:val="0"/>
              <w:shd w:val="clear"/>
              <w:tabs>
                <w:tab w:val="left" w:pos="780"/>
              </w:tabs>
              <w:spacing w:before="0" w:beforeAutospacing="0" w:after="0" w:afterAutospacing="0" w:line="360" w:lineRule="auto"/>
              <w:ind w:right="0" w:firstLine="482" w:firstLineChars="200"/>
              <w:jc w:val="both"/>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12.1</w:t>
            </w:r>
            <w:r>
              <w:rPr>
                <w:rFonts w:hint="default" w:ascii="Times New Roman" w:hAnsi="Times New Roman" w:eastAsia="宋体" w:cs="Times New Roman"/>
                <w:color w:val="auto"/>
                <w:sz w:val="24"/>
                <w:szCs w:val="24"/>
                <w:highlight w:val="none"/>
              </w:rPr>
              <w:t>辐射安全与环境保护管理机构的设置</w:t>
            </w:r>
          </w:p>
          <w:p w14:paraId="5FB64AB3">
            <w:pPr>
              <w:pStyle w:val="12"/>
              <w:keepNext w:val="0"/>
              <w:keepLines w:val="0"/>
              <w:suppressLineNumbers w:val="0"/>
              <w:shd w:val="clear"/>
              <w:spacing w:before="0" w:beforeAutospacing="0" w:after="0" w:afterAutospacing="0" w:line="360" w:lineRule="auto"/>
              <w:ind w:left="0" w:right="0" w:firstLine="444"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9"/>
                <w:sz w:val="24"/>
                <w:szCs w:val="24"/>
                <w:highlight w:val="none"/>
              </w:rPr>
              <w:t>根据《</w:t>
            </w:r>
            <w:r>
              <w:rPr>
                <w:rFonts w:hint="default" w:ascii="Times New Roman" w:hAnsi="Times New Roman" w:eastAsia="宋体" w:cs="Times New Roman"/>
                <w:color w:val="auto"/>
                <w:spacing w:val="-9"/>
                <w:sz w:val="24"/>
                <w:szCs w:val="24"/>
                <w:highlight w:val="none"/>
                <w:vertAlign w:val="baseline"/>
              </w:rPr>
              <w:t>放射性同位素</w:t>
            </w:r>
            <w:r>
              <w:rPr>
                <w:rFonts w:hint="default" w:ascii="Times New Roman" w:hAnsi="Times New Roman" w:eastAsia="宋体" w:cs="Times New Roman"/>
                <w:color w:val="auto"/>
                <w:spacing w:val="-9"/>
                <w:sz w:val="24"/>
                <w:szCs w:val="24"/>
                <w:highlight w:val="none"/>
              </w:rPr>
              <w:t>与射线装置安全和防护条例》、《</w:t>
            </w:r>
            <w:r>
              <w:rPr>
                <w:rFonts w:hint="default" w:ascii="Times New Roman" w:hAnsi="Times New Roman" w:eastAsia="宋体" w:cs="Times New Roman"/>
                <w:color w:val="auto"/>
                <w:spacing w:val="-9"/>
                <w:sz w:val="24"/>
                <w:szCs w:val="24"/>
                <w:highlight w:val="none"/>
                <w:vertAlign w:val="baseline"/>
              </w:rPr>
              <w:t>放射性同位素</w:t>
            </w:r>
            <w:r>
              <w:rPr>
                <w:rFonts w:hint="default" w:ascii="Times New Roman" w:hAnsi="Times New Roman" w:eastAsia="宋体" w:cs="Times New Roman"/>
                <w:color w:val="auto"/>
                <w:spacing w:val="-9"/>
                <w:sz w:val="24"/>
                <w:szCs w:val="24"/>
                <w:highlight w:val="none"/>
              </w:rPr>
              <w:t>与射线</w:t>
            </w:r>
            <w:r>
              <w:rPr>
                <w:rFonts w:hint="default" w:ascii="Times New Roman" w:hAnsi="Times New Roman" w:eastAsia="宋体" w:cs="Times New Roman"/>
                <w:color w:val="auto"/>
                <w:spacing w:val="-3"/>
                <w:sz w:val="24"/>
                <w:szCs w:val="24"/>
                <w:highlight w:val="none"/>
              </w:rPr>
              <w:t>装置安全许可管理办法》的要求，</w:t>
            </w:r>
            <w:r>
              <w:rPr>
                <w:rFonts w:hint="default" w:ascii="Times New Roman" w:hAnsi="Times New Roman" w:eastAsia="宋体" w:cs="Times New Roman"/>
                <w:color w:val="auto"/>
                <w:sz w:val="24"/>
                <w:szCs w:val="24"/>
                <w:highlight w:val="none"/>
                <w:lang w:val="zh-CN" w:eastAsia="zh-CN"/>
              </w:rPr>
              <w:t>使用非密封放射性物质</w:t>
            </w:r>
            <w:r>
              <w:rPr>
                <w:rFonts w:hint="default" w:ascii="Times New Roman" w:hAnsi="Times New Roman" w:eastAsia="宋体" w:cs="Times New Roman"/>
                <w:color w:val="auto"/>
                <w:sz w:val="24"/>
                <w:szCs w:val="24"/>
                <w:highlight w:val="none"/>
              </w:rPr>
              <w:t>的，应当设有专门的辐射</w:t>
            </w:r>
            <w:r>
              <w:rPr>
                <w:rFonts w:hint="default" w:ascii="Times New Roman" w:hAnsi="Times New Roman" w:eastAsia="宋体" w:cs="Times New Roman"/>
                <w:color w:val="auto"/>
                <w:spacing w:val="-15"/>
                <w:sz w:val="24"/>
                <w:szCs w:val="24"/>
                <w:highlight w:val="none"/>
              </w:rPr>
              <w:t>安全管理机构，且至少有</w:t>
            </w:r>
            <w:r>
              <w:rPr>
                <w:rFonts w:hint="default" w:ascii="Times New Roman" w:hAnsi="Times New Roman" w:eastAsia="宋体" w:cs="Times New Roman"/>
                <w:color w:val="auto"/>
                <w:sz w:val="24"/>
                <w:szCs w:val="24"/>
                <w:highlight w:val="none"/>
                <w:lang w:eastAsia="zh-CN"/>
              </w:rPr>
              <w:t>1名</w:t>
            </w:r>
            <w:r>
              <w:rPr>
                <w:rFonts w:hint="default" w:ascii="Times New Roman" w:hAnsi="Times New Roman" w:eastAsia="宋体" w:cs="Times New Roman"/>
                <w:color w:val="auto"/>
                <w:spacing w:val="-1"/>
                <w:sz w:val="24"/>
                <w:szCs w:val="24"/>
                <w:highlight w:val="none"/>
              </w:rPr>
              <w:t>具有本科以上学历的技术人员专职负责辐射安全管</w:t>
            </w:r>
            <w:r>
              <w:rPr>
                <w:rFonts w:hint="default" w:ascii="Times New Roman" w:hAnsi="Times New Roman" w:eastAsia="宋体" w:cs="Times New Roman"/>
                <w:color w:val="auto"/>
                <w:sz w:val="24"/>
                <w:szCs w:val="24"/>
                <w:highlight w:val="none"/>
              </w:rPr>
              <w:t>理工作。</w:t>
            </w:r>
          </w:p>
          <w:p w14:paraId="4E97FDD4">
            <w:pPr>
              <w:pStyle w:val="8"/>
              <w:keepNext w:val="0"/>
              <w:keepLines w:val="0"/>
              <w:numPr>
                <w:ilvl w:val="0"/>
                <w:numId w:val="0"/>
              </w:numPr>
              <w:suppressLineNumbers w:val="0"/>
              <w:shd w:val="clear"/>
              <w:tabs>
                <w:tab w:val="left" w:pos="780"/>
              </w:tabs>
              <w:spacing w:before="0" w:beforeAutospacing="0" w:after="0" w:afterAutospacing="0" w:line="360" w:lineRule="auto"/>
              <w:ind w:right="0" w:firstLine="480" w:firstLineChars="200"/>
              <w:jc w:val="both"/>
              <w:outlineLvl w:val="2"/>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新疆医科大学附属肿瘤医院于2025年10月27日发布了《关于调整放射防护及辐射安全管理委员会委员的通知》（新医大附肿〔2025〕75号），该通知调整了辐射安全管理委员会相关成员，具体为由医院法人张永刚担任放射防护及辐射安全管理委员会主任，吴兰华担任放射防护及辐射安全管理委员会副主任，相关科室人员任放射防护及辐射安全管理委员会委员，</w:t>
            </w:r>
            <w:r>
              <w:rPr>
                <w:rFonts w:hint="default" w:ascii="Times New Roman" w:hAnsi="Times New Roman" w:cs="Times New Roman"/>
                <w:b w:val="0"/>
                <w:bCs w:val="0"/>
                <w:color w:val="auto"/>
                <w:sz w:val="24"/>
                <w:szCs w:val="24"/>
                <w:highlight w:val="none"/>
                <w:lang w:val="en-US" w:eastAsia="zh-CN"/>
              </w:rPr>
              <w:t>戴姗姗</w:t>
            </w:r>
            <w:r>
              <w:rPr>
                <w:rFonts w:hint="default" w:ascii="Times New Roman" w:hAnsi="Times New Roman" w:eastAsia="宋体" w:cs="Times New Roman"/>
                <w:b w:val="0"/>
                <w:bCs w:val="0"/>
                <w:color w:val="auto"/>
                <w:sz w:val="24"/>
                <w:szCs w:val="24"/>
                <w:highlight w:val="none"/>
                <w:lang w:val="en-US" w:eastAsia="zh-CN"/>
              </w:rPr>
              <w:t>任辐射安全管理专职人员</w:t>
            </w:r>
            <w:r>
              <w:rPr>
                <w:rFonts w:hint="default" w:ascii="Times New Roman" w:hAnsi="Times New Roman" w:cs="Times New Roman"/>
                <w:b w:val="0"/>
                <w:bCs w:val="0"/>
                <w:color w:val="auto"/>
                <w:sz w:val="24"/>
                <w:szCs w:val="24"/>
                <w:highlight w:val="none"/>
                <w:lang w:val="en-US" w:eastAsia="zh-CN"/>
              </w:rPr>
              <w:t>。辐射安全管理委员会委员</w:t>
            </w:r>
          </w:p>
          <w:p w14:paraId="5EDB07BD">
            <w:pPr>
              <w:pStyle w:val="8"/>
              <w:keepNext w:val="0"/>
              <w:keepLines w:val="0"/>
              <w:numPr>
                <w:ilvl w:val="0"/>
                <w:numId w:val="0"/>
              </w:numPr>
              <w:suppressLineNumbers w:val="0"/>
              <w:shd w:val="clear"/>
              <w:tabs>
                <w:tab w:val="left" w:pos="780"/>
              </w:tabs>
              <w:spacing w:before="0" w:beforeAutospacing="0" w:after="0" w:afterAutospacing="0" w:line="360" w:lineRule="auto"/>
              <w:ind w:right="0" w:firstLine="480" w:firstLineChars="200"/>
              <w:jc w:val="both"/>
              <w:outlineLvl w:val="2"/>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放射防护及辐射安全管理委员会工作职责如下：</w:t>
            </w:r>
          </w:p>
          <w:p w14:paraId="54A04A3C">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lang w:val="en-US" w:eastAsia="zh-CN"/>
              </w:rPr>
              <w:t>会议统筹管理</w:t>
            </w:r>
          </w:p>
          <w:p w14:paraId="7C0C3B76">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建立常态化会议机制，每半年定期组织召开</w:t>
            </w:r>
            <w:r>
              <w:rPr>
                <w:rFonts w:hint="default" w:ascii="Times New Roman" w:hAnsi="Times New Roman" w:cs="Times New Roman"/>
                <w:b w:val="0"/>
                <w:bCs w:val="0"/>
                <w:color w:val="auto"/>
                <w:sz w:val="24"/>
                <w:szCs w:val="24"/>
                <w:highlight w:val="none"/>
                <w:lang w:val="en-US" w:eastAsia="zh-CN"/>
              </w:rPr>
              <w:t>辐射安全</w:t>
            </w:r>
            <w:r>
              <w:rPr>
                <w:rFonts w:hint="default" w:ascii="Times New Roman" w:hAnsi="Times New Roman" w:eastAsia="宋体" w:cs="Times New Roman"/>
                <w:b w:val="0"/>
                <w:bCs w:val="0"/>
                <w:color w:val="auto"/>
                <w:sz w:val="24"/>
                <w:szCs w:val="24"/>
                <w:highlight w:val="none"/>
                <w:lang w:val="en-US" w:eastAsia="zh-CN"/>
              </w:rPr>
              <w:t>专项工作会议；针对突发情况、重大事项等特殊需求，可随时召开专题会议研究部署、决议相关工作，保障决策高效落地。</w:t>
            </w:r>
          </w:p>
          <w:p w14:paraId="0F8E2BDD">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）法规宣传贯彻</w:t>
            </w:r>
          </w:p>
          <w:p w14:paraId="2CCA5FDB">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牵头做好辐射安全与职业病防治领域合规宣贯，全面宣传、落实《</w:t>
            </w:r>
            <w:r>
              <w:rPr>
                <w:rFonts w:hint="default" w:ascii="Times New Roman" w:hAnsi="Times New Roman" w:cs="Times New Roman"/>
                <w:b w:val="0"/>
                <w:bCs w:val="0"/>
                <w:color w:val="auto"/>
                <w:sz w:val="24"/>
                <w:szCs w:val="24"/>
                <w:highlight w:val="none"/>
                <w:lang w:val="en-US" w:eastAsia="zh-CN"/>
              </w:rPr>
              <w:t>中华人民共和国生态环境法典</w:t>
            </w:r>
            <w:r>
              <w:rPr>
                <w:rFonts w:hint="default" w:ascii="Times New Roman" w:hAnsi="Times New Roman" w:eastAsia="宋体" w:cs="Times New Roman"/>
                <w:b w:val="0"/>
                <w:bCs w:val="0"/>
                <w:color w:val="auto"/>
                <w:sz w:val="24"/>
                <w:szCs w:val="24"/>
                <w:highlight w:val="none"/>
                <w:lang w:val="en-US" w:eastAsia="zh-CN"/>
              </w:rPr>
              <w:t>》《中华人民共和国职业病防治法》《</w:t>
            </w:r>
            <w:r>
              <w:rPr>
                <w:rFonts w:hint="default" w:ascii="Times New Roman" w:hAnsi="Times New Roman" w:eastAsia="宋体" w:cs="Times New Roman"/>
                <w:b w:val="0"/>
                <w:bCs w:val="0"/>
                <w:color w:val="auto"/>
                <w:sz w:val="24"/>
                <w:szCs w:val="24"/>
                <w:highlight w:val="none"/>
                <w:vertAlign w:val="baseline"/>
                <w:lang w:val="en-US" w:eastAsia="zh-CN"/>
              </w:rPr>
              <w:t>放射性同位素</w:t>
            </w:r>
            <w:r>
              <w:rPr>
                <w:rFonts w:hint="default" w:ascii="Times New Roman" w:hAnsi="Times New Roman" w:eastAsia="宋体" w:cs="Times New Roman"/>
                <w:b w:val="0"/>
                <w:bCs w:val="0"/>
                <w:color w:val="auto"/>
                <w:sz w:val="24"/>
                <w:szCs w:val="24"/>
                <w:highlight w:val="none"/>
                <w:lang w:val="en-US" w:eastAsia="zh-CN"/>
              </w:rPr>
              <w:t>及射线装置安全和防护条例》等相关法律法规，筑牢依法依规管理的基础。</w:t>
            </w:r>
          </w:p>
          <w:p w14:paraId="5074A56B">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建设项目合规评价</w:t>
            </w:r>
          </w:p>
          <w:p w14:paraId="46F78CFE">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针对医院新、改、扩建</w:t>
            </w:r>
            <w:r>
              <w:rPr>
                <w:rFonts w:hint="default" w:ascii="Times New Roman" w:hAnsi="Times New Roman" w:cs="Times New Roman"/>
                <w:b w:val="0"/>
                <w:bCs w:val="0"/>
                <w:color w:val="auto"/>
                <w:sz w:val="24"/>
                <w:szCs w:val="24"/>
                <w:highlight w:val="none"/>
                <w:lang w:val="en-US" w:eastAsia="zh-CN"/>
              </w:rPr>
              <w:t>核技术利用</w:t>
            </w:r>
            <w:r>
              <w:rPr>
                <w:rFonts w:hint="default" w:ascii="Times New Roman" w:hAnsi="Times New Roman" w:eastAsia="宋体" w:cs="Times New Roman"/>
                <w:b w:val="0"/>
                <w:bCs w:val="0"/>
                <w:color w:val="auto"/>
                <w:sz w:val="24"/>
                <w:szCs w:val="24"/>
                <w:highlight w:val="none"/>
                <w:lang w:val="en-US" w:eastAsia="zh-CN"/>
              </w:rPr>
              <w:t>建设项目，严格选聘具备专业资质的第三方技术服务机构，开展专项评价工作，从源头把控放射诊疗项目建设合规性。</w:t>
            </w:r>
          </w:p>
          <w:p w14:paraId="4A52206E">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（4）</w:t>
            </w:r>
            <w:r>
              <w:rPr>
                <w:rFonts w:hint="default" w:ascii="Times New Roman" w:hAnsi="Times New Roman" w:eastAsia="宋体" w:cs="Times New Roman"/>
                <w:b w:val="0"/>
                <w:bCs w:val="0"/>
                <w:color w:val="auto"/>
                <w:sz w:val="24"/>
                <w:szCs w:val="24"/>
                <w:highlight w:val="none"/>
                <w:lang w:val="en-US" w:eastAsia="zh-CN"/>
              </w:rPr>
              <w:t>设备场所检测管控</w:t>
            </w:r>
          </w:p>
          <w:p w14:paraId="713894C7">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定期委托有资质技术机构，对医院</w:t>
            </w:r>
            <w:r>
              <w:rPr>
                <w:rFonts w:hint="default" w:ascii="Times New Roman" w:hAnsi="Times New Roman" w:eastAsia="宋体" w:cs="Times New Roman"/>
                <w:b w:val="0"/>
                <w:bCs w:val="0"/>
                <w:color w:val="auto"/>
                <w:sz w:val="24"/>
                <w:szCs w:val="24"/>
                <w:highlight w:val="none"/>
                <w:vertAlign w:val="baseline"/>
                <w:lang w:val="en-US" w:eastAsia="zh-CN"/>
              </w:rPr>
              <w:t>放射性同位素</w:t>
            </w:r>
            <w:r>
              <w:rPr>
                <w:rFonts w:hint="default" w:ascii="Times New Roman" w:hAnsi="Times New Roman" w:eastAsia="宋体" w:cs="Times New Roman"/>
                <w:b w:val="0"/>
                <w:bCs w:val="0"/>
                <w:color w:val="auto"/>
                <w:sz w:val="24"/>
                <w:szCs w:val="24"/>
                <w:highlight w:val="none"/>
                <w:lang w:val="en-US" w:eastAsia="zh-CN"/>
              </w:rPr>
              <w:t>、射线装置的运行性能及作业场所开展专业检测；针对检测不合格的设备，及时拟定专项处理意见并上报医院，严控辐射安全风险。</w:t>
            </w:r>
          </w:p>
          <w:p w14:paraId="4B53ED48">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（5）</w:t>
            </w:r>
            <w:r>
              <w:rPr>
                <w:rFonts w:hint="default" w:ascii="Times New Roman" w:hAnsi="Times New Roman" w:eastAsia="宋体" w:cs="Times New Roman"/>
                <w:b w:val="0"/>
                <w:bCs w:val="0"/>
                <w:color w:val="auto"/>
                <w:sz w:val="24"/>
                <w:szCs w:val="24"/>
                <w:highlight w:val="none"/>
                <w:lang w:val="en-US" w:eastAsia="zh-CN"/>
              </w:rPr>
              <w:t>放射人员全周期管理</w:t>
            </w:r>
          </w:p>
          <w:p w14:paraId="0CAE55C9">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落实放射工作人员规范化管理，一方面统筹开展个人剂量监测、职业健康检查、放射防护及辐射安全专项培训等工作；另一方面严格执行人员准入、日常监督、定期考核全流程管控，保障从业人员合规上岗、安全作业。</w:t>
            </w:r>
          </w:p>
          <w:p w14:paraId="20B2F434">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（6）</w:t>
            </w:r>
            <w:r>
              <w:rPr>
                <w:rFonts w:hint="default" w:ascii="Times New Roman" w:hAnsi="Times New Roman" w:eastAsia="宋体" w:cs="Times New Roman"/>
                <w:b w:val="0"/>
                <w:bCs w:val="0"/>
                <w:color w:val="auto"/>
                <w:sz w:val="24"/>
                <w:szCs w:val="24"/>
                <w:highlight w:val="none"/>
                <w:lang w:val="en-US" w:eastAsia="zh-CN"/>
              </w:rPr>
              <w:t>防护保障与日常督查</w:t>
            </w:r>
          </w:p>
          <w:p w14:paraId="03327981">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配齐配全放射诊疗科室所需的辐射监测仪器、个人防护用品等物资；定期排查</w:t>
            </w:r>
            <w:r>
              <w:rPr>
                <w:rFonts w:hint="default" w:ascii="Times New Roman" w:hAnsi="Times New Roman" w:eastAsia="宋体" w:cs="Times New Roman"/>
                <w:b w:val="0"/>
                <w:bCs w:val="0"/>
                <w:color w:val="auto"/>
                <w:sz w:val="24"/>
                <w:szCs w:val="24"/>
                <w:highlight w:val="none"/>
                <w:vertAlign w:val="baseline"/>
                <w:lang w:val="en-US" w:eastAsia="zh-CN"/>
              </w:rPr>
              <w:t>放射性同位素</w:t>
            </w:r>
            <w:r>
              <w:rPr>
                <w:rFonts w:hint="default" w:ascii="Times New Roman" w:hAnsi="Times New Roman" w:eastAsia="宋体" w:cs="Times New Roman"/>
                <w:b w:val="0"/>
                <w:bCs w:val="0"/>
                <w:color w:val="auto"/>
                <w:sz w:val="24"/>
                <w:szCs w:val="24"/>
                <w:highlight w:val="none"/>
                <w:lang w:val="en-US" w:eastAsia="zh-CN"/>
              </w:rPr>
              <w:t>、射线装置防护措施落实情况，常态化督导防护规范执行，堵塞安全漏洞。</w:t>
            </w:r>
          </w:p>
          <w:p w14:paraId="1AD0A0C6">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（7）</w:t>
            </w:r>
            <w:r>
              <w:rPr>
                <w:rFonts w:hint="default" w:ascii="Times New Roman" w:hAnsi="Times New Roman" w:eastAsia="宋体" w:cs="Times New Roman"/>
                <w:b w:val="0"/>
                <w:bCs w:val="0"/>
                <w:color w:val="auto"/>
                <w:sz w:val="24"/>
                <w:szCs w:val="24"/>
                <w:highlight w:val="none"/>
                <w:lang w:val="en-US" w:eastAsia="zh-CN"/>
              </w:rPr>
              <w:t>应急处置与兜底任务</w:t>
            </w:r>
          </w:p>
          <w:p w14:paraId="7F43ADF2">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牵头负责辐射事故应急处置工作，定期组织相关科室开展辐射应急演练，提升应急处置能力；同时高效完成上级行政部门、院领导交办的其他临时性、专项性工作。</w:t>
            </w:r>
          </w:p>
          <w:p w14:paraId="7BEFE419">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医院各科室职责如下：</w:t>
            </w:r>
          </w:p>
          <w:p w14:paraId="1D492F88">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（1）医学工程科：辐射安全与设备防护统筹管理</w:t>
            </w:r>
            <w:r>
              <w:rPr>
                <w:rFonts w:hint="default" w:ascii="Times New Roman" w:hAnsi="Times New Roman" w:cs="Times New Roman"/>
                <w:b w:val="0"/>
                <w:bCs w:val="0"/>
                <w:color w:val="auto"/>
                <w:sz w:val="24"/>
                <w:szCs w:val="24"/>
                <w:highlight w:val="none"/>
                <w:lang w:val="en-US" w:eastAsia="zh-CN"/>
              </w:rPr>
              <w:t>；</w:t>
            </w:r>
          </w:p>
          <w:p w14:paraId="49D56A28">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（2）医务部：人员资质与健康风险管控</w:t>
            </w:r>
            <w:r>
              <w:rPr>
                <w:rFonts w:hint="default" w:ascii="Times New Roman" w:hAnsi="Times New Roman" w:cs="Times New Roman"/>
                <w:b w:val="0"/>
                <w:bCs w:val="0"/>
                <w:color w:val="auto"/>
                <w:sz w:val="24"/>
                <w:szCs w:val="24"/>
                <w:highlight w:val="none"/>
                <w:lang w:val="en-US" w:eastAsia="zh-CN"/>
              </w:rPr>
              <w:t>；</w:t>
            </w:r>
          </w:p>
          <w:p w14:paraId="0F576B4F">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（3）人力资源部：人员异动与政策落地</w:t>
            </w:r>
            <w:r>
              <w:rPr>
                <w:rFonts w:hint="default" w:ascii="Times New Roman" w:hAnsi="Times New Roman" w:cs="Times New Roman"/>
                <w:b w:val="0"/>
                <w:bCs w:val="0"/>
                <w:color w:val="auto"/>
                <w:sz w:val="24"/>
                <w:szCs w:val="24"/>
                <w:highlight w:val="none"/>
                <w:lang w:val="en-US" w:eastAsia="zh-CN"/>
              </w:rPr>
              <w:t>；</w:t>
            </w:r>
          </w:p>
          <w:p w14:paraId="2EAC388F">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（4）党委（医院）办公室：对外协调与会务统筹</w:t>
            </w:r>
            <w:r>
              <w:rPr>
                <w:rFonts w:hint="default" w:ascii="Times New Roman" w:hAnsi="Times New Roman" w:cs="Times New Roman"/>
                <w:b w:val="0"/>
                <w:bCs w:val="0"/>
                <w:color w:val="auto"/>
                <w:sz w:val="24"/>
                <w:szCs w:val="24"/>
                <w:highlight w:val="none"/>
                <w:lang w:val="en-US" w:eastAsia="zh-CN"/>
              </w:rPr>
              <w:t>；</w:t>
            </w:r>
          </w:p>
          <w:p w14:paraId="2A93EB9C">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（5）教学科研管理办公室：实习教学人员辐射管控</w:t>
            </w:r>
            <w:r>
              <w:rPr>
                <w:rFonts w:hint="default" w:ascii="Times New Roman" w:hAnsi="Times New Roman" w:cs="Times New Roman"/>
                <w:b w:val="0"/>
                <w:bCs w:val="0"/>
                <w:color w:val="auto"/>
                <w:sz w:val="24"/>
                <w:szCs w:val="24"/>
                <w:highlight w:val="none"/>
                <w:lang w:val="en-US" w:eastAsia="zh-CN"/>
              </w:rPr>
              <w:t>；</w:t>
            </w:r>
          </w:p>
          <w:p w14:paraId="5E2B7B61">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（6）</w:t>
            </w:r>
            <w:r>
              <w:rPr>
                <w:rFonts w:hint="default" w:ascii="Times New Roman" w:hAnsi="Times New Roman" w:eastAsia="宋体" w:cs="Times New Roman"/>
                <w:b w:val="0"/>
                <w:bCs w:val="0"/>
                <w:color w:val="auto"/>
                <w:sz w:val="24"/>
                <w:szCs w:val="24"/>
                <w:highlight w:val="none"/>
                <w:lang w:val="en-US" w:eastAsia="zh-CN"/>
              </w:rPr>
              <w:t>后勤管理科：放射性废弃物合规处置</w:t>
            </w:r>
            <w:r>
              <w:rPr>
                <w:rFonts w:hint="default" w:ascii="Times New Roman" w:hAnsi="Times New Roman" w:cs="Times New Roman"/>
                <w:b w:val="0"/>
                <w:bCs w:val="0"/>
                <w:color w:val="auto"/>
                <w:sz w:val="24"/>
                <w:szCs w:val="24"/>
                <w:highlight w:val="none"/>
                <w:lang w:val="en-US" w:eastAsia="zh-CN"/>
              </w:rPr>
              <w:t>；</w:t>
            </w:r>
          </w:p>
          <w:p w14:paraId="654E4EE6">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（7）</w:t>
            </w:r>
            <w:r>
              <w:rPr>
                <w:rFonts w:hint="default" w:ascii="Times New Roman" w:hAnsi="Times New Roman" w:eastAsia="宋体" w:cs="Times New Roman"/>
                <w:b w:val="0"/>
                <w:bCs w:val="0"/>
                <w:color w:val="auto"/>
                <w:sz w:val="24"/>
                <w:szCs w:val="24"/>
                <w:highlight w:val="none"/>
                <w:lang w:val="en-US" w:eastAsia="zh-CN"/>
              </w:rPr>
              <w:t>放射诊疗操作科室：一线防护落地与自查整改</w:t>
            </w:r>
            <w:r>
              <w:rPr>
                <w:rFonts w:hint="default" w:ascii="Times New Roman" w:hAnsi="Times New Roman" w:cs="Times New Roman"/>
                <w:b w:val="0"/>
                <w:bCs w:val="0"/>
                <w:color w:val="auto"/>
                <w:sz w:val="24"/>
                <w:szCs w:val="24"/>
                <w:highlight w:val="none"/>
                <w:lang w:val="en-US" w:eastAsia="zh-CN"/>
              </w:rPr>
              <w:t>；</w:t>
            </w:r>
          </w:p>
          <w:p w14:paraId="23902846">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（8）</w:t>
            </w:r>
            <w:r>
              <w:rPr>
                <w:rFonts w:hint="default" w:ascii="Times New Roman" w:hAnsi="Times New Roman" w:eastAsia="宋体" w:cs="Times New Roman"/>
                <w:b w:val="0"/>
                <w:bCs w:val="0"/>
                <w:color w:val="auto"/>
                <w:sz w:val="24"/>
                <w:szCs w:val="24"/>
                <w:highlight w:val="none"/>
                <w:lang w:val="en-US" w:eastAsia="zh-CN"/>
              </w:rPr>
              <w:t>科室放射防护专干：基层防护专职联络员</w:t>
            </w:r>
            <w:r>
              <w:rPr>
                <w:rFonts w:hint="default" w:ascii="Times New Roman" w:hAnsi="Times New Roman" w:cs="Times New Roman"/>
                <w:b w:val="0"/>
                <w:bCs w:val="0"/>
                <w:color w:val="auto"/>
                <w:sz w:val="24"/>
                <w:szCs w:val="24"/>
                <w:highlight w:val="none"/>
                <w:lang w:val="en-US" w:eastAsia="zh-CN"/>
              </w:rPr>
              <w:t>。</w:t>
            </w:r>
          </w:p>
          <w:p w14:paraId="37045DB4">
            <w:pPr>
              <w:pStyle w:val="8"/>
              <w:keepNext w:val="0"/>
              <w:keepLines w:val="0"/>
              <w:numPr>
                <w:ilvl w:val="0"/>
                <w:numId w:val="0"/>
              </w:numPr>
              <w:suppressLineNumbers w:val="0"/>
              <w:shd w:val="clear"/>
              <w:tabs>
                <w:tab w:val="left" w:pos="780"/>
              </w:tabs>
              <w:spacing w:before="0" w:beforeAutospacing="0" w:after="0" w:afterAutospacing="0" w:line="360" w:lineRule="auto"/>
              <w:ind w:right="0" w:firstLine="482" w:firstLineChars="200"/>
              <w:jc w:val="both"/>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12.2</w:t>
            </w:r>
            <w:r>
              <w:rPr>
                <w:rFonts w:hint="default" w:ascii="Times New Roman" w:hAnsi="Times New Roman" w:eastAsia="宋体" w:cs="Times New Roman"/>
                <w:color w:val="auto"/>
                <w:sz w:val="24"/>
                <w:szCs w:val="24"/>
                <w:highlight w:val="none"/>
              </w:rPr>
              <w:t>辐射安全管理规章制度</w:t>
            </w:r>
          </w:p>
          <w:p w14:paraId="57C3422F">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新疆医科大学附属肿瘤医院已建立完善的辐射安全管理体系，现行辐射安全管理制度主要包括《新疆医科大学附属肿瘤医院放射防护及辐射安全管理制度》《辐射安全总则》《辐射防护和安全保卫制度》《操作规程》《岗位职责》《设备检修维护制度》《人员培训制度》《辐射监测方案》《个人剂量管理和健康管理规定》《辐射监测仪器使用维护操作规程》《台账管理制度》《医院放射性废物处理规范》《放射防护及辐射安全管理制度(修订)的通知》《核医学SOP制度》《核医学规章制度细则》等，可规范医院现有核技术应用项目的日常运营、辐射防护、设备运维、人员管理、废物处置及监测台账等各项工作。</w:t>
            </w:r>
          </w:p>
          <w:p w14:paraId="7937C559">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针对本次新增</w:t>
            </w:r>
            <w:r>
              <w:rPr>
                <w:rFonts w:hint="eastAsia" w:cs="Times New Roman"/>
                <w:b w:val="0"/>
                <w:bCs w:val="0"/>
                <w:color w:val="auto"/>
                <w:sz w:val="24"/>
                <w:szCs w:val="24"/>
                <w:highlight w:val="none"/>
                <w:lang w:val="en-US" w:eastAsia="zh-CN"/>
              </w:rPr>
              <w:t>C-11</w:t>
            </w: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N-13</w:t>
            </w:r>
            <w:r>
              <w:rPr>
                <w:rFonts w:hint="default" w:ascii="Times New Roman" w:hAnsi="Times New Roman" w:eastAsia="宋体" w:cs="Times New Roman"/>
                <w:b w:val="0"/>
                <w:bCs w:val="0"/>
                <w:color w:val="auto"/>
                <w:sz w:val="24"/>
                <w:szCs w:val="24"/>
                <w:highlight w:val="none"/>
                <w:lang w:val="en-US" w:eastAsia="zh-CN"/>
              </w:rPr>
              <w:t>、Y-90核素使用的核技术应用项目，医院</w:t>
            </w:r>
            <w:r>
              <w:rPr>
                <w:rFonts w:hint="eastAsia" w:ascii="Times New Roman" w:hAnsi="Times New Roman" w:eastAsia="宋体" w:cs="Times New Roman"/>
                <w:b w:val="0"/>
                <w:bCs w:val="0"/>
                <w:color w:val="auto"/>
                <w:sz w:val="24"/>
                <w:szCs w:val="24"/>
                <w:highlight w:val="none"/>
                <w:lang w:val="en-US" w:eastAsia="zh-CN"/>
              </w:rPr>
              <w:t>拟</w:t>
            </w:r>
            <w:r>
              <w:rPr>
                <w:rFonts w:hint="default" w:ascii="Times New Roman" w:hAnsi="Times New Roman" w:eastAsia="宋体" w:cs="Times New Roman"/>
                <w:b w:val="0"/>
                <w:bCs w:val="0"/>
                <w:color w:val="auto"/>
                <w:sz w:val="24"/>
                <w:szCs w:val="24"/>
                <w:highlight w:val="none"/>
                <w:lang w:val="en-US" w:eastAsia="zh-CN"/>
              </w:rPr>
              <w:t>将结合项目核素种类、工艺特点及实际运营需求，对现有辐射安全管理规章制度进行补充、修订与完善，优化适配新增核素操作、辐射防护、污染防控、废物管理及应急处置等相关管理要求，确保项目运营全过程有章可循、合规可控，全面保障项目辐射环境安全与运营安全。</w:t>
            </w:r>
          </w:p>
          <w:p w14:paraId="3C040B20">
            <w:pPr>
              <w:pStyle w:val="8"/>
              <w:keepNext w:val="0"/>
              <w:keepLines w:val="0"/>
              <w:numPr>
                <w:ilvl w:val="0"/>
                <w:numId w:val="0"/>
              </w:numPr>
              <w:suppressLineNumbers w:val="0"/>
              <w:shd w:val="clear"/>
              <w:tabs>
                <w:tab w:val="left" w:pos="780"/>
              </w:tabs>
              <w:spacing w:before="0" w:beforeAutospacing="0" w:after="0" w:afterAutospacing="0" w:line="360" w:lineRule="auto"/>
              <w:ind w:right="0" w:firstLine="482" w:firstLineChars="200"/>
              <w:jc w:val="both"/>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12.3</w:t>
            </w:r>
            <w:r>
              <w:rPr>
                <w:rFonts w:hint="default" w:ascii="Times New Roman" w:hAnsi="Times New Roman" w:eastAsia="宋体" w:cs="Times New Roman"/>
                <w:color w:val="auto"/>
                <w:sz w:val="24"/>
                <w:szCs w:val="24"/>
                <w:highlight w:val="none"/>
              </w:rPr>
              <w:t>辐射监测</w:t>
            </w:r>
          </w:p>
          <w:p w14:paraId="307F9AB1">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本项目辐射监测分为工作场所及环境辐射监测、个人剂量监测。</w:t>
            </w:r>
          </w:p>
          <w:p w14:paraId="0864148A">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工作场所及环境辐射监测：</w:t>
            </w:r>
          </w:p>
          <w:p w14:paraId="24C08FC2">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医院须委托有资质的单位定期对辐射工作场所及周围环境进行</w:t>
            </w:r>
            <w:r>
              <w:rPr>
                <w:rFonts w:hint="default" w:ascii="Times New Roman" w:hAnsi="Times New Roman" w:cs="Times New Roman"/>
                <w:color w:val="auto"/>
                <w:sz w:val="24"/>
                <w:szCs w:val="24"/>
                <w:highlight w:val="none"/>
                <w:lang w:val="en-US" w:eastAsia="zh-CN"/>
              </w:rPr>
              <w:t>中子、</w:t>
            </w:r>
            <w:r>
              <w:rPr>
                <w:rFonts w:hint="default" w:ascii="Times New Roman" w:hAnsi="Times New Roman" w:eastAsia="宋体" w:cs="Times New Roman"/>
                <w:color w:val="auto"/>
                <w:sz w:val="24"/>
                <w:szCs w:val="24"/>
                <w:highlight w:val="none"/>
              </w:rPr>
              <w:t>X-γ辐射剂量率</w:t>
            </w:r>
            <w:r>
              <w:rPr>
                <w:rFonts w:hint="default" w:ascii="Times New Roman" w:hAnsi="Times New Roman" w:eastAsia="宋体" w:cs="Times New Roman"/>
                <w:color w:val="auto"/>
                <w:sz w:val="24"/>
                <w:szCs w:val="24"/>
                <w:highlight w:val="none"/>
                <w:lang w:eastAsia="zh-CN"/>
              </w:rPr>
              <w:t>以及</w:t>
            </w:r>
            <w:r>
              <w:rPr>
                <w:rFonts w:hint="default" w:ascii="Times New Roman" w:hAnsi="Times New Roman" w:eastAsia="宋体" w:cs="Times New Roman"/>
                <w:color w:val="auto"/>
                <w:sz w:val="24"/>
                <w:szCs w:val="24"/>
                <w:highlight w:val="none"/>
                <w:lang w:val="en-US" w:eastAsia="zh-CN"/>
              </w:rPr>
              <w:t>α/β表面沾污监测</w:t>
            </w:r>
            <w:r>
              <w:rPr>
                <w:rFonts w:hint="default" w:ascii="Times New Roman" w:hAnsi="Times New Roman" w:eastAsia="宋体" w:cs="Times New Roman"/>
                <w:color w:val="auto"/>
                <w:spacing w:val="-11"/>
                <w:sz w:val="24"/>
                <w:szCs w:val="24"/>
                <w:highlight w:val="none"/>
              </w:rPr>
              <w:t>，监测记录应清晰、准确、完整并纳入档案进行保存，监测数据每年年底向</w:t>
            </w:r>
            <w:r>
              <w:rPr>
                <w:rFonts w:hint="default" w:ascii="Times New Roman" w:hAnsi="Times New Roman" w:eastAsia="宋体" w:cs="Times New Roman"/>
                <w:color w:val="auto"/>
                <w:spacing w:val="-11"/>
                <w:sz w:val="24"/>
                <w:szCs w:val="24"/>
                <w:highlight w:val="none"/>
                <w:lang w:eastAsia="zh-CN"/>
              </w:rPr>
              <w:t>生态环境主管部门</w:t>
            </w:r>
            <w:r>
              <w:rPr>
                <w:rFonts w:hint="default" w:ascii="Times New Roman" w:hAnsi="Times New Roman" w:eastAsia="宋体" w:cs="Times New Roman"/>
                <w:color w:val="auto"/>
                <w:spacing w:val="-6"/>
                <w:sz w:val="24"/>
                <w:szCs w:val="24"/>
                <w:highlight w:val="none"/>
              </w:rPr>
              <w:t>上报备案。射线装置进行维修前后，应分别进行一次监</w:t>
            </w:r>
            <w:r>
              <w:rPr>
                <w:rFonts w:hint="default" w:ascii="Times New Roman" w:hAnsi="Times New Roman" w:eastAsia="宋体" w:cs="Times New Roman"/>
                <w:color w:val="auto"/>
                <w:spacing w:val="-11"/>
                <w:sz w:val="24"/>
                <w:szCs w:val="24"/>
                <w:highlight w:val="none"/>
              </w:rPr>
              <w:t>测；事故发生后，在事故处理前后对周围环境分别进行一次监测。</w:t>
            </w:r>
            <w:r>
              <w:rPr>
                <w:rFonts w:hint="default" w:ascii="Times New Roman" w:hAnsi="Times New Roman" w:eastAsia="宋体" w:cs="Times New Roman"/>
                <w:color w:val="auto"/>
                <w:spacing w:val="-11"/>
                <w:sz w:val="24"/>
                <w:szCs w:val="24"/>
                <w:highlight w:val="none"/>
                <w:lang w:eastAsia="zh-CN"/>
              </w:rPr>
              <w:t>非密封放射性物质工作场所</w:t>
            </w:r>
            <w:r>
              <w:rPr>
                <w:rFonts w:hint="default" w:ascii="Times New Roman" w:hAnsi="Times New Roman" w:eastAsia="宋体" w:cs="Times New Roman"/>
                <w:color w:val="auto"/>
                <w:spacing w:val="-11"/>
                <w:sz w:val="24"/>
                <w:szCs w:val="24"/>
                <w:highlight w:val="none"/>
              </w:rPr>
              <w:t>退役</w:t>
            </w:r>
            <w:r>
              <w:rPr>
                <w:rFonts w:hint="default" w:ascii="Times New Roman" w:hAnsi="Times New Roman" w:eastAsia="宋体" w:cs="Times New Roman"/>
                <w:color w:val="auto"/>
                <w:sz w:val="24"/>
                <w:szCs w:val="24"/>
                <w:highlight w:val="none"/>
              </w:rPr>
              <w:t>时，应进行一次退役监测。</w:t>
            </w:r>
            <w:r>
              <w:rPr>
                <w:rFonts w:hint="default" w:ascii="Times New Roman" w:hAnsi="Times New Roman" w:eastAsia="宋体" w:cs="Times New Roman"/>
                <w:color w:val="auto"/>
                <w:sz w:val="24"/>
                <w:szCs w:val="24"/>
                <w:highlight w:val="none"/>
                <w:lang w:eastAsia="zh-CN"/>
              </w:rPr>
              <w:t>监测时设备应处于正常运行中，</w:t>
            </w:r>
            <w:r>
              <w:rPr>
                <w:rFonts w:hint="default" w:ascii="Times New Roman" w:hAnsi="Times New Roman" w:eastAsia="宋体" w:cs="Times New Roman"/>
                <w:color w:val="auto"/>
                <w:sz w:val="24"/>
                <w:szCs w:val="24"/>
                <w:highlight w:val="none"/>
                <w:lang w:val="en-US" w:eastAsia="zh-CN"/>
              </w:rPr>
              <w:t>监测点位应包括机房四周墙外30cm、工作人员通道门及患者入口门外、线缆孔洞等易泄露射线位置以及可能造成表面沾染的位置。</w:t>
            </w:r>
          </w:p>
          <w:p w14:paraId="03B6E498">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个人剂量监测：</w:t>
            </w:r>
          </w:p>
          <w:p w14:paraId="4381ED19">
            <w:pPr>
              <w:keepNext w:val="0"/>
              <w:keepLines w:val="0"/>
              <w:widowControl/>
              <w:suppressLineNumbers w:val="0"/>
              <w:shd w:val="clear"/>
              <w:spacing w:before="0" w:beforeAutospacing="0" w:after="0" w:afterAutospacing="0" w:line="360" w:lineRule="auto"/>
              <w:ind w:left="0" w:right="0" w:firstLine="436" w:firstLineChars="200"/>
              <w:jc w:val="both"/>
              <w:rPr>
                <w:rFonts w:hint="default" w:ascii="Times New Roman" w:hAnsi="Times New Roman" w:eastAsia="宋体" w:cs="Times New Roman"/>
                <w:color w:val="auto"/>
                <w:spacing w:val="-11"/>
                <w:sz w:val="24"/>
                <w:szCs w:val="24"/>
                <w:highlight w:val="none"/>
              </w:rPr>
            </w:pPr>
            <w:r>
              <w:rPr>
                <w:rFonts w:hint="default" w:ascii="Times New Roman" w:hAnsi="Times New Roman" w:eastAsia="宋体" w:cs="Times New Roman"/>
                <w:color w:val="auto"/>
                <w:spacing w:val="-11"/>
                <w:sz w:val="24"/>
                <w:szCs w:val="24"/>
                <w:highlight w:val="none"/>
              </w:rPr>
              <w:t>辐射工作人员工作时要求佩戴个人剂量计，且按每季度 1 次的频度送其个人剂量计至有资质的部门进行个人剂量监测，医院应严格按照国家法规和相关标准进行个人剂量监测和相关的防护管理工作。建立了个人剂量档案并妥善保管。个人剂量监测档案包括辐射操作人员姓名、性别、起始工作时间、监测年份、职业类别、每周期受照剂量、年有效剂量、多年累积有效剂量等内容。</w:t>
            </w:r>
          </w:p>
          <w:p w14:paraId="491C973C">
            <w:pPr>
              <w:pStyle w:val="8"/>
              <w:keepNext w:val="0"/>
              <w:keepLines w:val="0"/>
              <w:numPr>
                <w:ilvl w:val="0"/>
                <w:numId w:val="0"/>
              </w:numPr>
              <w:suppressLineNumbers w:val="0"/>
              <w:shd w:val="clear"/>
              <w:tabs>
                <w:tab w:val="left" w:pos="780"/>
              </w:tabs>
              <w:spacing w:before="0" w:beforeAutospacing="0" w:after="0" w:afterAutospacing="0" w:line="360" w:lineRule="auto"/>
              <w:ind w:left="221" w:leftChars="0" w:right="0"/>
              <w:jc w:val="both"/>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12.4</w:t>
            </w:r>
            <w:r>
              <w:rPr>
                <w:rFonts w:hint="default" w:ascii="Times New Roman" w:hAnsi="Times New Roman" w:eastAsia="宋体" w:cs="Times New Roman"/>
                <w:color w:val="auto"/>
                <w:sz w:val="24"/>
                <w:szCs w:val="24"/>
                <w:highlight w:val="none"/>
              </w:rPr>
              <w:t>辐射事故应急预案</w:t>
            </w:r>
            <w:r>
              <w:rPr>
                <w:rFonts w:hint="default" w:ascii="Times New Roman" w:hAnsi="Times New Roman" w:eastAsia="宋体" w:cs="Times New Roman"/>
                <w:color w:val="auto"/>
                <w:sz w:val="24"/>
                <w:szCs w:val="24"/>
                <w:highlight w:val="none"/>
                <w:lang w:val="en-US" w:eastAsia="zh-CN"/>
              </w:rPr>
              <w:t xml:space="preserve"> </w:t>
            </w:r>
          </w:p>
          <w:p w14:paraId="6576AC51">
            <w:pPr>
              <w:pStyle w:val="12"/>
              <w:keepNext w:val="0"/>
              <w:keepLines w:val="0"/>
              <w:suppressLineNumbers w:val="0"/>
              <w:shd w:val="clear"/>
              <w:spacing w:before="0" w:beforeAutospacing="0" w:after="0" w:afterAutospacing="0" w:line="360" w:lineRule="auto"/>
              <w:ind w:left="0" w:right="0" w:firstLine="480" w:firstLineChars="200"/>
              <w:jc w:val="both"/>
              <w:rPr>
                <w:rFonts w:hint="default" w:ascii="Times New Roman" w:hAnsi="Times New Roman" w:cs="Times New Roman"/>
                <w:color w:val="auto"/>
                <w:spacing w:val="-6"/>
                <w:sz w:val="24"/>
                <w:szCs w:val="24"/>
                <w:highlight w:val="none"/>
                <w:lang w:eastAsia="zh-CN"/>
              </w:rPr>
            </w:pPr>
            <w:r>
              <w:rPr>
                <w:rFonts w:hint="default" w:ascii="Times New Roman" w:hAnsi="Times New Roman" w:eastAsia="宋体" w:cs="Times New Roman"/>
                <w:color w:val="auto"/>
                <w:sz w:val="24"/>
                <w:szCs w:val="24"/>
                <w:highlight w:val="none"/>
              </w:rPr>
              <w:t>根据国家《</w:t>
            </w:r>
            <w:r>
              <w:rPr>
                <w:rFonts w:hint="default" w:ascii="Times New Roman" w:hAnsi="Times New Roman" w:eastAsia="宋体" w:cs="Times New Roman"/>
                <w:color w:val="auto"/>
                <w:sz w:val="24"/>
                <w:szCs w:val="24"/>
                <w:highlight w:val="none"/>
                <w:vertAlign w:val="baseline"/>
              </w:rPr>
              <w:t>放射性同位素</w:t>
            </w:r>
            <w:r>
              <w:rPr>
                <w:rFonts w:hint="default" w:ascii="Times New Roman" w:hAnsi="Times New Roman" w:eastAsia="宋体" w:cs="Times New Roman"/>
                <w:color w:val="auto"/>
                <w:sz w:val="24"/>
                <w:szCs w:val="24"/>
                <w:highlight w:val="none"/>
              </w:rPr>
              <w:t>与射线装置安全和防护条例》</w:t>
            </w:r>
            <w:r>
              <w:rPr>
                <w:rFonts w:hint="default" w:ascii="Times New Roman" w:hAnsi="Times New Roman" w:eastAsia="宋体" w:cs="Times New Roman"/>
                <w:color w:val="auto"/>
                <w:spacing w:val="-6"/>
                <w:sz w:val="24"/>
                <w:szCs w:val="24"/>
                <w:highlight w:val="none"/>
              </w:rPr>
              <w:t>和</w:t>
            </w:r>
            <w:r>
              <w:rPr>
                <w:rFonts w:hint="default" w:ascii="Times New Roman" w:hAnsi="Times New Roman" w:eastAsia="宋体" w:cs="Times New Roman"/>
                <w:color w:val="auto"/>
                <w:spacing w:val="-6"/>
                <w:sz w:val="24"/>
                <w:szCs w:val="24"/>
                <w:highlight w:val="none"/>
                <w:lang w:eastAsia="zh-CN"/>
              </w:rPr>
              <w:t>生态</w:t>
            </w:r>
            <w:r>
              <w:rPr>
                <w:rFonts w:hint="default" w:ascii="Times New Roman" w:hAnsi="Times New Roman" w:eastAsia="宋体" w:cs="Times New Roman"/>
                <w:color w:val="auto"/>
                <w:spacing w:val="-6"/>
                <w:sz w:val="24"/>
                <w:szCs w:val="24"/>
                <w:highlight w:val="none"/>
              </w:rPr>
              <w:t>环境主管部门的要求</w:t>
            </w:r>
            <w:r>
              <w:rPr>
                <w:rFonts w:hint="default" w:ascii="Times New Roman" w:hAnsi="Times New Roman" w:cs="Times New Roman"/>
                <w:color w:val="auto"/>
                <w:spacing w:val="-6"/>
                <w:sz w:val="24"/>
                <w:szCs w:val="24"/>
                <w:highlight w:val="none"/>
                <w:lang w:eastAsia="zh-CN"/>
              </w:rPr>
              <w:t>新疆医科大学附属肿瘤医院</w:t>
            </w:r>
            <w:r>
              <w:rPr>
                <w:rFonts w:hint="default" w:ascii="Times New Roman" w:hAnsi="Times New Roman" w:eastAsia="宋体" w:cs="Times New Roman"/>
                <w:color w:val="auto"/>
                <w:spacing w:val="-6"/>
                <w:sz w:val="24"/>
                <w:szCs w:val="24"/>
                <w:highlight w:val="none"/>
              </w:rPr>
              <w:t>已制定</w:t>
            </w:r>
            <w:r>
              <w:rPr>
                <w:rFonts w:hint="default" w:ascii="Times New Roman" w:hAnsi="Times New Roman" w:cs="Times New Roman"/>
                <w:color w:val="auto"/>
                <w:spacing w:val="-6"/>
                <w:sz w:val="24"/>
                <w:szCs w:val="24"/>
                <w:highlight w:val="none"/>
                <w:lang w:val="zh-CN" w:eastAsia="zh-CN"/>
              </w:rPr>
              <w:t>《</w:t>
            </w:r>
            <w:r>
              <w:rPr>
                <w:rFonts w:hint="default" w:ascii="Times New Roman" w:hAnsi="Times New Roman" w:cs="Times New Roman"/>
                <w:color w:val="auto"/>
                <w:sz w:val="24"/>
                <w:szCs w:val="24"/>
                <w:highlight w:val="none"/>
                <w:lang w:val="zh-CN" w:eastAsia="zh-CN"/>
              </w:rPr>
              <w:t>新疆医科大学附属肿瘤医院辐射事故应急处理预案</w:t>
            </w:r>
            <w:r>
              <w:rPr>
                <w:rFonts w:hint="default" w:ascii="Times New Roman" w:hAnsi="Times New Roman" w:cs="Times New Roman"/>
                <w:color w:val="auto"/>
                <w:spacing w:val="-6"/>
                <w:sz w:val="24"/>
                <w:szCs w:val="24"/>
                <w:highlight w:val="none"/>
                <w:lang w:val="zh-CN" w:eastAsia="zh-CN"/>
              </w:rPr>
              <w:t>》</w:t>
            </w:r>
            <w:r>
              <w:rPr>
                <w:rFonts w:hint="default" w:ascii="Times New Roman" w:hAnsi="Times New Roman" w:cs="Times New Roman"/>
                <w:color w:val="auto"/>
                <w:spacing w:val="-6"/>
                <w:sz w:val="24"/>
                <w:szCs w:val="24"/>
                <w:highlight w:val="none"/>
                <w:lang w:eastAsia="zh-CN"/>
              </w:rPr>
              <w:t>，成立了辐射事故应急处理领导小组，组长</w:t>
            </w:r>
            <w:r>
              <w:rPr>
                <w:rFonts w:hint="default" w:ascii="Times New Roman" w:hAnsi="Times New Roman" w:cs="Times New Roman"/>
                <w:color w:val="auto"/>
                <w:spacing w:val="-6"/>
                <w:sz w:val="24"/>
                <w:szCs w:val="24"/>
                <w:highlight w:val="none"/>
                <w:lang w:val="en-US" w:eastAsia="zh-CN"/>
              </w:rPr>
              <w:t>为</w:t>
            </w:r>
            <w:r>
              <w:rPr>
                <w:rFonts w:hint="default" w:ascii="Times New Roman" w:hAnsi="Times New Roman" w:cs="Times New Roman"/>
                <w:color w:val="auto"/>
                <w:spacing w:val="-6"/>
                <w:sz w:val="24"/>
                <w:szCs w:val="24"/>
                <w:highlight w:val="none"/>
                <w:lang w:eastAsia="zh-CN"/>
              </w:rPr>
              <w:t>张永刚，副组长</w:t>
            </w:r>
            <w:r>
              <w:rPr>
                <w:rFonts w:hint="default" w:ascii="Times New Roman" w:hAnsi="Times New Roman" w:cs="Times New Roman"/>
                <w:color w:val="auto"/>
                <w:spacing w:val="-6"/>
                <w:sz w:val="24"/>
                <w:szCs w:val="24"/>
                <w:highlight w:val="none"/>
                <w:lang w:val="en-US" w:eastAsia="zh-CN"/>
              </w:rPr>
              <w:t>为</w:t>
            </w:r>
            <w:r>
              <w:rPr>
                <w:rFonts w:hint="default" w:ascii="Times New Roman" w:hAnsi="Times New Roman" w:cs="Times New Roman"/>
                <w:color w:val="auto"/>
                <w:spacing w:val="-6"/>
                <w:sz w:val="24"/>
                <w:szCs w:val="24"/>
                <w:highlight w:val="none"/>
                <w:lang w:eastAsia="zh-CN"/>
              </w:rPr>
              <w:t>吴兰华，</w:t>
            </w:r>
            <w:r>
              <w:rPr>
                <w:rFonts w:hint="default" w:ascii="Times New Roman" w:hAnsi="Times New Roman" w:cs="Times New Roman"/>
                <w:color w:val="auto"/>
                <w:spacing w:val="-6"/>
                <w:sz w:val="24"/>
                <w:szCs w:val="24"/>
                <w:highlight w:val="none"/>
                <w:lang w:val="en-US" w:eastAsia="zh-CN"/>
              </w:rPr>
              <w:t>其他相关人员为</w:t>
            </w:r>
            <w:r>
              <w:rPr>
                <w:rFonts w:hint="default" w:ascii="Times New Roman" w:hAnsi="Times New Roman" w:cs="Times New Roman"/>
                <w:color w:val="auto"/>
                <w:spacing w:val="-6"/>
                <w:sz w:val="24"/>
                <w:szCs w:val="24"/>
                <w:highlight w:val="none"/>
                <w:lang w:eastAsia="zh-CN"/>
              </w:rPr>
              <w:t>组员。</w:t>
            </w:r>
          </w:p>
          <w:p w14:paraId="62DE9A0C">
            <w:pPr>
              <w:pStyle w:val="12"/>
              <w:keepNext w:val="0"/>
              <w:keepLines w:val="0"/>
              <w:suppressLineNumbers w:val="0"/>
              <w:shd w:val="clear"/>
              <w:spacing w:before="0" w:beforeAutospacing="0" w:after="0" w:afterAutospacing="0" w:line="360" w:lineRule="auto"/>
              <w:ind w:left="0" w:right="0" w:firstLine="456" w:firstLineChars="200"/>
              <w:jc w:val="both"/>
              <w:rPr>
                <w:rFonts w:hint="default" w:ascii="Times New Roman" w:hAnsi="Times New Roman" w:eastAsia="宋体" w:cs="Times New Roman"/>
                <w:color w:val="auto"/>
                <w:spacing w:val="-5"/>
                <w:sz w:val="24"/>
                <w:szCs w:val="24"/>
                <w:highlight w:val="none"/>
                <w:lang w:val="en-US" w:eastAsia="zh-CN"/>
              </w:rPr>
            </w:pPr>
            <w:r>
              <w:rPr>
                <w:rFonts w:hint="default" w:ascii="Times New Roman" w:hAnsi="Times New Roman" w:cs="Times New Roman"/>
                <w:color w:val="auto"/>
                <w:spacing w:val="-6"/>
                <w:sz w:val="24"/>
                <w:szCs w:val="24"/>
                <w:highlight w:val="none"/>
                <w:lang w:val="en-US" w:eastAsia="zh-CN"/>
              </w:rPr>
              <w:t>本项目投运前，应完善</w:t>
            </w:r>
            <w:r>
              <w:rPr>
                <w:rFonts w:hint="default" w:ascii="Times New Roman" w:hAnsi="Times New Roman" w:eastAsia="宋体" w:cs="Times New Roman"/>
                <w:color w:val="auto"/>
                <w:sz w:val="24"/>
                <w:szCs w:val="24"/>
                <w:highlight w:val="none"/>
                <w:lang w:val="zh-CN" w:eastAsia="zh-CN"/>
              </w:rPr>
              <w:t>辐射事故应急预案，</w:t>
            </w:r>
            <w:r>
              <w:rPr>
                <w:rFonts w:hint="default" w:ascii="Times New Roman" w:hAnsi="Times New Roman" w:eastAsia="宋体" w:cs="Times New Roman"/>
                <w:color w:val="auto"/>
                <w:sz w:val="24"/>
                <w:szCs w:val="24"/>
                <w:highlight w:val="none"/>
                <w:lang w:val="en-US" w:eastAsia="zh-CN"/>
              </w:rPr>
              <w:t>将</w:t>
            </w:r>
            <w:r>
              <w:rPr>
                <w:rFonts w:hint="eastAsia" w:cs="Times New Roman"/>
                <w:color w:val="auto"/>
                <w:sz w:val="24"/>
                <w:szCs w:val="24"/>
                <w:highlight w:val="none"/>
                <w:lang w:val="en-US" w:eastAsia="zh-CN"/>
              </w:rPr>
              <w:t>新增C-11</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N-13、Ac-225</w:t>
            </w:r>
            <w:r>
              <w:rPr>
                <w:rFonts w:hint="default" w:ascii="Times New Roman" w:hAnsi="Times New Roman" w:cs="Times New Roman"/>
                <w:color w:val="auto"/>
                <w:sz w:val="24"/>
                <w:szCs w:val="24"/>
                <w:highlight w:val="none"/>
                <w:lang w:val="en-US" w:eastAsia="zh-CN"/>
              </w:rPr>
              <w:t>、Y-90核素使用</w:t>
            </w:r>
            <w:r>
              <w:rPr>
                <w:rFonts w:hint="eastAsia" w:cs="Times New Roman"/>
                <w:color w:val="auto"/>
                <w:sz w:val="24"/>
                <w:szCs w:val="24"/>
                <w:highlight w:val="none"/>
                <w:lang w:val="en-US" w:eastAsia="zh-CN"/>
              </w:rPr>
              <w:t>相关</w:t>
            </w:r>
            <w:r>
              <w:rPr>
                <w:rFonts w:hint="default" w:ascii="Times New Roman" w:hAnsi="Times New Roman" w:eastAsia="宋体" w:cs="Times New Roman"/>
                <w:color w:val="auto"/>
                <w:sz w:val="24"/>
                <w:szCs w:val="24"/>
                <w:highlight w:val="none"/>
                <w:lang w:val="en-US" w:eastAsia="zh-CN"/>
              </w:rPr>
              <w:t>应急响应内容</w:t>
            </w:r>
            <w:r>
              <w:rPr>
                <w:rFonts w:hint="eastAsia" w:cs="Times New Roman"/>
                <w:color w:val="auto"/>
                <w:sz w:val="24"/>
                <w:szCs w:val="24"/>
                <w:highlight w:val="none"/>
                <w:lang w:val="en-US" w:eastAsia="zh-CN"/>
              </w:rPr>
              <w:t>，I-131胶囊破损应急响应内容</w:t>
            </w:r>
            <w:r>
              <w:rPr>
                <w:rFonts w:hint="default" w:ascii="Times New Roman" w:hAnsi="Times New Roman" w:eastAsia="宋体" w:cs="Times New Roman"/>
                <w:color w:val="auto"/>
                <w:sz w:val="24"/>
                <w:szCs w:val="24"/>
                <w:highlight w:val="none"/>
                <w:lang w:val="en-US" w:eastAsia="zh-CN"/>
              </w:rPr>
              <w:t>纳入现有应急预案中，</w:t>
            </w:r>
            <w:r>
              <w:rPr>
                <w:rFonts w:hint="default" w:ascii="Times New Roman" w:hAnsi="Times New Roman" w:eastAsia="宋体" w:cs="Times New Roman"/>
                <w:color w:val="auto"/>
                <w:spacing w:val="-6"/>
                <w:sz w:val="24"/>
                <w:szCs w:val="24"/>
                <w:highlight w:val="none"/>
              </w:rPr>
              <w:t>对应急</w:t>
            </w:r>
            <w:r>
              <w:rPr>
                <w:rFonts w:hint="default" w:ascii="Times New Roman" w:hAnsi="Times New Roman" w:eastAsia="宋体" w:cs="Times New Roman"/>
                <w:color w:val="auto"/>
                <w:spacing w:val="-10"/>
                <w:sz w:val="24"/>
                <w:szCs w:val="24"/>
                <w:highlight w:val="none"/>
              </w:rPr>
              <w:t>措施、事故后续处理等</w:t>
            </w:r>
            <w:r>
              <w:rPr>
                <w:rFonts w:hint="default" w:ascii="Times New Roman" w:hAnsi="Times New Roman" w:cs="Times New Roman"/>
                <w:color w:val="auto"/>
                <w:spacing w:val="-10"/>
                <w:sz w:val="24"/>
                <w:szCs w:val="24"/>
                <w:highlight w:val="none"/>
                <w:lang w:eastAsia="zh-CN"/>
              </w:rPr>
              <w:t>做出</w:t>
            </w:r>
            <w:r>
              <w:rPr>
                <w:rFonts w:hint="default" w:ascii="Times New Roman" w:hAnsi="Times New Roman" w:eastAsia="宋体" w:cs="Times New Roman"/>
                <w:color w:val="auto"/>
                <w:spacing w:val="-10"/>
                <w:sz w:val="24"/>
                <w:szCs w:val="24"/>
                <w:highlight w:val="none"/>
              </w:rPr>
              <w:t>要求，明确建立应急机构和人员职责分工，应急人员的组织、培训以及应急，辐射事故分类与应急响应的措施。</w:t>
            </w:r>
            <w:r>
              <w:rPr>
                <w:rFonts w:hint="default" w:ascii="Times New Roman" w:hAnsi="Times New Roman" w:cs="Times New Roman"/>
                <w:color w:val="auto"/>
                <w:spacing w:val="-10"/>
                <w:sz w:val="24"/>
                <w:szCs w:val="24"/>
                <w:highlight w:val="none"/>
                <w:lang w:val="en-US" w:eastAsia="zh-CN"/>
              </w:rPr>
              <w:t>预案修订时应同时参照《新疆维吾尔自治区辐射事故应急预案》，（新政办发〔2021〕81号），完善辐射事故应急预案中的《辐射事故初始报告表》、《辐射事故后续报告表》。</w:t>
            </w:r>
          </w:p>
          <w:p w14:paraId="3AFBAAF0">
            <w:pPr>
              <w:pStyle w:val="8"/>
              <w:keepNext w:val="0"/>
              <w:keepLines w:val="0"/>
              <w:numPr>
                <w:ilvl w:val="0"/>
                <w:numId w:val="0"/>
              </w:numPr>
              <w:suppressLineNumbers w:val="0"/>
              <w:shd w:val="clear"/>
              <w:tabs>
                <w:tab w:val="left" w:pos="780"/>
              </w:tabs>
              <w:spacing w:before="0" w:beforeAutospacing="0" w:after="0" w:afterAutospacing="0" w:line="360" w:lineRule="auto"/>
              <w:ind w:right="0" w:firstLine="482" w:firstLineChars="200"/>
              <w:jc w:val="both"/>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12.5</w:t>
            </w:r>
            <w:r>
              <w:rPr>
                <w:rFonts w:hint="default" w:ascii="Times New Roman" w:hAnsi="Times New Roman" w:eastAsia="宋体" w:cs="Times New Roman"/>
                <w:color w:val="auto"/>
                <w:sz w:val="24"/>
                <w:szCs w:val="24"/>
                <w:highlight w:val="none"/>
              </w:rPr>
              <w:t>应急预案分析评价</w:t>
            </w:r>
          </w:p>
          <w:p w14:paraId="0CE3F50F">
            <w:pPr>
              <w:pStyle w:val="3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56" w:firstLineChars="200"/>
              <w:jc w:val="both"/>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cs="Times New Roman"/>
                <w:b w:val="0"/>
                <w:bCs w:val="0"/>
                <w:color w:val="auto"/>
                <w:spacing w:val="-6"/>
                <w:sz w:val="24"/>
                <w:szCs w:val="24"/>
                <w:highlight w:val="none"/>
                <w:lang w:eastAsia="zh-CN"/>
              </w:rPr>
              <w:t>新疆医科大学附属肿瘤医院</w:t>
            </w:r>
            <w:r>
              <w:rPr>
                <w:rFonts w:hint="default" w:ascii="Times New Roman" w:hAnsi="Times New Roman" w:eastAsia="宋体" w:cs="Times New Roman"/>
                <w:b w:val="0"/>
                <w:bCs w:val="0"/>
                <w:color w:val="auto"/>
                <w:spacing w:val="-6"/>
                <w:sz w:val="24"/>
                <w:szCs w:val="24"/>
                <w:highlight w:val="none"/>
                <w:lang w:val="en-US" w:eastAsia="zh-CN"/>
              </w:rPr>
              <w:t>为</w:t>
            </w:r>
            <w:r>
              <w:rPr>
                <w:rFonts w:hint="default" w:ascii="Times New Roman" w:hAnsi="Times New Roman" w:cs="Times New Roman"/>
                <w:b w:val="0"/>
                <w:bCs w:val="0"/>
                <w:color w:val="auto"/>
                <w:spacing w:val="-6"/>
                <w:sz w:val="24"/>
                <w:szCs w:val="24"/>
                <w:highlight w:val="none"/>
                <w:lang w:val="en-US" w:eastAsia="zh-CN"/>
              </w:rPr>
              <w:t>核技术</w:t>
            </w:r>
            <w:r>
              <w:rPr>
                <w:rFonts w:hint="default" w:ascii="Times New Roman" w:hAnsi="Times New Roman" w:eastAsia="宋体" w:cs="Times New Roman"/>
                <w:b w:val="0"/>
                <w:bCs w:val="0"/>
                <w:color w:val="auto"/>
                <w:spacing w:val="-6"/>
                <w:sz w:val="24"/>
                <w:szCs w:val="24"/>
                <w:highlight w:val="none"/>
                <w:lang w:val="en-US" w:eastAsia="zh-CN"/>
              </w:rPr>
              <w:t>利用单位，已制定</w:t>
            </w:r>
            <w:r>
              <w:rPr>
                <w:rFonts w:hint="default" w:ascii="Times New Roman" w:hAnsi="Times New Roman" w:cs="Times New Roman"/>
                <w:b w:val="0"/>
                <w:bCs w:val="0"/>
                <w:color w:val="auto"/>
                <w:spacing w:val="-6"/>
                <w:sz w:val="24"/>
                <w:szCs w:val="24"/>
                <w:highlight w:val="none"/>
                <w:lang w:val="zh-CN" w:eastAsia="zh-CN"/>
              </w:rPr>
              <w:t>《</w:t>
            </w:r>
            <w:r>
              <w:rPr>
                <w:rFonts w:hint="default" w:ascii="Times New Roman" w:hAnsi="Times New Roman" w:cs="Times New Roman"/>
                <w:b w:val="0"/>
                <w:bCs w:val="0"/>
                <w:color w:val="auto"/>
                <w:sz w:val="24"/>
                <w:szCs w:val="24"/>
                <w:highlight w:val="none"/>
                <w:lang w:val="zh-CN" w:eastAsia="zh-CN"/>
              </w:rPr>
              <w:t>新疆医科大学附属肿瘤医院辐射事故应急处理预案</w:t>
            </w:r>
            <w:r>
              <w:rPr>
                <w:rFonts w:hint="default" w:ascii="Times New Roman" w:hAnsi="Times New Roman" w:cs="Times New Roman"/>
                <w:b w:val="0"/>
                <w:bCs w:val="0"/>
                <w:color w:val="auto"/>
                <w:spacing w:val="-6"/>
                <w:sz w:val="24"/>
                <w:szCs w:val="24"/>
                <w:highlight w:val="none"/>
                <w:lang w:val="zh-CN" w:eastAsia="zh-CN"/>
              </w:rPr>
              <w:t>》，</w:t>
            </w:r>
            <w:r>
              <w:rPr>
                <w:rFonts w:hint="default" w:ascii="Times New Roman" w:hAnsi="Times New Roman" w:eastAsia="宋体" w:cs="Times New Roman"/>
                <w:b w:val="0"/>
                <w:bCs w:val="0"/>
                <w:color w:val="auto"/>
                <w:sz w:val="24"/>
                <w:szCs w:val="24"/>
                <w:highlight w:val="none"/>
              </w:rPr>
              <w:t>成立</w:t>
            </w:r>
            <w:r>
              <w:rPr>
                <w:rFonts w:hint="default" w:ascii="Times New Roman" w:hAnsi="Times New Roman" w:cs="Times New Roman"/>
                <w:b w:val="0"/>
                <w:bCs w:val="0"/>
                <w:color w:val="auto"/>
                <w:sz w:val="24"/>
                <w:szCs w:val="24"/>
                <w:highlight w:val="none"/>
                <w:lang w:eastAsia="zh-CN"/>
              </w:rPr>
              <w:t>了</w:t>
            </w:r>
            <w:r>
              <w:rPr>
                <w:rFonts w:hint="default" w:ascii="Times New Roman" w:hAnsi="Times New Roman" w:eastAsia="宋体" w:cs="Times New Roman"/>
                <w:b w:val="0"/>
                <w:bCs w:val="0"/>
                <w:color w:val="auto"/>
                <w:sz w:val="24"/>
                <w:szCs w:val="24"/>
                <w:highlight w:val="none"/>
              </w:rPr>
              <w:t>辐射事故应急组织机构，</w:t>
            </w:r>
            <w:r>
              <w:rPr>
                <w:rFonts w:hint="default" w:ascii="Times New Roman" w:hAnsi="Times New Roman" w:eastAsia="宋体" w:cs="Times New Roman"/>
                <w:b w:val="0"/>
                <w:bCs w:val="0"/>
                <w:color w:val="auto"/>
                <w:sz w:val="24"/>
                <w:szCs w:val="24"/>
                <w:highlight w:val="none"/>
                <w:lang w:eastAsia="zh-CN"/>
              </w:rPr>
              <w:t>相关科室负责人为辐射事故应急组织机构组长，现场医师、技师为组员，协助组长完成事故现场处置工作</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定期开展辐射应急演练，根据调查了解，医院应急演练每年开展一次，有突发情况临时增加演练</w:t>
            </w:r>
            <w:r>
              <w:rPr>
                <w:rFonts w:hint="default" w:ascii="Times New Roman" w:hAnsi="Times New Roman" w:eastAsia="宋体" w:cs="Times New Roman"/>
                <w:b w:val="0"/>
                <w:bCs w:val="0"/>
                <w:color w:val="auto"/>
                <w:sz w:val="24"/>
                <w:szCs w:val="24"/>
                <w:highlight w:val="none"/>
                <w:lang w:eastAsia="zh-CN"/>
              </w:rPr>
              <w:t>。医院辐射事故应急预案中应急措施较全面</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执行性较强</w:t>
            </w:r>
            <w:r>
              <w:rPr>
                <w:rFonts w:hint="default" w:ascii="Times New Roman" w:hAnsi="Times New Roman" w:eastAsia="宋体" w:cs="Times New Roman"/>
                <w:b w:val="0"/>
                <w:bCs w:val="0"/>
                <w:color w:val="auto"/>
                <w:sz w:val="24"/>
                <w:szCs w:val="24"/>
                <w:highlight w:val="none"/>
                <w:lang w:eastAsia="zh-CN"/>
              </w:rPr>
              <w:t>，但缺少应急</w:t>
            </w:r>
            <w:r>
              <w:rPr>
                <w:rFonts w:hint="default" w:ascii="Times New Roman" w:hAnsi="Times New Roman" w:cs="Times New Roman"/>
                <w:b w:val="0"/>
                <w:bCs w:val="0"/>
                <w:color w:val="auto"/>
                <w:sz w:val="24"/>
                <w:szCs w:val="24"/>
                <w:highlight w:val="none"/>
                <w:lang w:val="en-US" w:eastAsia="zh-CN"/>
              </w:rPr>
              <w:t>演练影像记录和应急演练后回顾总结的内容。</w:t>
            </w:r>
            <w:r>
              <w:rPr>
                <w:rFonts w:hint="default" w:ascii="Times New Roman" w:hAnsi="Times New Roman" w:eastAsia="宋体" w:cs="Times New Roman"/>
                <w:b w:val="0"/>
                <w:bCs w:val="0"/>
                <w:color w:val="auto"/>
                <w:sz w:val="24"/>
                <w:szCs w:val="24"/>
                <w:highlight w:val="none"/>
                <w:lang w:eastAsia="zh-CN"/>
              </w:rPr>
              <w:t>本项目投运前医院辐射事故应急预案需按《</w:t>
            </w:r>
            <w:r>
              <w:rPr>
                <w:rFonts w:hint="default" w:ascii="Times New Roman" w:hAnsi="Times New Roman" w:eastAsia="宋体" w:cs="Times New Roman"/>
                <w:b w:val="0"/>
                <w:bCs w:val="0"/>
                <w:color w:val="auto"/>
                <w:sz w:val="24"/>
                <w:szCs w:val="24"/>
                <w:highlight w:val="none"/>
                <w:vertAlign w:val="baseline"/>
                <w:lang w:eastAsia="zh-CN"/>
              </w:rPr>
              <w:t>放射性同位素</w:t>
            </w:r>
            <w:r>
              <w:rPr>
                <w:rFonts w:hint="default" w:ascii="Times New Roman" w:hAnsi="Times New Roman" w:eastAsia="宋体" w:cs="Times New Roman"/>
                <w:b w:val="0"/>
                <w:bCs w:val="0"/>
                <w:color w:val="auto"/>
                <w:sz w:val="24"/>
                <w:szCs w:val="24"/>
                <w:highlight w:val="none"/>
                <w:lang w:eastAsia="zh-CN"/>
              </w:rPr>
              <w:t>与射线装置安全和防护条例》补充完善，</w:t>
            </w:r>
            <w:r>
              <w:rPr>
                <w:rFonts w:hint="default" w:ascii="Times New Roman" w:hAnsi="Times New Roman" w:cs="Times New Roman"/>
                <w:b w:val="0"/>
                <w:bCs w:val="0"/>
                <w:color w:val="auto"/>
                <w:sz w:val="24"/>
                <w:szCs w:val="24"/>
                <w:highlight w:val="none"/>
                <w:lang w:val="en-US" w:eastAsia="zh-CN"/>
              </w:rPr>
              <w:t>并</w:t>
            </w:r>
            <w:r>
              <w:rPr>
                <w:rFonts w:hint="default" w:ascii="Times New Roman" w:hAnsi="Times New Roman" w:eastAsia="宋体" w:cs="Times New Roman"/>
                <w:b w:val="0"/>
                <w:bCs w:val="0"/>
                <w:color w:val="auto"/>
                <w:sz w:val="24"/>
                <w:szCs w:val="24"/>
                <w:highlight w:val="none"/>
                <w:lang w:eastAsia="zh-CN"/>
              </w:rPr>
              <w:t>将本次新增内容纳入医院现有的辐射防护管理体系。</w:t>
            </w:r>
          </w:p>
          <w:p w14:paraId="4CA957A1">
            <w:pPr>
              <w:pStyle w:val="32"/>
              <w:keepNext w:val="0"/>
              <w:keepLines w:val="0"/>
              <w:suppressLineNumbers w:val="0"/>
              <w:shd w:val="clear"/>
              <w:spacing w:before="1" w:beforeLines="0" w:beforeAutospacing="0" w:after="0" w:afterLines="0" w:afterAutospacing="0" w:line="360" w:lineRule="auto"/>
              <w:ind w:left="0" w:right="0" w:firstLine="482" w:firstLineChars="200"/>
              <w:jc w:val="both"/>
              <w:rPr>
                <w:rFonts w:hint="default" w:ascii="Times New Roman" w:hAnsi="Times New Roman" w:eastAsia="宋体" w:cs="Times New Roman"/>
                <w:b/>
                <w:bCs w:val="0"/>
                <w:color w:val="auto"/>
                <w:sz w:val="24"/>
                <w:szCs w:val="24"/>
                <w:highlight w:val="none"/>
                <w:lang w:eastAsia="zh-CN"/>
              </w:rPr>
            </w:pPr>
            <w:r>
              <w:rPr>
                <w:rFonts w:hint="default" w:ascii="Times New Roman" w:hAnsi="Times New Roman" w:eastAsia="宋体" w:cs="Times New Roman"/>
                <w:b/>
                <w:bCs w:val="0"/>
                <w:color w:val="auto"/>
                <w:sz w:val="24"/>
                <w:szCs w:val="24"/>
                <w:highlight w:val="none"/>
              </w:rPr>
              <w:t>12.</w:t>
            </w:r>
            <w:r>
              <w:rPr>
                <w:rFonts w:hint="eastAsia" w:cs="Times New Roman"/>
                <w:b/>
                <w:bCs w:val="0"/>
                <w:color w:val="auto"/>
                <w:sz w:val="24"/>
                <w:szCs w:val="24"/>
                <w:highlight w:val="none"/>
                <w:lang w:val="en-US" w:eastAsia="zh-CN"/>
              </w:rPr>
              <w:t>6</w:t>
            </w:r>
            <w:r>
              <w:rPr>
                <w:rFonts w:hint="default" w:ascii="Times New Roman" w:hAnsi="Times New Roman" w:eastAsia="宋体" w:cs="Times New Roman"/>
                <w:b/>
                <w:bCs w:val="0"/>
                <w:color w:val="auto"/>
                <w:sz w:val="24"/>
                <w:szCs w:val="24"/>
                <w:highlight w:val="none"/>
                <w:lang w:eastAsia="zh-CN"/>
              </w:rPr>
              <w:t>环保投资</w:t>
            </w:r>
          </w:p>
          <w:p w14:paraId="41E3461D">
            <w:pPr>
              <w:keepNext w:val="0"/>
              <w:keepLines w:val="0"/>
              <w:suppressLineNumbers w:val="0"/>
              <w:shd w:val="clear"/>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项目总投资20万元，全部为环保投资，环保投资占项目总投资比例100%；项目不涉及辐射防护施工，资金用于辐射相关监测设备采购、防护用品、人员管理及验收监测，明细如下</w:t>
            </w:r>
            <w:r>
              <w:rPr>
                <w:rFonts w:hint="default" w:ascii="Times New Roman" w:hAnsi="Times New Roman" w:eastAsia="宋体" w:cs="Times New Roman"/>
                <w:color w:val="auto"/>
                <w:sz w:val="24"/>
                <w:szCs w:val="24"/>
                <w:highlight w:val="none"/>
                <w:lang w:eastAsia="zh-CN"/>
              </w:rPr>
              <w:t>表</w:t>
            </w:r>
            <w:r>
              <w:rPr>
                <w:rFonts w:hint="default" w:ascii="Times New Roman" w:hAnsi="Times New Roman" w:eastAsia="宋体" w:cs="Times New Roman"/>
                <w:color w:val="auto"/>
                <w:sz w:val="24"/>
                <w:szCs w:val="24"/>
                <w:highlight w:val="none"/>
                <w:lang w:val="en-US" w:eastAsia="zh-CN"/>
              </w:rPr>
              <w:t>12-</w:t>
            </w:r>
            <w:r>
              <w:rPr>
                <w:rFonts w:hint="default"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w:t>
            </w:r>
          </w:p>
          <w:p w14:paraId="1BF5BE59">
            <w:pPr>
              <w:pStyle w:val="12"/>
              <w:keepNext w:val="0"/>
              <w:keepLines w:val="0"/>
              <w:suppressLineNumbers w:val="0"/>
              <w:shd w:val="clear"/>
              <w:spacing w:before="0" w:beforeLines="0" w:beforeAutospacing="0" w:after="0" w:afterLines="0" w:afterAutospacing="0" w:line="360" w:lineRule="auto"/>
              <w:ind w:left="0" w:right="0" w:firstLine="482" w:firstLineChars="200"/>
              <w:jc w:val="center"/>
              <w:rPr>
                <w:rFonts w:hint="default" w:ascii="Times New Roman" w:hAnsi="Times New Roman" w:eastAsia="宋体" w:cs="Times New Roman"/>
                <w:b/>
                <w:color w:val="auto"/>
                <w:kern w:val="0"/>
                <w:sz w:val="24"/>
                <w:szCs w:val="24"/>
                <w:highlight w:val="none"/>
              </w:rPr>
            </w:pPr>
            <w:r>
              <w:rPr>
                <w:rFonts w:hint="default" w:ascii="Times New Roman" w:hAnsi="Times New Roman" w:eastAsia="宋体" w:cs="Times New Roman"/>
                <w:b/>
                <w:color w:val="auto"/>
                <w:kern w:val="0"/>
                <w:sz w:val="24"/>
                <w:szCs w:val="24"/>
                <w:highlight w:val="none"/>
              </w:rPr>
              <w:t>表12-</w:t>
            </w:r>
            <w:r>
              <w:rPr>
                <w:rFonts w:hint="default" w:ascii="Times New Roman" w:hAnsi="Times New Roman" w:cs="Times New Roman"/>
                <w:b/>
                <w:color w:val="auto"/>
                <w:kern w:val="0"/>
                <w:sz w:val="24"/>
                <w:szCs w:val="24"/>
                <w:highlight w:val="none"/>
                <w:lang w:val="en-US" w:eastAsia="zh-CN"/>
              </w:rPr>
              <w:t>2</w:t>
            </w:r>
            <w:r>
              <w:rPr>
                <w:rFonts w:hint="default" w:ascii="Times New Roman" w:hAnsi="Times New Roman" w:eastAsia="宋体" w:cs="Times New Roman"/>
                <w:b/>
                <w:color w:val="auto"/>
                <w:kern w:val="0"/>
                <w:sz w:val="24"/>
                <w:szCs w:val="24"/>
                <w:highlight w:val="none"/>
                <w:lang w:val="en-US" w:eastAsia="zh-CN"/>
              </w:rPr>
              <w:t xml:space="preserve">  </w:t>
            </w:r>
            <w:r>
              <w:rPr>
                <w:rFonts w:hint="default" w:ascii="Times New Roman" w:hAnsi="Times New Roman" w:eastAsia="宋体" w:cs="Times New Roman"/>
                <w:b/>
                <w:color w:val="auto"/>
                <w:kern w:val="0"/>
                <w:sz w:val="24"/>
                <w:szCs w:val="24"/>
                <w:highlight w:val="none"/>
              </w:rPr>
              <w:t>环保投资一览表</w:t>
            </w:r>
          </w:p>
          <w:tbl>
            <w:tblPr>
              <w:tblStyle w:val="22"/>
              <w:tblW w:w="8856" w:type="dxa"/>
              <w:tblInd w:w="-1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4950"/>
              <w:gridCol w:w="2256"/>
            </w:tblGrid>
            <w:tr w14:paraId="557B19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50" w:type="dxa"/>
                  <w:tcBorders>
                    <w:tl2br w:val="nil"/>
                    <w:tr2bl w:val="nil"/>
                  </w:tcBorders>
                  <w:noWrap w:val="0"/>
                  <w:vAlign w:val="center"/>
                </w:tcPr>
                <w:p w14:paraId="0A85D1C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序号</w:t>
                  </w:r>
                </w:p>
              </w:tc>
              <w:tc>
                <w:tcPr>
                  <w:tcW w:w="4950" w:type="dxa"/>
                  <w:tcBorders>
                    <w:tl2br w:val="nil"/>
                    <w:tr2bl w:val="nil"/>
                  </w:tcBorders>
                  <w:noWrap w:val="0"/>
                  <w:vAlign w:val="center"/>
                </w:tcPr>
                <w:p w14:paraId="6EA9983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环保措施</w:t>
                  </w:r>
                </w:p>
              </w:tc>
              <w:tc>
                <w:tcPr>
                  <w:tcW w:w="2256" w:type="dxa"/>
                  <w:tcBorders>
                    <w:tl2br w:val="nil"/>
                    <w:tr2bl w:val="nil"/>
                  </w:tcBorders>
                  <w:noWrap w:val="0"/>
                  <w:vAlign w:val="center"/>
                </w:tcPr>
                <w:p w14:paraId="135DB4B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环保投资（万元）</w:t>
                  </w:r>
                </w:p>
              </w:tc>
            </w:tr>
            <w:tr w14:paraId="3327BB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1650" w:type="dxa"/>
                  <w:tcBorders>
                    <w:tl2br w:val="nil"/>
                    <w:tr2bl w:val="nil"/>
                  </w:tcBorders>
                  <w:noWrap w:val="0"/>
                  <w:vAlign w:val="center"/>
                </w:tcPr>
                <w:p w14:paraId="5D5AC9F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w:t>
                  </w:r>
                </w:p>
              </w:tc>
              <w:tc>
                <w:tcPr>
                  <w:tcW w:w="4950" w:type="dxa"/>
                  <w:tcBorders>
                    <w:tl2br w:val="nil"/>
                    <w:tr2bl w:val="nil"/>
                  </w:tcBorders>
                  <w:noWrap w:val="0"/>
                  <w:vAlign w:val="center"/>
                </w:tcPr>
                <w:p w14:paraId="1DC6C3E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介入2室新增1台</w:t>
                  </w:r>
                  <w:r>
                    <w:rPr>
                      <w:rFonts w:hint="default" w:ascii="Times New Roman" w:hAnsi="Times New Roman" w:cs="Times New Roman"/>
                      <w:color w:val="auto"/>
                      <w:sz w:val="21"/>
                      <w:szCs w:val="21"/>
                      <w:highlight w:val="none"/>
                      <w:lang w:val="en-US" w:eastAsia="zh-CN"/>
                    </w:rPr>
                    <w:t>表面污染检测仪</w:t>
                  </w:r>
                </w:p>
              </w:tc>
              <w:tc>
                <w:tcPr>
                  <w:tcW w:w="2256" w:type="dxa"/>
                  <w:tcBorders>
                    <w:tl2br w:val="nil"/>
                    <w:tr2bl w:val="nil"/>
                  </w:tcBorders>
                  <w:noWrap w:val="0"/>
                  <w:vAlign w:val="center"/>
                </w:tcPr>
                <w:p w14:paraId="44E7BA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r>
            <w:tr w14:paraId="68CB93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50" w:type="dxa"/>
                  <w:tcBorders>
                    <w:tl2br w:val="nil"/>
                    <w:tr2bl w:val="nil"/>
                  </w:tcBorders>
                  <w:noWrap w:val="0"/>
                  <w:vAlign w:val="center"/>
                </w:tcPr>
                <w:p w14:paraId="0A72797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4950" w:type="dxa"/>
                  <w:tcBorders>
                    <w:tl2br w:val="nil"/>
                    <w:tr2bl w:val="nil"/>
                  </w:tcBorders>
                  <w:noWrap w:val="0"/>
                  <w:vAlign w:val="center"/>
                </w:tcPr>
                <w:p w14:paraId="64D2191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Y-90树脂微球介入手术专业防护用品</w:t>
                  </w:r>
                </w:p>
              </w:tc>
              <w:tc>
                <w:tcPr>
                  <w:tcW w:w="2256" w:type="dxa"/>
                  <w:tcBorders>
                    <w:tl2br w:val="nil"/>
                    <w:tr2bl w:val="nil"/>
                  </w:tcBorders>
                  <w:noWrap w:val="0"/>
                  <w:vAlign w:val="center"/>
                </w:tcPr>
                <w:p w14:paraId="49FB12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r>
            <w:tr w14:paraId="1B4784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50" w:type="dxa"/>
                  <w:tcBorders>
                    <w:tl2br w:val="nil"/>
                    <w:tr2bl w:val="nil"/>
                  </w:tcBorders>
                  <w:noWrap w:val="0"/>
                  <w:vAlign w:val="center"/>
                </w:tcPr>
                <w:p w14:paraId="1E3EE98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p>
              </w:tc>
              <w:tc>
                <w:tcPr>
                  <w:tcW w:w="4950" w:type="dxa"/>
                  <w:tcBorders>
                    <w:tl2br w:val="nil"/>
                    <w:tr2bl w:val="nil"/>
                  </w:tcBorders>
                  <w:noWrap w:val="0"/>
                  <w:vAlign w:val="center"/>
                </w:tcPr>
                <w:p w14:paraId="1B1E35E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辐射工作人员培训、职业健康体检、个人剂量监测</w:t>
                  </w:r>
                </w:p>
              </w:tc>
              <w:tc>
                <w:tcPr>
                  <w:tcW w:w="2256" w:type="dxa"/>
                  <w:tcBorders>
                    <w:tl2br w:val="nil"/>
                    <w:tr2bl w:val="nil"/>
                  </w:tcBorders>
                  <w:noWrap w:val="0"/>
                  <w:vAlign w:val="center"/>
                </w:tcPr>
                <w:p w14:paraId="75A269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w:t>
                  </w:r>
                </w:p>
              </w:tc>
            </w:tr>
            <w:tr w14:paraId="6563DC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50" w:type="dxa"/>
                  <w:tcBorders>
                    <w:tl2br w:val="nil"/>
                    <w:tr2bl w:val="nil"/>
                  </w:tcBorders>
                  <w:noWrap w:val="0"/>
                  <w:vAlign w:val="center"/>
                </w:tcPr>
                <w:p w14:paraId="785ACFD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w:t>
                  </w:r>
                </w:p>
              </w:tc>
              <w:tc>
                <w:tcPr>
                  <w:tcW w:w="4950" w:type="dxa"/>
                  <w:tcBorders>
                    <w:tl2br w:val="nil"/>
                    <w:tr2bl w:val="nil"/>
                  </w:tcBorders>
                  <w:noWrap w:val="0"/>
                  <w:vAlign w:val="center"/>
                </w:tcPr>
                <w:p w14:paraId="526BA69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竣工环保验收、监测</w:t>
                  </w:r>
                </w:p>
              </w:tc>
              <w:tc>
                <w:tcPr>
                  <w:tcW w:w="2256" w:type="dxa"/>
                  <w:tcBorders>
                    <w:tl2br w:val="nil"/>
                    <w:tr2bl w:val="nil"/>
                  </w:tcBorders>
                  <w:noWrap w:val="0"/>
                  <w:vAlign w:val="center"/>
                </w:tcPr>
                <w:p w14:paraId="73C5C8C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r>
            <w:tr w14:paraId="122CD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00" w:type="dxa"/>
                  <w:gridSpan w:val="2"/>
                  <w:tcBorders>
                    <w:tl2br w:val="nil"/>
                    <w:tr2bl w:val="nil"/>
                  </w:tcBorders>
                  <w:noWrap w:val="0"/>
                  <w:vAlign w:val="center"/>
                </w:tcPr>
                <w:p w14:paraId="17E939A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合计</w:t>
                  </w:r>
                </w:p>
              </w:tc>
              <w:tc>
                <w:tcPr>
                  <w:tcW w:w="2256" w:type="dxa"/>
                  <w:tcBorders>
                    <w:tl2br w:val="nil"/>
                    <w:tr2bl w:val="nil"/>
                  </w:tcBorders>
                  <w:noWrap w:val="0"/>
                  <w:vAlign w:val="center"/>
                </w:tcPr>
                <w:p w14:paraId="642079C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20</w:t>
                  </w:r>
                </w:p>
              </w:tc>
            </w:tr>
          </w:tbl>
          <w:p w14:paraId="79A4C9C8">
            <w:pPr>
              <w:keepNext w:val="0"/>
              <w:keepLines w:val="0"/>
              <w:suppressLineNumbers w:val="0"/>
              <w:shd w:val="clear"/>
              <w:spacing w:before="0" w:beforeAutospacing="0" w:after="0" w:afterAutospacing="0" w:line="360" w:lineRule="auto"/>
              <w:ind w:left="0" w:right="0" w:firstLine="440" w:firstLineChars="20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2"/>
                <w:highlight w:val="none"/>
                <w:lang w:val="en-US" w:eastAsia="zh-CN"/>
              </w:rPr>
              <w:t xml:space="preserve">                                                                                                                                                                                                                                                                                                                                                                                                                                                  </w:t>
            </w:r>
          </w:p>
        </w:tc>
      </w:tr>
    </w:tbl>
    <w:p w14:paraId="3E2C3262">
      <w:pPr>
        <w:pStyle w:val="9"/>
        <w:shd w:val="clear"/>
        <w:rPr>
          <w:rFonts w:hint="default" w:ascii="Times New Roman" w:hAnsi="Times New Roman" w:eastAsia="宋体" w:cs="Times New Roman"/>
          <w:color w:val="auto"/>
          <w:highlight w:val="none"/>
        </w:rPr>
        <w:sectPr>
          <w:pgSz w:w="11910" w:h="16840"/>
          <w:pgMar w:top="1219" w:right="1185" w:bottom="1219" w:left="1100" w:header="0" w:footer="1417" w:gutter="0"/>
          <w:pgBorders>
            <w:top w:val="none" w:sz="0" w:space="0"/>
            <w:left w:val="none" w:sz="0" w:space="0"/>
            <w:bottom w:val="none" w:sz="0" w:space="0"/>
            <w:right w:val="none" w:sz="0" w:space="0"/>
          </w:pgBorders>
          <w:pgNumType w:fmt="decimal"/>
          <w:cols w:space="0" w:num="1"/>
        </w:sectPr>
      </w:pPr>
    </w:p>
    <w:p w14:paraId="3C428AA9">
      <w:pPr>
        <w:pStyle w:val="6"/>
        <w:shd w:val="clear"/>
        <w:rPr>
          <w:rFonts w:hint="default" w:ascii="Times New Roman" w:hAnsi="Times New Roman" w:eastAsia="宋体" w:cs="Times New Roman"/>
          <w:color w:val="auto"/>
          <w:highlight w:val="none"/>
        </w:rPr>
      </w:pPr>
      <w:bookmarkStart w:id="25" w:name="表13结论与建议"/>
      <w:bookmarkEnd w:id="25"/>
      <w:bookmarkStart w:id="26" w:name="_Toc3517"/>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13 结论与建议</w:t>
      </w:r>
      <w:bookmarkEnd w:id="26"/>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1"/>
      </w:tblGrid>
      <w:tr w14:paraId="4487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7" w:hRule="atLeast"/>
          <w:jc w:val="center"/>
        </w:trPr>
        <w:tc>
          <w:tcPr>
            <w:tcW w:w="9241" w:type="dxa"/>
          </w:tcPr>
          <w:p w14:paraId="7FEF9FF0">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13.1</w:t>
            </w:r>
            <w:r>
              <w:rPr>
                <w:rFonts w:hint="default" w:ascii="Times New Roman" w:hAnsi="Times New Roman" w:eastAsia="宋体" w:cs="Times New Roman"/>
                <w:b/>
                <w:bCs/>
                <w:color w:val="auto"/>
                <w:sz w:val="24"/>
                <w:szCs w:val="24"/>
                <w:highlight w:val="none"/>
              </w:rPr>
              <w:t>结论</w:t>
            </w:r>
          </w:p>
          <w:p w14:paraId="12E77A13">
            <w:pPr>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eastAsia="宋体" w:cs="Times New Roman"/>
                <w:color w:val="auto"/>
                <w:szCs w:val="24"/>
                <w:highlight w:val="none"/>
              </w:rPr>
            </w:pPr>
            <w:r>
              <w:rPr>
                <w:rFonts w:hint="default" w:ascii="Times New Roman" w:hAnsi="Times New Roman" w:eastAsia="宋体" w:cs="Times New Roman"/>
                <w:b/>
                <w:bCs/>
                <w:color w:val="auto"/>
                <w:sz w:val="24"/>
                <w:szCs w:val="24"/>
                <w:highlight w:val="none"/>
                <w:lang w:val="en-US" w:eastAsia="zh-CN"/>
              </w:rPr>
              <w:t>13.1.1</w:t>
            </w:r>
            <w:r>
              <w:rPr>
                <w:rFonts w:hint="default" w:ascii="Times New Roman" w:hAnsi="Times New Roman" w:eastAsia="宋体" w:cs="Times New Roman"/>
                <w:b/>
                <w:bCs/>
                <w:color w:val="auto"/>
                <w:sz w:val="24"/>
                <w:szCs w:val="24"/>
                <w:highlight w:val="none"/>
              </w:rPr>
              <w:t>实践的正当性</w:t>
            </w:r>
          </w:p>
          <w:p w14:paraId="5C09A4B1">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新疆医科大学附属肿瘤医院非密封放射性物质工作场所扩增项目</w:t>
            </w:r>
            <w:r>
              <w:rPr>
                <w:rFonts w:hint="default" w:ascii="Times New Roman" w:hAnsi="Times New Roman" w:eastAsia="宋体" w:cs="Times New Roman"/>
                <w:color w:val="auto"/>
                <w:sz w:val="24"/>
                <w:szCs w:val="24"/>
                <w:highlight w:val="none"/>
                <w:lang w:val="en-US" w:eastAsia="zh-CN"/>
              </w:rPr>
              <w:t>的建设，目的在于开展</w:t>
            </w:r>
            <w:r>
              <w:rPr>
                <w:rFonts w:hint="default" w:ascii="Times New Roman" w:hAnsi="Times New Roman" w:cs="Times New Roman"/>
                <w:color w:val="auto"/>
                <w:sz w:val="24"/>
                <w:szCs w:val="24"/>
                <w:highlight w:val="none"/>
                <w:lang w:val="en-US" w:eastAsia="zh-CN"/>
              </w:rPr>
              <w:t>核技术应用科研工作</w:t>
            </w:r>
            <w:r>
              <w:rPr>
                <w:rFonts w:hint="default" w:ascii="Times New Roman" w:hAnsi="Times New Roman" w:eastAsia="宋体" w:cs="Times New Roman"/>
                <w:color w:val="auto"/>
                <w:sz w:val="24"/>
                <w:szCs w:val="24"/>
                <w:highlight w:val="none"/>
                <w:lang w:val="en-US" w:eastAsia="zh-CN"/>
              </w:rPr>
              <w:t>，其获得的利益远大于辐射所造成的损害，符合电离辐射防护与辐射源安全标准》（GB18871-2002）中关于辐射防护“实践的正当性”的要求</w:t>
            </w:r>
            <w:r>
              <w:rPr>
                <w:rFonts w:hint="default" w:ascii="Times New Roman" w:hAnsi="Times New Roman" w:eastAsia="宋体" w:cs="Times New Roman"/>
                <w:color w:val="auto"/>
                <w:sz w:val="24"/>
                <w:szCs w:val="24"/>
                <w:highlight w:val="none"/>
              </w:rPr>
              <w:t>。</w:t>
            </w:r>
          </w:p>
          <w:p w14:paraId="7E980452">
            <w:pPr>
              <w:pStyle w:val="10"/>
              <w:keepNext w:val="0"/>
              <w:keepLines w:val="0"/>
              <w:pageBreakBefore w:val="0"/>
              <w:widowControl w:val="0"/>
              <w:numPr>
                <w:ilvl w:val="0"/>
                <w:numId w:val="0"/>
              </w:numPr>
              <w:suppressLineNumbers w:val="0"/>
              <w:shd w:val="clear"/>
              <w:tabs>
                <w:tab w:val="left" w:pos="880"/>
              </w:tabs>
              <w:kinsoku/>
              <w:wordWrap/>
              <w:overflowPunct/>
              <w:topLinePunct w:val="0"/>
              <w:autoSpaceDE w:val="0"/>
              <w:autoSpaceDN w:val="0"/>
              <w:bidi w:val="0"/>
              <w:adjustRightInd/>
              <w:snapToGrid/>
              <w:spacing w:before="0" w:beforeAutospacing="0" w:after="0" w:afterAutospacing="0" w:line="360" w:lineRule="auto"/>
              <w:ind w:left="221" w:leftChars="0" w:right="0" w:firstLine="241" w:firstLineChars="100"/>
              <w:jc w:val="both"/>
              <w:textAlignment w:val="auto"/>
              <w:outlineLvl w:val="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13.1.2</w:t>
            </w:r>
            <w:r>
              <w:rPr>
                <w:rFonts w:hint="default" w:ascii="Times New Roman" w:hAnsi="Times New Roman" w:eastAsia="宋体" w:cs="Times New Roman"/>
                <w:color w:val="auto"/>
                <w:sz w:val="24"/>
                <w:szCs w:val="24"/>
                <w:highlight w:val="none"/>
              </w:rPr>
              <w:t>产业政策符合性</w:t>
            </w:r>
          </w:p>
          <w:p w14:paraId="18A800C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本项目使用非密封放射性物质开展放射诊疗工作，符合国家发展和改革委员会《产业结构调整指导目录（2024年本）》中鼓励类项目（第六项核能，4．核技术应用：同位素、加速器及辐照应用技术开发，辐射防护技术开发与监测设备制造）和（第十三项医药，4．高端医疗器械创新发展：新型基因、蛋白和细胞诊断设备，新型医用诊断设备和试剂，高性能医学影像设备，高端放射治疗设备，急危重症生命支持设备，人工智能辅助医疗设备，移动与远程诊疗设备，高端康复辅助器具，高端植入介入产品，手术机器人等高端外科设备及耗材，生物医用材料、增材制造技术开发与应用），故本项目建设符合产业政策</w:t>
            </w:r>
            <w:r>
              <w:rPr>
                <w:rFonts w:hint="eastAsia" w:cs="Times New Roman"/>
                <w:color w:val="auto"/>
                <w:sz w:val="24"/>
                <w:szCs w:val="24"/>
                <w:highlight w:val="none"/>
                <w:lang w:val="en-US" w:eastAsia="zh-CN" w:bidi="ar-SA"/>
              </w:rPr>
              <w:t>。</w:t>
            </w:r>
          </w:p>
          <w:p w14:paraId="101A546C">
            <w:pPr>
              <w:pStyle w:val="10"/>
              <w:keepNext w:val="0"/>
              <w:keepLines w:val="0"/>
              <w:pageBreakBefore w:val="0"/>
              <w:widowControl w:val="0"/>
              <w:numPr>
                <w:ilvl w:val="0"/>
                <w:numId w:val="0"/>
              </w:numPr>
              <w:suppressLineNumbers w:val="0"/>
              <w:shd w:val="clear"/>
              <w:tabs>
                <w:tab w:val="left" w:pos="880"/>
              </w:tabs>
              <w:kinsoku/>
              <w:wordWrap/>
              <w:overflowPunct/>
              <w:topLinePunct w:val="0"/>
              <w:autoSpaceDE w:val="0"/>
              <w:autoSpaceDN w:val="0"/>
              <w:bidi w:val="0"/>
              <w:adjustRightInd/>
              <w:snapToGrid/>
              <w:spacing w:before="0" w:beforeAutospacing="0" w:after="0" w:afterAutospacing="0" w:line="360" w:lineRule="auto"/>
              <w:ind w:right="0" w:firstLine="482" w:firstLineChars="200"/>
              <w:jc w:val="both"/>
              <w:textAlignment w:val="auto"/>
              <w:outlineLvl w:val="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13.1.3</w:t>
            </w:r>
            <w:r>
              <w:rPr>
                <w:rFonts w:hint="default" w:ascii="Times New Roman" w:hAnsi="Times New Roman" w:eastAsia="宋体" w:cs="Times New Roman"/>
                <w:color w:val="auto"/>
                <w:sz w:val="24"/>
                <w:szCs w:val="24"/>
                <w:highlight w:val="none"/>
              </w:rPr>
              <w:t>选址的合理性</w:t>
            </w:r>
          </w:p>
          <w:p w14:paraId="6E372BFF">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120" w:leftChars="50" w:right="120" w:rightChars="50" w:firstLine="480" w:firstLineChars="20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本项目位于新疆维吾尔自治区乌鲁木齐市新市区肿瘤医院</w:t>
            </w:r>
            <w:r>
              <w:rPr>
                <w:rFonts w:hint="eastAsia" w:cs="Times New Roman"/>
                <w:color w:val="auto"/>
                <w:sz w:val="24"/>
                <w:szCs w:val="24"/>
                <w:highlight w:val="none"/>
                <w:lang w:val="en-US" w:eastAsia="zh-CN" w:bidi="ar-SA"/>
              </w:rPr>
              <w:t>内</w:t>
            </w:r>
            <w:r>
              <w:rPr>
                <w:rFonts w:hint="default" w:ascii="Times New Roman" w:hAnsi="Times New Roman" w:eastAsia="宋体" w:cs="Times New Roman"/>
                <w:color w:val="auto"/>
                <w:sz w:val="24"/>
                <w:szCs w:val="24"/>
                <w:highlight w:val="none"/>
                <w:lang w:val="en-US" w:eastAsia="zh-CN" w:bidi="ar-SA"/>
              </w:rPr>
              <w:t>已许可的北院区核医学楼和综合楼介入2室内进行扩建。评价范围50m内无学校、自然保护区、保护文物、风景名胜区、水源保护区等环境敏感目标</w:t>
            </w:r>
            <w:r>
              <w:rPr>
                <w:rFonts w:hint="default" w:ascii="Times New Roman" w:hAnsi="Times New Roman" w:cs="Times New Roman"/>
                <w:color w:val="auto"/>
                <w:sz w:val="24"/>
                <w:szCs w:val="24"/>
                <w:highlight w:val="none"/>
                <w:lang w:val="en-US" w:eastAsia="zh-CN" w:bidi="ar-SA"/>
              </w:rPr>
              <w:t>，项目选址符合《核医学辐射防护与安全要求》（HJ 1188-2021）和《核医学放射防护要求》（GBZ 120—2020）中的相关要求。</w:t>
            </w:r>
          </w:p>
          <w:p w14:paraId="15E14380">
            <w:pPr>
              <w:pStyle w:val="10"/>
              <w:keepNext w:val="0"/>
              <w:keepLines w:val="0"/>
              <w:pageBreakBefore w:val="0"/>
              <w:widowControl w:val="0"/>
              <w:numPr>
                <w:ilvl w:val="0"/>
                <w:numId w:val="0"/>
              </w:numPr>
              <w:suppressLineNumbers w:val="0"/>
              <w:shd w:val="clear"/>
              <w:tabs>
                <w:tab w:val="left" w:pos="880"/>
              </w:tabs>
              <w:kinsoku/>
              <w:wordWrap/>
              <w:overflowPunct/>
              <w:topLinePunct w:val="0"/>
              <w:autoSpaceDE w:val="0"/>
              <w:autoSpaceDN w:val="0"/>
              <w:bidi w:val="0"/>
              <w:adjustRightInd/>
              <w:snapToGrid/>
              <w:spacing w:before="0" w:beforeAutospacing="0" w:after="0" w:afterAutospacing="0" w:line="360" w:lineRule="auto"/>
              <w:ind w:right="0" w:firstLine="482" w:firstLineChars="200"/>
              <w:jc w:val="both"/>
              <w:textAlignment w:val="auto"/>
              <w:outlineLvl w:val="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13.1.4</w:t>
            </w:r>
            <w:r>
              <w:rPr>
                <w:rFonts w:hint="default" w:ascii="Times New Roman" w:hAnsi="Times New Roman" w:eastAsia="宋体" w:cs="Times New Roman"/>
                <w:color w:val="auto"/>
                <w:sz w:val="24"/>
                <w:szCs w:val="24"/>
                <w:highlight w:val="none"/>
              </w:rPr>
              <w:t>工程所在地区环境质量现状</w:t>
            </w:r>
          </w:p>
          <w:p w14:paraId="13AB251F">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bidi="ar-SA"/>
              </w:rPr>
            </w:pPr>
            <w:r>
              <w:rPr>
                <w:rFonts w:hint="default" w:ascii="Times New Roman" w:hAnsi="Times New Roman" w:eastAsia="宋体" w:cs="Times New Roman"/>
                <w:color w:val="auto"/>
                <w:sz w:val="24"/>
                <w:szCs w:val="24"/>
                <w:highlight w:val="none"/>
              </w:rPr>
              <w:t>由</w:t>
            </w:r>
            <w:r>
              <w:rPr>
                <w:rFonts w:hint="default" w:ascii="Times New Roman" w:hAnsi="Times New Roman" w:eastAsia="宋体" w:cs="Times New Roman"/>
                <w:color w:val="auto"/>
                <w:sz w:val="24"/>
                <w:szCs w:val="24"/>
                <w:highlight w:val="none"/>
                <w:lang w:eastAsia="zh-CN"/>
              </w:rPr>
              <w:t>辐射环境现状γ辐射剂量率</w:t>
            </w:r>
            <w:r>
              <w:rPr>
                <w:rFonts w:hint="default" w:ascii="Times New Roman" w:hAnsi="Times New Roman" w:eastAsia="宋体" w:cs="Times New Roman"/>
                <w:color w:val="auto"/>
                <w:sz w:val="24"/>
                <w:szCs w:val="24"/>
                <w:highlight w:val="none"/>
              </w:rPr>
              <w:t>监测结果</w:t>
            </w:r>
            <w:r>
              <w:rPr>
                <w:rFonts w:hint="eastAsia" w:cs="Times New Roman"/>
                <w:color w:val="auto"/>
                <w:sz w:val="24"/>
                <w:szCs w:val="24"/>
                <w:highlight w:val="none"/>
                <w:lang w:val="en-US" w:eastAsia="zh-CN"/>
              </w:rPr>
              <w:t>可知，</w:t>
            </w:r>
            <w:r>
              <w:rPr>
                <w:rFonts w:hint="default" w:ascii="Times New Roman" w:hAnsi="Times New Roman" w:eastAsia="宋体" w:cs="Times New Roman"/>
                <w:color w:val="auto"/>
                <w:sz w:val="24"/>
                <w:szCs w:val="24"/>
                <w:highlight w:val="none"/>
                <w:lang w:val="en-US" w:eastAsia="zh-CN"/>
              </w:rPr>
              <w:t>项目区</w:t>
            </w:r>
            <w:r>
              <w:rPr>
                <w:rFonts w:hint="eastAsia" w:cs="Times New Roman"/>
                <w:color w:val="auto"/>
                <w:sz w:val="24"/>
                <w:szCs w:val="24"/>
                <w:highlight w:val="none"/>
                <w:lang w:val="en-US" w:eastAsia="zh-CN"/>
              </w:rPr>
              <w:t>环境γ</w:t>
            </w:r>
            <w:r>
              <w:rPr>
                <w:rFonts w:hint="default" w:ascii="Times New Roman" w:hAnsi="Times New Roman" w:eastAsia="宋体" w:cs="Times New Roman"/>
                <w:color w:val="auto"/>
                <w:sz w:val="24"/>
                <w:szCs w:val="24"/>
                <w:highlight w:val="none"/>
                <w:lang w:val="en-US" w:eastAsia="zh-CN"/>
              </w:rPr>
              <w:t>辐射空气吸收剂量率处于正常本底，</w:t>
            </w:r>
            <w:r>
              <w:rPr>
                <w:rFonts w:hint="default" w:ascii="Times New Roman" w:hAnsi="Times New Roman" w:eastAsia="宋体" w:cs="Times New Roman"/>
                <w:color w:val="auto"/>
                <w:sz w:val="24"/>
                <w:szCs w:val="24"/>
                <w:highlight w:val="none"/>
              </w:rPr>
              <w:t>未发现辐射异常情况。由</w:t>
            </w:r>
            <w:r>
              <w:rPr>
                <w:rFonts w:hint="default" w:ascii="Times New Roman" w:hAnsi="Times New Roman" w:eastAsia="宋体" w:cs="Times New Roman"/>
                <w:color w:val="auto"/>
                <w:sz w:val="24"/>
                <w:szCs w:val="24"/>
                <w:highlight w:val="none"/>
                <w:lang w:eastAsia="zh-CN"/>
              </w:rPr>
              <w:t>辐射环境现状</w:t>
            </w:r>
            <w:r>
              <w:rPr>
                <w:rFonts w:hint="default" w:ascii="Times New Roman" w:hAnsi="Times New Roman" w:eastAsia="宋体" w:cs="Times New Roman"/>
                <w:color w:val="auto"/>
                <w:sz w:val="24"/>
                <w:szCs w:val="24"/>
                <w:highlight w:val="none"/>
                <w:lang w:val="en-US" w:eastAsia="zh-CN"/>
              </w:rPr>
              <w:t>α</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β表面污染</w:t>
            </w:r>
            <w:r>
              <w:rPr>
                <w:rFonts w:hint="default" w:ascii="Times New Roman" w:hAnsi="Times New Roman" w:eastAsia="宋体" w:cs="Times New Roman"/>
                <w:color w:val="auto"/>
                <w:sz w:val="24"/>
                <w:szCs w:val="24"/>
                <w:highlight w:val="none"/>
              </w:rPr>
              <w:t>监测结果可知</w:t>
            </w:r>
            <w:r>
              <w:rPr>
                <w:rFonts w:hint="default" w:ascii="Times New Roman" w:hAnsi="Times New Roman" w:eastAsia="宋体" w:cs="Times New Roman"/>
                <w:color w:val="auto"/>
                <w:sz w:val="24"/>
                <w:szCs w:val="24"/>
                <w:highlight w:val="none"/>
                <w:lang w:val="en-US" w:eastAsia="zh-CN"/>
              </w:rPr>
              <w:t>，项目区表面污染处于正常水平。</w:t>
            </w:r>
          </w:p>
          <w:p w14:paraId="67AB84D8">
            <w:pPr>
              <w:pStyle w:val="10"/>
              <w:keepNext w:val="0"/>
              <w:keepLines w:val="0"/>
              <w:pageBreakBefore w:val="0"/>
              <w:widowControl w:val="0"/>
              <w:numPr>
                <w:ilvl w:val="0"/>
                <w:numId w:val="0"/>
              </w:numPr>
              <w:suppressLineNumbers w:val="0"/>
              <w:shd w:val="clear"/>
              <w:tabs>
                <w:tab w:val="left" w:pos="880"/>
              </w:tabs>
              <w:kinsoku/>
              <w:wordWrap/>
              <w:overflowPunct/>
              <w:topLinePunct w:val="0"/>
              <w:autoSpaceDE w:val="0"/>
              <w:autoSpaceDN w:val="0"/>
              <w:bidi w:val="0"/>
              <w:adjustRightInd/>
              <w:snapToGrid/>
              <w:spacing w:before="0" w:beforeAutospacing="0" w:after="0" w:afterAutospacing="0" w:line="360" w:lineRule="auto"/>
              <w:ind w:right="0" w:firstLine="482" w:firstLineChars="200"/>
              <w:jc w:val="both"/>
              <w:textAlignment w:val="auto"/>
              <w:outlineLvl w:val="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13.1.5</w:t>
            </w:r>
            <w:r>
              <w:rPr>
                <w:rFonts w:hint="default" w:ascii="Times New Roman" w:hAnsi="Times New Roman" w:eastAsia="宋体" w:cs="Times New Roman"/>
                <w:color w:val="auto"/>
                <w:sz w:val="24"/>
                <w:szCs w:val="24"/>
                <w:highlight w:val="none"/>
              </w:rPr>
              <w:t>环境影响分析</w:t>
            </w:r>
          </w:p>
          <w:p w14:paraId="5226FBEB">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辐射</w:t>
            </w:r>
            <w:r>
              <w:rPr>
                <w:rFonts w:hint="default" w:ascii="Times New Roman" w:hAnsi="Times New Roman" w:eastAsia="宋体" w:cs="Times New Roman"/>
                <w:color w:val="auto"/>
                <w:sz w:val="24"/>
                <w:szCs w:val="24"/>
                <w:highlight w:val="none"/>
              </w:rPr>
              <w:t>环境影响分析</w:t>
            </w:r>
            <w:r>
              <w:rPr>
                <w:rFonts w:hint="default" w:ascii="Times New Roman" w:hAnsi="Times New Roman" w:eastAsia="宋体" w:cs="Times New Roman"/>
                <w:color w:val="auto"/>
                <w:sz w:val="24"/>
                <w:szCs w:val="24"/>
                <w:highlight w:val="none"/>
                <w:lang w:eastAsia="zh-CN"/>
              </w:rPr>
              <w:t>：</w:t>
            </w:r>
          </w:p>
          <w:p w14:paraId="389E5EC0">
            <w:pPr>
              <w:pStyle w:val="12"/>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Lines="0" w:beforeAutospacing="0" w:after="0" w:afterLines="0" w:afterAutospacing="0" w:line="440" w:lineRule="exact"/>
              <w:ind w:left="0" w:right="0" w:rightChars="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（1）本项目</w:t>
            </w:r>
            <w:r>
              <w:rPr>
                <w:rFonts w:hint="eastAsia" w:cs="Times New Roman"/>
                <w:color w:val="auto"/>
                <w:sz w:val="24"/>
                <w:szCs w:val="24"/>
                <w:highlight w:val="none"/>
                <w:lang w:val="en-US" w:eastAsia="zh-CN"/>
              </w:rPr>
              <w:t>各核医学科工作场所</w:t>
            </w:r>
            <w:r>
              <w:rPr>
                <w:rFonts w:hint="default" w:ascii="Times New Roman" w:hAnsi="Times New Roman" w:eastAsia="宋体" w:cs="Times New Roman"/>
                <w:color w:val="auto"/>
                <w:sz w:val="24"/>
                <w:szCs w:val="24"/>
                <w:highlight w:val="none"/>
              </w:rPr>
              <w:t>屏蔽措施能满足《核医学辐射防护与安全要求》（HJ1188-2021）</w:t>
            </w:r>
            <w:r>
              <w:rPr>
                <w:rFonts w:hint="default" w:ascii="Times New Roman" w:hAnsi="Times New Roman" w:cs="Times New Roman"/>
                <w:color w:val="auto"/>
                <w:sz w:val="24"/>
                <w:szCs w:val="24"/>
                <w:highlight w:val="none"/>
                <w:lang w:val="en-US" w:eastAsia="zh-CN"/>
              </w:rPr>
              <w:t>要求的：距核医学工作场所各控制区内房间防护门、观察窗和墙壁外表面30cm处的周围剂量当量率应小于2.5μSv/h，如屏蔽墙外的房间为人员偶尔居留的设备间等区域，其周围剂量当量率应小于10μSv/h。放射性药物合成和分装的箱体、通风橱、注射窗等设备应设有屏蔽结构，以保证设备外表面30cm处人员操作位的周围剂量当量率小于2.5μSv/h，放射性药物合成和分装箱体非正对人员操作位表面的周围剂量当量率小于25μSv/h。固体放射性废物收集桶、曝露于地面致使人员可以接近的放射性废液收集罐体和管道应增加相应屏蔽措施，以保证其外表面30cm处的周围剂量当量率小于2.5μSv/h。</w:t>
            </w:r>
          </w:p>
          <w:p w14:paraId="7B950FBD">
            <w:pPr>
              <w:pStyle w:val="10"/>
              <w:keepNext w:val="0"/>
              <w:keepLines w:val="0"/>
              <w:pageBreakBefore w:val="0"/>
              <w:widowControl w:val="0"/>
              <w:numPr>
                <w:ilvl w:val="0"/>
                <w:numId w:val="0"/>
              </w:numPr>
              <w:suppressLineNumbers w:val="0"/>
              <w:shd w:val="clear"/>
              <w:tabs>
                <w:tab w:val="left" w:pos="880"/>
              </w:tabs>
              <w:kinsoku/>
              <w:wordWrap/>
              <w:overflowPunct/>
              <w:topLinePunct w:val="0"/>
              <w:autoSpaceDE w:val="0"/>
              <w:autoSpaceDN w:val="0"/>
              <w:bidi w:val="0"/>
              <w:adjustRightInd/>
              <w:snapToGrid/>
              <w:spacing w:before="0" w:beforeAutospacing="0" w:after="0" w:afterAutospacing="0" w:line="440" w:lineRule="exact"/>
              <w:ind w:right="0" w:firstLine="480" w:firstLineChars="200"/>
              <w:jc w:val="both"/>
              <w:textAlignment w:val="auto"/>
              <w:outlineLvl w:val="4"/>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lang w:val="en-US" w:eastAsia="zh-CN"/>
              </w:rPr>
              <w:t>）本项目</w:t>
            </w:r>
            <w:r>
              <w:rPr>
                <w:rFonts w:hint="default" w:ascii="Times New Roman" w:hAnsi="Times New Roman" w:cs="Times New Roman"/>
                <w:b w:val="0"/>
                <w:bCs w:val="0"/>
                <w:color w:val="auto"/>
                <w:sz w:val="24"/>
                <w:szCs w:val="24"/>
                <w:highlight w:val="none"/>
                <w:lang w:val="en-US" w:eastAsia="zh-CN"/>
              </w:rPr>
              <w:t>产生的</w:t>
            </w:r>
            <w:r>
              <w:rPr>
                <w:rFonts w:hint="default" w:ascii="Times New Roman" w:hAnsi="Times New Roman" w:eastAsia="宋体" w:cs="Times New Roman"/>
                <w:b w:val="0"/>
                <w:bCs w:val="0"/>
                <w:color w:val="auto"/>
                <w:sz w:val="24"/>
                <w:szCs w:val="24"/>
                <w:highlight w:val="none"/>
                <w:lang w:val="en-US" w:eastAsia="zh-CN"/>
              </w:rPr>
              <w:t>放射性废气及气溶胶</w:t>
            </w:r>
            <w:r>
              <w:rPr>
                <w:rFonts w:hint="default" w:ascii="Times New Roman" w:hAnsi="Times New Roman" w:cs="Times New Roman"/>
                <w:b w:val="0"/>
                <w:bCs w:val="0"/>
                <w:color w:val="auto"/>
                <w:sz w:val="24"/>
                <w:szCs w:val="24"/>
                <w:highlight w:val="none"/>
                <w:lang w:val="en-US" w:eastAsia="zh-CN"/>
              </w:rPr>
              <w:t>经通风橱收集，</w:t>
            </w:r>
            <w:r>
              <w:rPr>
                <w:rFonts w:hint="default" w:ascii="Times New Roman" w:hAnsi="Times New Roman" w:eastAsia="宋体" w:cs="Times New Roman"/>
                <w:b w:val="0"/>
                <w:bCs w:val="0"/>
                <w:color w:val="auto"/>
                <w:sz w:val="24"/>
                <w:szCs w:val="24"/>
                <w:highlight w:val="none"/>
                <w:lang w:val="en-US" w:eastAsia="zh-CN"/>
              </w:rPr>
              <w:t>通过专用排风管道汇集后经活性炭过滤处理；放射性废气及气溶胶经活性炭过滤处理后，对大气环境影响较小。</w:t>
            </w:r>
          </w:p>
          <w:p w14:paraId="5B50329D">
            <w:pPr>
              <w:pStyle w:val="10"/>
              <w:keepNext w:val="0"/>
              <w:keepLines w:val="0"/>
              <w:pageBreakBefore w:val="0"/>
              <w:widowControl w:val="0"/>
              <w:numPr>
                <w:ilvl w:val="0"/>
                <w:numId w:val="0"/>
              </w:numPr>
              <w:suppressLineNumbers w:val="0"/>
              <w:shd w:val="clear"/>
              <w:tabs>
                <w:tab w:val="left" w:pos="880"/>
              </w:tabs>
              <w:kinsoku/>
              <w:wordWrap/>
              <w:overflowPunct/>
              <w:topLinePunct w:val="0"/>
              <w:autoSpaceDE w:val="0"/>
              <w:autoSpaceDN w:val="0"/>
              <w:bidi w:val="0"/>
              <w:adjustRightInd/>
              <w:snapToGrid/>
              <w:spacing w:before="0" w:beforeAutospacing="0" w:after="0" w:afterAutospacing="0" w:line="440" w:lineRule="exact"/>
              <w:ind w:right="0" w:firstLine="480" w:firstLineChars="200"/>
              <w:jc w:val="both"/>
              <w:textAlignment w:val="auto"/>
              <w:outlineLvl w:val="4"/>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）本项目</w:t>
            </w:r>
            <w:r>
              <w:rPr>
                <w:rFonts w:hint="eastAsia" w:cs="Times New Roman"/>
                <w:b w:val="0"/>
                <w:bCs w:val="0"/>
                <w:color w:val="auto"/>
                <w:sz w:val="24"/>
                <w:szCs w:val="24"/>
                <w:highlight w:val="none"/>
                <w:lang w:val="en-US" w:eastAsia="zh-CN"/>
              </w:rPr>
              <w:t>产生的</w:t>
            </w:r>
            <w:r>
              <w:rPr>
                <w:rFonts w:hint="default" w:ascii="Times New Roman" w:hAnsi="Times New Roman" w:eastAsia="宋体" w:cs="Times New Roman"/>
                <w:b w:val="0"/>
                <w:bCs w:val="0"/>
                <w:color w:val="auto"/>
                <w:sz w:val="24"/>
                <w:szCs w:val="24"/>
                <w:highlight w:val="none"/>
                <w:lang w:val="en-US" w:eastAsia="zh-CN"/>
              </w:rPr>
              <w:t>放射性废水</w:t>
            </w:r>
            <w:r>
              <w:rPr>
                <w:rFonts w:hint="default" w:ascii="Times New Roman" w:hAnsi="Times New Roman" w:cs="Times New Roman"/>
                <w:b w:val="0"/>
                <w:bCs w:val="0"/>
                <w:color w:val="auto"/>
                <w:sz w:val="24"/>
                <w:szCs w:val="24"/>
                <w:highlight w:val="none"/>
                <w:lang w:val="en-US" w:eastAsia="zh-CN"/>
              </w:rPr>
              <w:t>依托医院现有衰变池，放射性废水</w:t>
            </w:r>
            <w:r>
              <w:rPr>
                <w:rFonts w:hint="eastAsia" w:cs="Times New Roman"/>
                <w:b w:val="0"/>
                <w:bCs w:val="0"/>
                <w:color w:val="auto"/>
                <w:sz w:val="24"/>
                <w:szCs w:val="24"/>
                <w:highlight w:val="none"/>
                <w:lang w:val="en-US" w:eastAsia="zh-CN"/>
              </w:rPr>
              <w:t>的排放分别满足：</w:t>
            </w:r>
            <w:r>
              <w:rPr>
                <w:rFonts w:hint="default" w:ascii="Times New Roman" w:hAnsi="Times New Roman" w:cs="Times New Roman"/>
                <w:b w:val="0"/>
                <w:bCs w:val="0"/>
                <w:color w:val="auto"/>
                <w:sz w:val="24"/>
                <w:szCs w:val="24"/>
                <w:highlight w:val="none"/>
                <w:lang w:val="en-US" w:eastAsia="zh-CN"/>
              </w:rPr>
              <w:t>所含核素半衰期小于24小时的放射性废液暂存时间超过30天后可直接解控排放；所含核素半衰期大于24小时的放射性废液暂存时间超过10倍最长半衰期（含碘-131核素的暂存超过180天），监测结果经审管部门认可后，按照GB18871中8.6.2规定方式进行排放。放射性废液总排放口总α不大于1Bq/L、总β不大于10Bq/L、碘-131的放射性活度浓度不大于10Bq/L</w:t>
            </w:r>
            <w:r>
              <w:rPr>
                <w:rFonts w:hint="default" w:ascii="Times New Roman" w:hAnsi="Times New Roman" w:eastAsia="宋体" w:cs="Times New Roman"/>
                <w:b w:val="0"/>
                <w:bCs w:val="0"/>
                <w:color w:val="auto"/>
                <w:sz w:val="24"/>
                <w:szCs w:val="24"/>
                <w:highlight w:val="none"/>
                <w:lang w:val="en-US" w:eastAsia="zh-CN"/>
              </w:rPr>
              <w:t>。</w:t>
            </w:r>
          </w:p>
          <w:p w14:paraId="3B82E818">
            <w:pPr>
              <w:pStyle w:val="10"/>
              <w:keepNext w:val="0"/>
              <w:keepLines w:val="0"/>
              <w:pageBreakBefore w:val="0"/>
              <w:widowControl w:val="0"/>
              <w:numPr>
                <w:ilvl w:val="0"/>
                <w:numId w:val="0"/>
              </w:numPr>
              <w:suppressLineNumbers w:val="0"/>
              <w:shd w:val="clear"/>
              <w:tabs>
                <w:tab w:val="left" w:pos="880"/>
              </w:tabs>
              <w:kinsoku/>
              <w:wordWrap/>
              <w:overflowPunct/>
              <w:topLinePunct w:val="0"/>
              <w:autoSpaceDE w:val="0"/>
              <w:autoSpaceDN w:val="0"/>
              <w:bidi w:val="0"/>
              <w:adjustRightInd/>
              <w:snapToGrid/>
              <w:spacing w:before="0" w:beforeAutospacing="0" w:after="0" w:afterAutospacing="0" w:line="440" w:lineRule="exact"/>
              <w:ind w:right="0" w:firstLine="480" w:firstLineChars="200"/>
              <w:jc w:val="both"/>
              <w:textAlignment w:val="auto"/>
              <w:outlineLvl w:val="4"/>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w:t>
            </w:r>
            <w:r>
              <w:rPr>
                <w:rFonts w:hint="eastAsia" w:cs="Times New Roman"/>
                <w:b w:val="0"/>
                <w:bCs w:val="0"/>
                <w:color w:val="auto"/>
                <w:sz w:val="24"/>
                <w:szCs w:val="24"/>
                <w:highlight w:val="none"/>
                <w:lang w:val="en-US" w:eastAsia="zh-CN"/>
              </w:rPr>
              <w:t>4</w:t>
            </w:r>
            <w:r>
              <w:rPr>
                <w:rFonts w:hint="default" w:ascii="Times New Roman" w:hAnsi="Times New Roman"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lang w:val="en-US" w:eastAsia="zh-CN"/>
              </w:rPr>
              <w:t>放射性药物操作使用过程中沾染放射性药物的固体废物，按《核医学辐射防护与安全要求》（HJ1188-2021）的暂存时间要求在</w:t>
            </w:r>
            <w:r>
              <w:rPr>
                <w:rFonts w:hint="default" w:ascii="Times New Roman" w:hAnsi="Times New Roman" w:cs="Times New Roman"/>
                <w:b w:val="0"/>
                <w:bCs w:val="0"/>
                <w:color w:val="auto"/>
                <w:sz w:val="24"/>
                <w:szCs w:val="24"/>
                <w:highlight w:val="none"/>
                <w:lang w:val="en-US" w:eastAsia="zh-CN"/>
              </w:rPr>
              <w:t>放废库</w:t>
            </w:r>
            <w:r>
              <w:rPr>
                <w:rFonts w:hint="default" w:ascii="Times New Roman" w:hAnsi="Times New Roman" w:eastAsia="宋体" w:cs="Times New Roman"/>
                <w:b w:val="0"/>
                <w:bCs w:val="0"/>
                <w:color w:val="auto"/>
                <w:sz w:val="24"/>
                <w:szCs w:val="24"/>
                <w:highlight w:val="none"/>
                <w:lang w:val="en-US" w:eastAsia="zh-CN"/>
              </w:rPr>
              <w:t>暂存，</w:t>
            </w:r>
            <w:r>
              <w:rPr>
                <w:rFonts w:hint="default" w:ascii="Times New Roman" w:hAnsi="Times New Roman" w:cs="Times New Roman"/>
                <w:b w:val="0"/>
                <w:bCs w:val="0"/>
                <w:color w:val="auto"/>
                <w:sz w:val="24"/>
                <w:szCs w:val="24"/>
                <w:highlight w:val="none"/>
                <w:lang w:val="en-US" w:eastAsia="zh-CN"/>
              </w:rPr>
              <w:t>放射性废物经过十个半衰期衰后，</w:t>
            </w:r>
            <w:r>
              <w:rPr>
                <w:rFonts w:hint="default" w:ascii="Times New Roman" w:hAnsi="Times New Roman" w:eastAsia="宋体" w:cs="Times New Roman"/>
                <w:b w:val="0"/>
                <w:bCs w:val="0"/>
                <w:color w:val="auto"/>
                <w:sz w:val="24"/>
                <w:szCs w:val="24"/>
                <w:highlight w:val="none"/>
                <w:lang w:val="en-US" w:eastAsia="zh-CN"/>
              </w:rPr>
              <w:t>经监测辐射剂量率满足所处环境本底水平，α表面污染小于0.08Bq/cm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、β表面污染小于0.8Bq/cm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的，可对废物清洁解控并作为医疗废物处理，不能解控的放射性固体废物应该按照放射性废物处理的相关规定予以收集、整备，并送交有资质的单位处理。放射性废物包装体外的表面剂量率应不超过0.1mSv/h，表面污染水平对β和γ发射体以及低毒性α发射体应小于4Bq/c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、其他α发射体应小于0.4Bq/cm</w:t>
            </w:r>
            <w:r>
              <w:rPr>
                <w:rFonts w:hint="default" w:ascii="Times New Roman" w:hAnsi="Times New Roman" w:eastAsia="宋体" w:cs="Times New Roman"/>
                <w:b w:val="0"/>
                <w:bCs w:val="0"/>
                <w:color w:val="auto"/>
                <w:sz w:val="24"/>
                <w:szCs w:val="24"/>
                <w:highlight w:val="none"/>
                <w:vertAlign w:val="superscript"/>
                <w:lang w:val="en-US" w:eastAsia="zh-CN"/>
              </w:rPr>
              <w:t>2</w:t>
            </w:r>
            <w:r>
              <w:rPr>
                <w:rFonts w:hint="default" w:ascii="Times New Roman" w:hAnsi="Times New Roman" w:eastAsia="宋体" w:cs="Times New Roman"/>
                <w:b w:val="0"/>
                <w:bCs w:val="0"/>
                <w:color w:val="auto"/>
                <w:sz w:val="24"/>
                <w:szCs w:val="24"/>
                <w:highlight w:val="none"/>
                <w:lang w:val="en-US" w:eastAsia="zh-CN"/>
              </w:rPr>
              <w:t>。废弃钼锝发生器、废弃活性炭正常情况均为换新后厂家回收，特殊情况暂存于放射性废物暂存间，及时联系厂家回收，不做长期暂存处置。</w:t>
            </w:r>
          </w:p>
          <w:p w14:paraId="5C57F0DD">
            <w:pPr>
              <w:pStyle w:val="10"/>
              <w:keepNext w:val="0"/>
              <w:keepLines w:val="0"/>
              <w:pageBreakBefore w:val="0"/>
              <w:widowControl w:val="0"/>
              <w:numPr>
                <w:ilvl w:val="0"/>
                <w:numId w:val="0"/>
              </w:numPr>
              <w:suppressLineNumbers w:val="0"/>
              <w:shd w:val="clear"/>
              <w:tabs>
                <w:tab w:val="left" w:pos="880"/>
              </w:tabs>
              <w:kinsoku/>
              <w:wordWrap/>
              <w:overflowPunct/>
              <w:topLinePunct w:val="0"/>
              <w:autoSpaceDE w:val="0"/>
              <w:autoSpaceDN w:val="0"/>
              <w:bidi w:val="0"/>
              <w:adjustRightInd/>
              <w:snapToGrid/>
              <w:spacing w:before="0" w:beforeAutospacing="0" w:after="0" w:afterAutospacing="0" w:line="440" w:lineRule="exact"/>
              <w:ind w:left="221" w:leftChars="0" w:right="0" w:firstLine="241" w:firstLineChars="100"/>
              <w:jc w:val="both"/>
              <w:textAlignment w:val="auto"/>
              <w:outlineLvl w:val="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13.1.6</w:t>
            </w:r>
            <w:r>
              <w:rPr>
                <w:rFonts w:hint="default" w:ascii="Times New Roman" w:hAnsi="Times New Roman" w:eastAsia="宋体" w:cs="Times New Roman"/>
                <w:color w:val="auto"/>
                <w:sz w:val="24"/>
                <w:szCs w:val="24"/>
                <w:highlight w:val="none"/>
              </w:rPr>
              <w:t>辐射安全管理能力分析</w:t>
            </w:r>
          </w:p>
          <w:p w14:paraId="726E6A44">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2"/>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通过对照国家有关要求对本项目从事辐射活动能力的逐项分析，医院按照《</w:t>
            </w:r>
            <w:r>
              <w:rPr>
                <w:rFonts w:hint="default" w:ascii="Times New Roman" w:hAnsi="Times New Roman" w:eastAsia="宋体" w:cs="Times New Roman"/>
                <w:color w:val="auto"/>
                <w:sz w:val="24"/>
                <w:szCs w:val="24"/>
                <w:highlight w:val="none"/>
                <w:vertAlign w:val="baseline"/>
                <w:lang w:val="en-US" w:eastAsia="zh-CN"/>
              </w:rPr>
              <w:t>放射性同位素</w:t>
            </w:r>
            <w:r>
              <w:rPr>
                <w:rFonts w:hint="default" w:ascii="Times New Roman" w:hAnsi="Times New Roman" w:eastAsia="宋体" w:cs="Times New Roman"/>
                <w:color w:val="auto"/>
                <w:sz w:val="24"/>
                <w:szCs w:val="24"/>
                <w:highlight w:val="none"/>
                <w:lang w:val="en-US" w:eastAsia="zh-CN"/>
              </w:rPr>
              <w:t>与射线装置安全和防护条例》（国务院第449号令）及《</w:t>
            </w:r>
            <w:r>
              <w:rPr>
                <w:rFonts w:hint="default" w:ascii="Times New Roman" w:hAnsi="Times New Roman" w:eastAsia="宋体" w:cs="Times New Roman"/>
                <w:color w:val="auto"/>
                <w:sz w:val="24"/>
                <w:szCs w:val="24"/>
                <w:highlight w:val="none"/>
                <w:vertAlign w:val="baseline"/>
                <w:lang w:val="en-US" w:eastAsia="zh-CN"/>
              </w:rPr>
              <w:t>放射性同位素</w:t>
            </w:r>
            <w:r>
              <w:rPr>
                <w:rFonts w:hint="default" w:ascii="Times New Roman" w:hAnsi="Times New Roman" w:eastAsia="宋体" w:cs="Times New Roman"/>
                <w:color w:val="auto"/>
                <w:sz w:val="24"/>
                <w:szCs w:val="24"/>
                <w:highlight w:val="none"/>
                <w:lang w:val="en-US" w:eastAsia="zh-CN"/>
              </w:rPr>
              <w:t>与射线装置安全和防护管理办法》（环保部第18号令）中关于使用医用射线装置和非密封放射性物质使用条件的相关规定，拟采取的辐射防护设施（措施）较齐全，防护效果可满足辐射防护要求；在落实本报告提出的要求后，基本具备了使用</w:t>
            </w:r>
            <w:r>
              <w:rPr>
                <w:rFonts w:hint="eastAsia" w:cs="Times New Roman"/>
                <w:color w:val="auto"/>
                <w:sz w:val="24"/>
                <w:szCs w:val="24"/>
                <w:highlight w:val="none"/>
                <w:lang w:val="en-US" w:eastAsia="zh-CN"/>
              </w:rPr>
              <w:t>乙</w:t>
            </w:r>
            <w:r>
              <w:rPr>
                <w:rFonts w:hint="default" w:ascii="Times New Roman" w:hAnsi="Times New Roman" w:eastAsia="宋体" w:cs="Times New Roman"/>
                <w:color w:val="auto"/>
                <w:sz w:val="24"/>
                <w:szCs w:val="24"/>
                <w:highlight w:val="none"/>
                <w:lang w:val="en-US" w:eastAsia="zh-CN"/>
              </w:rPr>
              <w:t>级非密封放射性物质工作场所的综合管理能力。</w:t>
            </w:r>
          </w:p>
          <w:p w14:paraId="18868328">
            <w:pPr>
              <w:keepNext w:val="0"/>
              <w:keepLines w:val="0"/>
              <w:suppressLineNumbers w:val="0"/>
              <w:spacing w:before="0" w:beforeAutospacing="0" w:after="0" w:afterAutospacing="0"/>
              <w:ind w:left="0" w:right="0"/>
              <w:jc w:val="both"/>
              <w:rPr>
                <w:rFonts w:hint="default"/>
                <w:color w:val="auto"/>
                <w:highlight w:val="none"/>
                <w:lang w:val="en-US" w:eastAsia="zh-CN"/>
              </w:rPr>
            </w:pPr>
          </w:p>
          <w:p w14:paraId="2554809A">
            <w:pPr>
              <w:pStyle w:val="10"/>
              <w:keepNext w:val="0"/>
              <w:keepLines w:val="0"/>
              <w:pageBreakBefore w:val="0"/>
              <w:widowControl w:val="0"/>
              <w:numPr>
                <w:ilvl w:val="0"/>
                <w:numId w:val="0"/>
              </w:numPr>
              <w:suppressLineNumbers w:val="0"/>
              <w:shd w:val="clear"/>
              <w:tabs>
                <w:tab w:val="left" w:pos="880"/>
              </w:tabs>
              <w:kinsoku/>
              <w:wordWrap/>
              <w:overflowPunct/>
              <w:topLinePunct w:val="0"/>
              <w:autoSpaceDE w:val="0"/>
              <w:autoSpaceDN w:val="0"/>
              <w:bidi w:val="0"/>
              <w:adjustRightInd/>
              <w:snapToGrid/>
              <w:spacing w:before="0" w:beforeAutospacing="0" w:after="0" w:afterAutospacing="0" w:line="440" w:lineRule="exact"/>
              <w:ind w:left="221" w:leftChars="0" w:right="0" w:firstLine="241" w:firstLineChars="100"/>
              <w:jc w:val="both"/>
              <w:textAlignment w:val="auto"/>
              <w:outlineLvl w:val="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13.1.7</w:t>
            </w:r>
            <w:r>
              <w:rPr>
                <w:rFonts w:hint="default" w:ascii="Times New Roman" w:hAnsi="Times New Roman" w:eastAsia="宋体" w:cs="Times New Roman"/>
                <w:color w:val="auto"/>
                <w:sz w:val="24"/>
                <w:szCs w:val="24"/>
                <w:highlight w:val="none"/>
              </w:rPr>
              <w:t>可行性结论</w:t>
            </w:r>
          </w:p>
          <w:p w14:paraId="7476DEE5">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2"/>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项目的建设方案已按照环境保护法规和有关辐射防护要求进行了设计，在全面落实本报告提出的辐射安全防护措施及环保措施的基础上，切实做到“三同时”，并在项目运行时严格执行辐射防护安全管理制度和监测计划，则本项目正常运行时，对周围环境的影响能够符合辐射环境保护的要求</w:t>
            </w:r>
            <w:r>
              <w:rPr>
                <w:rFonts w:hint="default" w:ascii="Times New Roman" w:hAnsi="Times New Roman" w:cs="Times New Roman"/>
                <w:color w:val="auto"/>
                <w:sz w:val="24"/>
                <w:szCs w:val="24"/>
                <w:highlight w:val="none"/>
                <w:lang w:val="en-US" w:eastAsia="zh-CN"/>
              </w:rPr>
              <w:t>，对项目周围的环境、职业人员、公众人员产生的影响较小，</w:t>
            </w:r>
            <w:r>
              <w:rPr>
                <w:rFonts w:hint="default" w:ascii="Times New Roman" w:hAnsi="Times New Roman" w:eastAsia="宋体" w:cs="Times New Roman"/>
                <w:color w:val="auto"/>
                <w:sz w:val="24"/>
                <w:szCs w:val="24"/>
                <w:highlight w:val="none"/>
                <w:lang w:val="en-US" w:eastAsia="zh-CN"/>
              </w:rPr>
              <w:t>从环境保护和辐射防护角度分析，该项目的建设是可行的</w:t>
            </w:r>
            <w:r>
              <w:rPr>
                <w:rFonts w:hint="default" w:ascii="Times New Roman" w:hAnsi="Times New Roman" w:eastAsia="宋体" w:cs="Times New Roman"/>
                <w:color w:val="auto"/>
                <w:sz w:val="24"/>
                <w:szCs w:val="24"/>
                <w:highlight w:val="none"/>
              </w:rPr>
              <w:t>。</w:t>
            </w:r>
          </w:p>
          <w:p w14:paraId="28772A7A">
            <w:pPr>
              <w:pStyle w:val="8"/>
              <w:keepNext w:val="0"/>
              <w:keepLines w:val="0"/>
              <w:pageBreakBefore w:val="0"/>
              <w:widowControl w:val="0"/>
              <w:numPr>
                <w:ilvl w:val="0"/>
                <w:numId w:val="0"/>
              </w:numPr>
              <w:suppressLineNumbers w:val="0"/>
              <w:shd w:val="clear"/>
              <w:tabs>
                <w:tab w:val="left" w:pos="780"/>
              </w:tabs>
              <w:kinsoku/>
              <w:wordWrap/>
              <w:overflowPunct/>
              <w:topLinePunct w:val="0"/>
              <w:autoSpaceDE w:val="0"/>
              <w:autoSpaceDN w:val="0"/>
              <w:bidi w:val="0"/>
              <w:adjustRightInd/>
              <w:snapToGrid/>
              <w:spacing w:before="0" w:beforeAutospacing="0" w:after="0" w:afterAutospacing="0" w:line="440" w:lineRule="exact"/>
              <w:ind w:left="219" w:leftChars="0" w:right="0" w:firstLine="241" w:firstLineChars="100"/>
              <w:jc w:val="both"/>
              <w:textAlignment w:val="auto"/>
              <w:outlineLvl w:val="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13.2</w:t>
            </w:r>
            <w:r>
              <w:rPr>
                <w:rFonts w:hint="default" w:ascii="Times New Roman" w:hAnsi="Times New Roman" w:eastAsia="宋体" w:cs="Times New Roman"/>
                <w:color w:val="auto"/>
                <w:sz w:val="24"/>
                <w:szCs w:val="24"/>
                <w:highlight w:val="none"/>
              </w:rPr>
              <w:t>建议与承诺</w:t>
            </w:r>
          </w:p>
          <w:p w14:paraId="121D5741">
            <w:pPr>
              <w:pStyle w:val="10"/>
              <w:keepNext w:val="0"/>
              <w:keepLines w:val="0"/>
              <w:pageBreakBefore w:val="0"/>
              <w:widowControl w:val="0"/>
              <w:numPr>
                <w:ilvl w:val="0"/>
                <w:numId w:val="0"/>
              </w:numPr>
              <w:suppressLineNumbers w:val="0"/>
              <w:shd w:val="clear"/>
              <w:tabs>
                <w:tab w:val="left" w:pos="880"/>
              </w:tabs>
              <w:kinsoku/>
              <w:wordWrap/>
              <w:overflowPunct/>
              <w:topLinePunct w:val="0"/>
              <w:autoSpaceDE w:val="0"/>
              <w:autoSpaceDN w:val="0"/>
              <w:bidi w:val="0"/>
              <w:adjustRightInd/>
              <w:snapToGrid/>
              <w:spacing w:before="183" w:beforeAutospacing="0" w:after="0" w:afterAutospacing="0" w:line="440" w:lineRule="exact"/>
              <w:ind w:left="221" w:leftChars="0" w:right="0" w:firstLine="241" w:firstLineChars="100"/>
              <w:jc w:val="both"/>
              <w:textAlignment w:val="auto"/>
              <w:outlineLvl w:val="4"/>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13.2.1</w:t>
            </w:r>
            <w:r>
              <w:rPr>
                <w:rFonts w:hint="default" w:ascii="Times New Roman" w:hAnsi="Times New Roman" w:eastAsia="宋体" w:cs="Times New Roman"/>
                <w:color w:val="auto"/>
                <w:sz w:val="24"/>
                <w:szCs w:val="24"/>
                <w:highlight w:val="none"/>
              </w:rPr>
              <w:t>建议</w:t>
            </w:r>
          </w:p>
          <w:p w14:paraId="7BAEA53D">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）认真落实环评提出的管理措施和辐射防护措施要求，完善管理制度。</w:t>
            </w:r>
          </w:p>
          <w:p w14:paraId="69E4020A">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w:t>
            </w:r>
            <w:r>
              <w:rPr>
                <w:rFonts w:hint="eastAsia" w:cs="Times New Roman"/>
                <w:color w:val="auto"/>
                <w:highlight w:val="none"/>
                <w:lang w:val="en-US" w:eastAsia="zh-CN"/>
              </w:rPr>
              <w:t>足额配置辐射工作人员，通过“时间防护”降低单个辐射工作人员年有效剂量，合理分摊放射操作时长，缩短单人在辐射工作场所的停留时间，保障辐射工作人员职业照射安全。</w:t>
            </w:r>
          </w:p>
          <w:p w14:paraId="686E0D6F">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highlight w:val="none"/>
                <w:lang w:eastAsia="zh-CN"/>
              </w:rPr>
            </w:pPr>
            <w:r>
              <w:rPr>
                <w:rFonts w:hint="eastAsia" w:cs="Times New Roman"/>
                <w:color w:val="auto"/>
                <w:highlight w:val="none"/>
                <w:lang w:eastAsia="zh-CN"/>
              </w:rPr>
              <w:t>（</w:t>
            </w:r>
            <w:r>
              <w:rPr>
                <w:rFonts w:hint="eastAsia" w:cs="Times New Roman"/>
                <w:color w:val="auto"/>
                <w:highlight w:val="none"/>
                <w:lang w:val="en-US" w:eastAsia="zh-CN"/>
              </w:rPr>
              <w:t>3</w:t>
            </w:r>
            <w:r>
              <w:rPr>
                <w:rFonts w:hint="eastAsia" w:cs="Times New Roman"/>
                <w:color w:val="auto"/>
                <w:highlight w:val="none"/>
                <w:lang w:eastAsia="zh-CN"/>
              </w:rPr>
              <w:t>）</w:t>
            </w:r>
            <w:r>
              <w:rPr>
                <w:rFonts w:hint="default" w:ascii="Times New Roman" w:hAnsi="Times New Roman" w:eastAsia="宋体" w:cs="Times New Roman"/>
                <w:color w:val="auto"/>
                <w:highlight w:val="none"/>
                <w:lang w:eastAsia="zh-CN"/>
              </w:rPr>
              <w:t>加强辐射安全教育培训，提高职业工作人员对辐射防护的理解和执行辐射防护措施的自觉性，杜绝辐射事故的发生。</w:t>
            </w:r>
            <w:r>
              <w:rPr>
                <w:rFonts w:hint="default" w:ascii="Times New Roman" w:hAnsi="Times New Roman" w:eastAsia="宋体" w:cs="Times New Roman"/>
                <w:color w:val="auto"/>
                <w:highlight w:val="none"/>
                <w:lang w:val="en-US" w:eastAsia="zh-CN"/>
              </w:rPr>
              <w:t>各专业辐射工作人员上岗前必须取得所需专业的培训证书。</w:t>
            </w:r>
          </w:p>
          <w:p w14:paraId="09F232AB">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eastAsia" w:cs="Times New Roman"/>
                <w:color w:val="auto"/>
                <w:highlight w:val="none"/>
                <w:lang w:val="en-US" w:eastAsia="zh-CN"/>
              </w:rPr>
              <w:t>4</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定期将辐射监测设备送至有检定资质的单位进行检定，保证监测设备监测数据的有效性。</w:t>
            </w:r>
            <w:r>
              <w:rPr>
                <w:rFonts w:hint="default" w:ascii="Times New Roman" w:hAnsi="Times New Roman" w:eastAsia="宋体" w:cs="Times New Roman"/>
                <w:color w:val="auto"/>
                <w:highlight w:val="none"/>
                <w:lang w:eastAsia="zh-CN"/>
              </w:rPr>
              <w:t>严格限制辐射工作场所周围人员居留时间，公众人员非必要情</w:t>
            </w:r>
            <w:r>
              <w:rPr>
                <w:rFonts w:hint="default" w:ascii="Times New Roman" w:hAnsi="Times New Roman" w:cs="Times New Roman"/>
                <w:color w:val="auto"/>
                <w:highlight w:val="none"/>
                <w:lang w:eastAsia="zh-CN"/>
              </w:rPr>
              <w:t>况下</w:t>
            </w:r>
            <w:r>
              <w:rPr>
                <w:rFonts w:hint="default" w:ascii="Times New Roman" w:hAnsi="Times New Roman" w:eastAsia="宋体" w:cs="Times New Roman"/>
                <w:color w:val="auto"/>
                <w:highlight w:val="none"/>
                <w:lang w:eastAsia="zh-CN"/>
              </w:rPr>
              <w:t>不得在辐射工作场所周围居留</w:t>
            </w:r>
            <w:r>
              <w:rPr>
                <w:rFonts w:hint="default" w:ascii="Times New Roman" w:hAnsi="Times New Roman" w:eastAsia="宋体" w:cs="Times New Roman"/>
                <w:color w:val="auto"/>
                <w:highlight w:val="none"/>
                <w:lang w:val="en-US" w:eastAsia="zh-CN"/>
              </w:rPr>
              <w:t>1小时以上。</w:t>
            </w:r>
          </w:p>
          <w:p w14:paraId="0D03D695">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）医院应将辐射事故应急预案装裱上墙，每年至少组织一次预案培训工作，并定期进行应急演练。</w:t>
            </w:r>
          </w:p>
          <w:p w14:paraId="137973B4">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lang w:eastAsia="zh-CN"/>
              </w:rPr>
              <w:t>）本项目试运行三个月内，医院应按照《建设项目竣工环境保护验收暂行办法》的内容和要求，对本项目开展竣工环保验收工作</w:t>
            </w:r>
            <w:r>
              <w:rPr>
                <w:rFonts w:hint="default" w:ascii="Times New Roman" w:hAnsi="Times New Roman" w:cs="Times New Roman"/>
                <w:color w:val="auto"/>
                <w:highlight w:val="none"/>
                <w:lang w:eastAsia="zh-CN"/>
              </w:rPr>
              <w:t>。</w:t>
            </w:r>
          </w:p>
          <w:p w14:paraId="5FC688B4">
            <w:pPr>
              <w:pStyle w:val="10"/>
              <w:keepNext w:val="0"/>
              <w:keepLines w:val="0"/>
              <w:pageBreakBefore w:val="0"/>
              <w:widowControl w:val="0"/>
              <w:numPr>
                <w:ilvl w:val="255"/>
                <w:numId w:val="0"/>
              </w:numPr>
              <w:suppressLineNumbers w:val="0"/>
              <w:shd w:val="clear"/>
              <w:tabs>
                <w:tab w:val="left" w:pos="880"/>
              </w:tabs>
              <w:kinsoku/>
              <w:wordWrap/>
              <w:overflowPunct/>
              <w:topLinePunct w:val="0"/>
              <w:autoSpaceDE w:val="0"/>
              <w:autoSpaceDN w:val="0"/>
              <w:bidi w:val="0"/>
              <w:adjustRightInd/>
              <w:snapToGrid/>
              <w:spacing w:before="0" w:beforeAutospacing="0" w:after="0" w:afterAutospacing="0" w:line="440" w:lineRule="exact"/>
              <w:ind w:left="480" w:leftChars="200" w:right="0"/>
              <w:jc w:val="both"/>
              <w:textAlignment w:val="auto"/>
              <w:outlineLvl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13.2.2 承诺</w:t>
            </w:r>
          </w:p>
          <w:p w14:paraId="2634F6DD">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为保护环境，保障人员健康，</w:t>
            </w:r>
            <w:r>
              <w:rPr>
                <w:rFonts w:hint="default" w:ascii="Times New Roman" w:hAnsi="Times New Roman" w:cs="Times New Roman"/>
                <w:color w:val="auto"/>
                <w:highlight w:val="none"/>
                <w:lang w:eastAsia="zh-CN"/>
              </w:rPr>
              <w:t>新疆医科大学附属肿瘤医院</w:t>
            </w:r>
            <w:r>
              <w:rPr>
                <w:rFonts w:hint="default" w:ascii="Times New Roman" w:hAnsi="Times New Roman" w:eastAsia="宋体" w:cs="Times New Roman"/>
                <w:color w:val="auto"/>
                <w:highlight w:val="none"/>
                <w:lang w:eastAsia="zh-CN"/>
              </w:rPr>
              <w:t>承诺：</w:t>
            </w:r>
          </w:p>
          <w:p w14:paraId="19D9D3F1">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eastAsia="zh-CN"/>
              </w:rPr>
              <w:t>）及时完善规章制度并保证各种规章制度和操作规程的有效执行，在项目建设和运行过程中，加强内部监督管理，不违规操作、不弄虚作假，并接受环保部门的监督检查和及时整改检查中发现的问题；</w:t>
            </w:r>
          </w:p>
          <w:p w14:paraId="62A5A1E6">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）按《</w:t>
            </w:r>
            <w:r>
              <w:rPr>
                <w:rFonts w:hint="default" w:ascii="Times New Roman" w:hAnsi="Times New Roman" w:eastAsia="宋体" w:cs="Times New Roman"/>
                <w:color w:val="auto"/>
                <w:highlight w:val="none"/>
                <w:vertAlign w:val="baseline"/>
                <w:lang w:eastAsia="zh-CN"/>
              </w:rPr>
              <w:t>放射性同位素</w:t>
            </w:r>
            <w:r>
              <w:rPr>
                <w:rFonts w:hint="default" w:ascii="Times New Roman" w:hAnsi="Times New Roman" w:eastAsia="宋体" w:cs="Times New Roman"/>
                <w:color w:val="auto"/>
                <w:highlight w:val="none"/>
                <w:lang w:eastAsia="zh-CN"/>
              </w:rPr>
              <w:t>与射线装置安全与防护管理办法》要求开展个人剂量监测、工作场所监测和环境监测工作；</w:t>
            </w:r>
          </w:p>
          <w:p w14:paraId="00C841D1">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）本报告表系按</w:t>
            </w:r>
            <w:r>
              <w:rPr>
                <w:rFonts w:hint="default" w:ascii="Times New Roman" w:hAnsi="Times New Roman" w:eastAsia="宋体" w:cs="Times New Roman"/>
                <w:color w:val="auto"/>
                <w:highlight w:val="none"/>
                <w:lang w:val="en-US" w:eastAsia="zh-CN"/>
              </w:rPr>
              <w:t>现有设计资料</w:t>
            </w:r>
            <w:r>
              <w:rPr>
                <w:rFonts w:hint="default" w:ascii="Times New Roman" w:hAnsi="Times New Roman" w:eastAsia="宋体" w:cs="Times New Roman"/>
                <w:color w:val="auto"/>
                <w:highlight w:val="none"/>
                <w:lang w:eastAsia="zh-CN"/>
              </w:rPr>
              <w:t>编制，今后建设内容如发生重大变动，</w:t>
            </w:r>
            <w:r>
              <w:rPr>
                <w:rFonts w:hint="default" w:ascii="Times New Roman" w:hAnsi="Times New Roman" w:eastAsia="宋体" w:cs="Times New Roman"/>
                <w:color w:val="auto"/>
                <w:highlight w:val="none"/>
                <w:lang w:val="en-US" w:eastAsia="zh-CN"/>
              </w:rPr>
              <w:t>我院</w:t>
            </w:r>
            <w:r>
              <w:rPr>
                <w:rFonts w:hint="default" w:ascii="Times New Roman" w:hAnsi="Times New Roman" w:eastAsia="宋体" w:cs="Times New Roman"/>
                <w:color w:val="auto"/>
                <w:highlight w:val="none"/>
                <w:lang w:eastAsia="zh-CN"/>
              </w:rPr>
              <w:t>将另</w:t>
            </w:r>
            <w:r>
              <w:rPr>
                <w:rFonts w:hint="default" w:ascii="Times New Roman" w:hAnsi="Times New Roman" w:cs="Times New Roman"/>
                <w:color w:val="auto"/>
                <w:highlight w:val="none"/>
                <w:lang w:eastAsia="zh-CN"/>
              </w:rPr>
              <w:t>做</w:t>
            </w:r>
            <w:r>
              <w:rPr>
                <w:rFonts w:hint="default" w:ascii="Times New Roman" w:hAnsi="Times New Roman" w:eastAsia="宋体" w:cs="Times New Roman"/>
                <w:color w:val="auto"/>
                <w:highlight w:val="none"/>
                <w:lang w:eastAsia="zh-CN"/>
              </w:rPr>
              <w:t>相应的环境影响评价，办理相应手续</w:t>
            </w:r>
            <w:r>
              <w:rPr>
                <w:rFonts w:hint="default" w:ascii="Times New Roman" w:hAnsi="Times New Roman" w:cs="Times New Roman"/>
                <w:color w:val="auto"/>
                <w:highlight w:val="none"/>
                <w:lang w:eastAsia="zh-CN"/>
              </w:rPr>
              <w:t>；</w:t>
            </w:r>
          </w:p>
          <w:p w14:paraId="0B6DD13C">
            <w:pPr>
              <w:pStyle w:val="12"/>
              <w:keepNext w:val="0"/>
              <w:keepLines w:val="0"/>
              <w:pageBreakBefore w:val="0"/>
              <w:widowControl w:val="0"/>
              <w:suppressLineNumbers w:val="0"/>
              <w:shd w:val="clear"/>
              <w:kinsoku/>
              <w:wordWrap/>
              <w:overflowPunct/>
              <w:topLinePunct w:val="0"/>
              <w:autoSpaceDE w:val="0"/>
              <w:autoSpaceDN w:val="0"/>
              <w:bidi w:val="0"/>
              <w:adjustRightInd/>
              <w:snapToGrid/>
              <w:spacing w:before="0" w:beforeAutospacing="0" w:after="0" w:afterAutospacing="0" w:line="440" w:lineRule="exact"/>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按照《建设项目竣工环境保护验收暂行办法》（国环规环评〔2017〕4号）的要求，</w:t>
            </w:r>
            <w:r>
              <w:rPr>
                <w:rFonts w:hint="default" w:ascii="Times New Roman" w:hAnsi="Times New Roman" w:cs="Times New Roman"/>
                <w:color w:val="auto"/>
                <w:highlight w:val="none"/>
                <w:lang w:eastAsia="zh-CN"/>
              </w:rPr>
              <w:t>除需要取得排污许可证的水和大气污染防治设施外，其他环境保护设施的验收期限一般不超过3个月；需要对该类环境保护设施进行调试或者整改的，验收期限可以适当延期，但最长不超过12个月。</w:t>
            </w:r>
          </w:p>
        </w:tc>
      </w:tr>
    </w:tbl>
    <w:p w14:paraId="2ED26EA5">
      <w:pPr>
        <w:shd w:val="clear"/>
        <w:spacing w:line="364" w:lineRule="auto"/>
        <w:jc w:val="both"/>
        <w:rPr>
          <w:rFonts w:hint="default" w:ascii="Times New Roman" w:hAnsi="Times New Roman" w:eastAsia="宋体" w:cs="Times New Roman"/>
          <w:color w:val="auto"/>
          <w:highlight w:val="none"/>
        </w:rPr>
        <w:sectPr>
          <w:pgSz w:w="11910" w:h="16840"/>
          <w:pgMar w:top="1219" w:right="1185" w:bottom="1219" w:left="1100" w:header="0" w:footer="1417" w:gutter="0"/>
          <w:pgBorders>
            <w:top w:val="none" w:sz="0" w:space="0"/>
            <w:left w:val="none" w:sz="0" w:space="0"/>
            <w:bottom w:val="none" w:sz="0" w:space="0"/>
            <w:right w:val="none" w:sz="0" w:space="0"/>
          </w:pgBorders>
          <w:pgNumType w:fmt="decimal"/>
          <w:cols w:space="0" w:num="1"/>
        </w:sectPr>
      </w:pPr>
    </w:p>
    <w:p w14:paraId="52FCE2ED">
      <w:pPr>
        <w:pStyle w:val="6"/>
        <w:shd w:val="clear"/>
        <w:rPr>
          <w:rFonts w:hint="default" w:ascii="Times New Roman" w:hAnsi="Times New Roman" w:eastAsia="宋体" w:cs="Times New Roman"/>
          <w:color w:val="auto"/>
          <w:highlight w:val="none"/>
        </w:rPr>
      </w:pPr>
      <w:bookmarkStart w:id="27" w:name="表14_审批"/>
      <w:bookmarkEnd w:id="27"/>
      <w:bookmarkStart w:id="28" w:name="_Toc29234"/>
      <w:r>
        <w:rPr>
          <w:rFonts w:hint="default" w:ascii="Times New Roman" w:hAnsi="Times New Roman" w:cs="Times New Roman"/>
          <w:color w:val="auto"/>
          <w:highlight w:val="none"/>
          <w:lang w:eastAsia="zh-CN"/>
        </w:rPr>
        <w:t>表</w:t>
      </w:r>
      <w:r>
        <w:rPr>
          <w:rFonts w:hint="default" w:ascii="Times New Roman" w:hAnsi="Times New Roman" w:eastAsia="宋体" w:cs="Times New Roman"/>
          <w:color w:val="auto"/>
          <w:highlight w:val="none"/>
        </w:rPr>
        <w:t>14 审批</w:t>
      </w:r>
      <w:bookmarkEnd w:id="28"/>
    </w:p>
    <w:tbl>
      <w:tblPr>
        <w:tblStyle w:val="23"/>
        <w:tblW w:w="92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1"/>
      </w:tblGrid>
      <w:tr w14:paraId="5A91F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8" w:hRule="atLeast"/>
        </w:trPr>
        <w:tc>
          <w:tcPr>
            <w:tcW w:w="9241" w:type="dxa"/>
          </w:tcPr>
          <w:p w14:paraId="588A51BA">
            <w:pPr>
              <w:keepNext w:val="0"/>
              <w:keepLines w:val="0"/>
              <w:suppressLineNumbers w:val="0"/>
              <w:shd w:val="clear"/>
              <w:autoSpaceDE/>
              <w:autoSpaceDN/>
              <w:spacing w:before="0" w:beforeAutospacing="0" w:after="0" w:afterAutospacing="0" w:line="460" w:lineRule="exact"/>
              <w:ind w:left="0" w:right="0" w:firstLine="240" w:firstLineChars="100"/>
              <w:jc w:val="both"/>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下一级环保部门预审意见</w:t>
            </w:r>
          </w:p>
          <w:p w14:paraId="55F6629E">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2CEEA89E">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07ACE684">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1089EFE3">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152036C8">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09E66639">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796811F2">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110EF902">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7464B2C1">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2D2272E6">
            <w:pPr>
              <w:keepNext w:val="0"/>
              <w:keepLines w:val="0"/>
              <w:suppressLineNumbers w:val="0"/>
              <w:shd w:val="clear"/>
              <w:autoSpaceDE/>
              <w:autoSpaceDN/>
              <w:spacing w:before="0" w:beforeAutospacing="0" w:after="0" w:afterAutospacing="0" w:line="460" w:lineRule="exact"/>
              <w:ind w:left="0" w:right="0" w:firstLine="6600" w:firstLineChars="2750"/>
              <w:jc w:val="both"/>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公章</w:t>
            </w:r>
          </w:p>
          <w:p w14:paraId="252E5675">
            <w:pPr>
              <w:keepNext w:val="0"/>
              <w:keepLines w:val="0"/>
              <w:suppressLineNumbers w:val="0"/>
              <w:shd w:val="clear"/>
              <w:autoSpaceDE/>
              <w:autoSpaceDN/>
              <w:spacing w:before="0" w:beforeAutospacing="0" w:after="0" w:afterAutospacing="0" w:line="460" w:lineRule="exact"/>
              <w:ind w:left="0" w:right="0" w:firstLine="240" w:firstLineChars="100"/>
              <w:jc w:val="both"/>
              <w:rPr>
                <w:rFonts w:hint="default" w:ascii="Times New Roman" w:hAnsi="Times New Roman" w:eastAsia="宋体" w:cs="Times New Roman"/>
                <w:color w:val="auto"/>
                <w:kern w:val="2"/>
                <w:sz w:val="21"/>
                <w:szCs w:val="24"/>
                <w:highlight w:val="none"/>
              </w:rPr>
            </w:pPr>
            <w:r>
              <w:rPr>
                <w:rFonts w:hint="default" w:ascii="Times New Roman" w:hAnsi="Times New Roman" w:eastAsia="宋体" w:cs="Times New Roman"/>
                <w:color w:val="auto"/>
                <w:kern w:val="2"/>
                <w:sz w:val="24"/>
                <w:szCs w:val="24"/>
                <w:highlight w:val="none"/>
              </w:rPr>
              <w:t>经办人：年月日</w:t>
            </w:r>
          </w:p>
        </w:tc>
      </w:tr>
      <w:tr w14:paraId="1AAE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7" w:hRule="atLeast"/>
        </w:trPr>
        <w:tc>
          <w:tcPr>
            <w:tcW w:w="9241" w:type="dxa"/>
          </w:tcPr>
          <w:p w14:paraId="37A4F58E">
            <w:pPr>
              <w:keepNext w:val="0"/>
              <w:keepLines w:val="0"/>
              <w:suppressLineNumbers w:val="0"/>
              <w:shd w:val="clear"/>
              <w:autoSpaceDE/>
              <w:autoSpaceDN/>
              <w:spacing w:before="0" w:beforeAutospacing="0" w:after="0" w:afterAutospacing="0" w:line="460" w:lineRule="exact"/>
              <w:ind w:left="0" w:right="0" w:firstLine="240" w:firstLineChars="100"/>
              <w:jc w:val="both"/>
              <w:rPr>
                <w:rFonts w:hint="default" w:ascii="Times New Roman" w:hAnsi="Times New Roman" w:eastAsia="宋体" w:cs="Times New Roman"/>
                <w:color w:val="auto"/>
                <w:kern w:val="2"/>
                <w:sz w:val="24"/>
                <w:szCs w:val="24"/>
                <w:highlight w:val="none"/>
              </w:rPr>
            </w:pPr>
          </w:p>
          <w:p w14:paraId="239080E8">
            <w:pPr>
              <w:keepNext w:val="0"/>
              <w:keepLines w:val="0"/>
              <w:suppressLineNumbers w:val="0"/>
              <w:shd w:val="clear"/>
              <w:autoSpaceDE/>
              <w:autoSpaceDN/>
              <w:spacing w:before="0" w:beforeAutospacing="0" w:after="0" w:afterAutospacing="0" w:line="460" w:lineRule="exact"/>
              <w:ind w:left="0" w:right="0" w:firstLine="240" w:firstLineChars="100"/>
              <w:jc w:val="both"/>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审批意见</w:t>
            </w:r>
          </w:p>
          <w:p w14:paraId="4EA5FBDD">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601F0486">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6A35B7D7">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73F2D550">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4C0275F0">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581C3C7D">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440C5251">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0CD493D9">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53E1BAA0">
            <w:pPr>
              <w:keepNext w:val="0"/>
              <w:keepLines w:val="0"/>
              <w:suppressLineNumbers w:val="0"/>
              <w:shd w:val="clear"/>
              <w:autoSpaceDE/>
              <w:autoSpaceDN/>
              <w:spacing w:before="0" w:beforeAutospacing="0" w:after="0" w:afterAutospacing="0" w:line="460" w:lineRule="exact"/>
              <w:ind w:left="0" w:right="0"/>
              <w:jc w:val="both"/>
              <w:rPr>
                <w:rFonts w:hint="default" w:ascii="Times New Roman" w:hAnsi="Times New Roman" w:eastAsia="宋体" w:cs="Times New Roman"/>
                <w:color w:val="auto"/>
                <w:kern w:val="2"/>
                <w:sz w:val="24"/>
                <w:szCs w:val="24"/>
                <w:highlight w:val="none"/>
              </w:rPr>
            </w:pPr>
          </w:p>
          <w:p w14:paraId="1BEA1C42">
            <w:pPr>
              <w:keepNext w:val="0"/>
              <w:keepLines w:val="0"/>
              <w:suppressLineNumbers w:val="0"/>
              <w:shd w:val="clear"/>
              <w:autoSpaceDE/>
              <w:autoSpaceDN/>
              <w:spacing w:before="0" w:beforeAutospacing="0" w:after="0" w:afterAutospacing="0" w:line="460" w:lineRule="exact"/>
              <w:ind w:left="0" w:right="0" w:firstLine="6600" w:firstLineChars="2750"/>
              <w:jc w:val="both"/>
              <w:rPr>
                <w:rFonts w:hint="default" w:ascii="Times New Roman" w:hAnsi="Times New Roman" w:eastAsia="宋体" w:cs="Times New Roman"/>
                <w:color w:val="auto"/>
                <w:kern w:val="2"/>
                <w:sz w:val="24"/>
                <w:szCs w:val="24"/>
                <w:highlight w:val="none"/>
              </w:rPr>
            </w:pPr>
            <w:r>
              <w:rPr>
                <w:rFonts w:hint="default" w:ascii="Times New Roman" w:hAnsi="Times New Roman" w:eastAsia="宋体" w:cs="Times New Roman"/>
                <w:color w:val="auto"/>
                <w:kern w:val="2"/>
                <w:sz w:val="24"/>
                <w:szCs w:val="24"/>
                <w:highlight w:val="none"/>
              </w:rPr>
              <w:t>公章</w:t>
            </w:r>
          </w:p>
          <w:p w14:paraId="79643BB2">
            <w:pPr>
              <w:keepNext w:val="0"/>
              <w:keepLines w:val="0"/>
              <w:suppressLineNumbers w:val="0"/>
              <w:shd w:val="clear"/>
              <w:autoSpaceDE/>
              <w:autoSpaceDN/>
              <w:spacing w:before="0" w:beforeAutospacing="0" w:after="0" w:afterAutospacing="0" w:line="460" w:lineRule="exact"/>
              <w:ind w:left="0" w:right="0" w:firstLine="240" w:firstLineChars="100"/>
              <w:jc w:val="both"/>
              <w:rPr>
                <w:rFonts w:hint="default" w:ascii="Times New Roman" w:hAnsi="Times New Roman" w:eastAsia="宋体" w:cs="Times New Roman"/>
                <w:color w:val="auto"/>
                <w:kern w:val="2"/>
                <w:sz w:val="21"/>
                <w:szCs w:val="24"/>
                <w:highlight w:val="none"/>
              </w:rPr>
            </w:pPr>
            <w:r>
              <w:rPr>
                <w:rFonts w:hint="default" w:ascii="Times New Roman" w:hAnsi="Times New Roman" w:eastAsia="宋体" w:cs="Times New Roman"/>
                <w:color w:val="auto"/>
                <w:kern w:val="2"/>
                <w:sz w:val="24"/>
                <w:szCs w:val="24"/>
                <w:highlight w:val="none"/>
              </w:rPr>
              <w:t>经办人：年月日</w:t>
            </w:r>
          </w:p>
        </w:tc>
      </w:tr>
    </w:tbl>
    <w:p w14:paraId="3749ADE5">
      <w:pPr>
        <w:shd w:val="clear"/>
        <w:rPr>
          <w:rFonts w:hint="default" w:ascii="Times New Roman" w:hAnsi="Times New Roman" w:eastAsia="宋体" w:cs="Times New Roman"/>
          <w:color w:val="auto"/>
          <w:highlight w:val="none"/>
          <w:lang w:val="en-US" w:eastAsia="zh-CN"/>
        </w:rPr>
      </w:pPr>
    </w:p>
    <w:sectPr>
      <w:footerReference r:id="rId7" w:type="default"/>
      <w:pgSz w:w="11910" w:h="16840"/>
      <w:pgMar w:top="1219" w:right="1185" w:bottom="1219" w:left="1100" w:header="0" w:footer="1417"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wiss"/>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6C75D">
    <w:pPr>
      <w:pStyle w:val="12"/>
      <w:spacing w:line="14" w:lineRule="auto"/>
      <w:rPr>
        <w:sz w:val="12"/>
      </w:rPr>
    </w:pPr>
    <w:r>
      <w:rPr>
        <w:sz w:val="1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F3F56E">
                          <w:pPr>
                            <w:pStyle w:val="1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N5AWs0AgAAZQ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DeQFrNAIAAGUEAAAOAAAAAAAAAAEAIAAAAB8BAABkcnMvZTJvRG9jLnhtbFBL&#10;BQYAAAAABgAGAFkBAADFBQAAAAA=&#10;">
              <v:fill on="f" focussize="0,0"/>
              <v:stroke on="f" weight="0.5pt"/>
              <v:imagedata o:title=""/>
              <o:lock v:ext="edit" aspectratio="f"/>
              <v:textbox inset="0mm,0mm,0mm,0mm" style="mso-fit-shape-to-text:t;">
                <w:txbxContent>
                  <w:p w14:paraId="15F3F56E">
                    <w:pPr>
                      <w:pStyle w:val="1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B997B">
    <w:pPr>
      <w:pStyle w:val="12"/>
      <w:spacing w:line="14" w:lineRule="auto"/>
      <w:rPr>
        <w:sz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47108B">
                          <w:pPr>
                            <w:pStyle w:val="16"/>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VleXgzAgAAZQQAAA4AAAAAAAAAAQAgAAAAHwEAAGRycy9lMm9Eb2MueG1sUEsF&#10;BgAAAAAGAAYAWQEAAMQFAAAAAA==&#10;">
              <v:fill on="f" focussize="0,0"/>
              <v:stroke on="f" weight="0.5pt"/>
              <v:imagedata o:title=""/>
              <o:lock v:ext="edit" aspectratio="f"/>
              <v:textbox inset="0mm,0mm,0mm,0mm" style="mso-fit-shape-to-text:t;">
                <w:txbxContent>
                  <w:p w14:paraId="4947108B">
                    <w:pPr>
                      <w:pStyle w:val="16"/>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E69B7">
    <w:pPr>
      <w:pStyle w:val="12"/>
      <w:spacing w:line="14" w:lineRule="auto"/>
      <w:rPr>
        <w:sz w:val="2"/>
      </w:rPr>
    </w:pPr>
    <w:r>
      <w:rPr>
        <w:sz w:val="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37EB7B">
                          <w:pPr>
                            <w:pStyle w:val="16"/>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M5W0E0AgAAZQ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jOVtBNAIAAGUEAAAOAAAAAAAAAAEAIAAAAB8BAABkcnMvZTJvRG9jLnhtbFBL&#10;BQYAAAAABgAGAFkBAADFBQAAAAA=&#10;">
              <v:fill on="f" focussize="0,0"/>
              <v:stroke on="f" weight="0.5pt"/>
              <v:imagedata o:title=""/>
              <o:lock v:ext="edit" aspectratio="f"/>
              <v:textbox inset="0mm,0mm,0mm,0mm" style="mso-fit-shape-to-text:t;">
                <w:txbxContent>
                  <w:p w14:paraId="7C37EB7B">
                    <w:pPr>
                      <w:pStyle w:val="16"/>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2BEB5">
    <w:pPr>
      <w:pStyle w:val="12"/>
      <w:spacing w:line="14" w:lineRule="auto"/>
      <w:rPr>
        <w:sz w:val="12"/>
      </w:rPr>
    </w:pPr>
    <w:r>
      <w:rPr>
        <w:sz w:val="1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62B758">
                          <w:pPr>
                            <w:pStyle w:val="1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67</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F5X8ozAgAAZQQAAA4AAABkcnMvZTJvRG9jLnhtbK1UzY7TMBC+I/EO&#10;lu80aRGrUj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F5X8ozAgAAZQQAAA4AAAAAAAAAAQAgAAAAHwEAAGRycy9lMm9Eb2MueG1sUEsF&#10;BgAAAAAGAAYAWQEAAMQFAAAAAA==&#10;">
              <v:fill on="f" focussize="0,0"/>
              <v:stroke on="f" weight="0.5pt"/>
              <v:imagedata o:title=""/>
              <o:lock v:ext="edit" aspectratio="f"/>
              <v:textbox inset="0mm,0mm,0mm,0mm" style="mso-fit-shape-to-text:t;">
                <w:txbxContent>
                  <w:p w14:paraId="2C62B758">
                    <w:pPr>
                      <w:pStyle w:val="1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67</w:t>
                    </w:r>
                    <w:r>
                      <w:rPr>
                        <w:rFonts w:hint="default" w:ascii="Times New Roman" w:hAnsi="Times New Roman" w:cs="Times New Roma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31951">
    <w:pPr>
      <w:pStyle w:val="12"/>
      <w:spacing w:line="14" w:lineRule="auto"/>
      <w:rPr>
        <w:sz w:val="2"/>
      </w:rPr>
    </w:pPr>
    <w:r>
      <w:rPr>
        <w:sz w:val="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9"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BE145C">
                          <w:pPr>
                            <w:pStyle w:val="16"/>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3Bf2c0AgAAZQQAAA4AAABkcnMvZTJvRG9jLnhtbK1UzY7TMBC+I/EO&#10;lu80aVes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twX9nNAIAAGUEAAAOAAAAAAAAAAEAIAAAAB8BAABkcnMvZTJvRG9jLnhtbFBL&#10;BQYAAAAABgAGAFkBAADFBQAAAAA=&#10;">
              <v:fill on="f" focussize="0,0"/>
              <v:stroke on="f" weight="0.5pt"/>
              <v:imagedata o:title=""/>
              <o:lock v:ext="edit" aspectratio="f"/>
              <v:textbox inset="0mm,0mm,0mm,0mm" style="mso-fit-shape-to-text:t;">
                <w:txbxContent>
                  <w:p w14:paraId="38BE145C">
                    <w:pPr>
                      <w:pStyle w:val="16"/>
                    </w:pPr>
                    <w:r>
                      <w:fldChar w:fldCharType="begin"/>
                    </w:r>
                    <w:r>
                      <w:instrText xml:space="preserve"> PAGE  \* MERGEFORMAT </w:instrText>
                    </w:r>
                    <w:r>
                      <w:fldChar w:fldCharType="separate"/>
                    </w:r>
                    <w:r>
                      <w:t>68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E519F9"/>
    <w:multiLevelType w:val="singleLevel"/>
    <w:tmpl w:val="2DE519F9"/>
    <w:lvl w:ilvl="0" w:tentative="0">
      <w:start w:val="2"/>
      <w:numFmt w:val="decimal"/>
      <w:suff w:val="nothing"/>
      <w:lvlText w:val="%1、"/>
      <w:lvlJc w:val="left"/>
    </w:lvl>
  </w:abstractNum>
  <w:abstractNum w:abstractNumId="1">
    <w:nsid w:val="690084CF"/>
    <w:multiLevelType w:val="singleLevel"/>
    <w:tmpl w:val="690084CF"/>
    <w:lvl w:ilvl="0" w:tentative="0">
      <w:start w:val="1"/>
      <w:numFmt w:val="decimal"/>
      <w:lvlText w:val="%1."/>
      <w:lvlJc w:val="left"/>
      <w:pPr>
        <w:tabs>
          <w:tab w:val="left" w:pos="312"/>
        </w:tabs>
      </w:pPr>
    </w:lvl>
  </w:abstractNum>
  <w:abstractNum w:abstractNumId="2">
    <w:nsid w:val="71709A53"/>
    <w:multiLevelType w:val="multilevel"/>
    <w:tmpl w:val="71709A53"/>
    <w:lvl w:ilvl="0" w:tentative="0">
      <w:start w:val="1"/>
      <w:numFmt w:val="decimal"/>
      <w:suff w:val="nothing"/>
      <w:lvlText w:val="（%1）"/>
      <w:lvlJc w:val="left"/>
      <w:pPr>
        <w:ind w:left="0" w:leftChars="0" w:firstLine="0" w:firstLineChars="0"/>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suff w:val="nothing"/>
      <w:lvlText w:val="（%1.%2.%3）"/>
      <w:lvlJc w:val="left"/>
      <w:pPr>
        <w:ind w:left="0" w:leftChars="0" w:firstLine="0" w:firstLineChars="0"/>
      </w:pPr>
      <w:rPr>
        <w:rFonts w:hint="default"/>
      </w:rPr>
    </w:lvl>
    <w:lvl w:ilvl="3" w:tentative="0">
      <w:start w:val="1"/>
      <w:numFmt w:val="decimal"/>
      <w:suff w:val="nothing"/>
      <w:lvlText w:val="（%1.%2.%3.%4）"/>
      <w:lvlJc w:val="left"/>
      <w:pPr>
        <w:ind w:left="0" w:leftChars="0" w:firstLine="0" w:firstLineChars="0"/>
      </w:pPr>
      <w:rPr>
        <w:rFonts w:hint="default"/>
      </w:rPr>
    </w:lvl>
    <w:lvl w:ilvl="4" w:tentative="0">
      <w:start w:val="1"/>
      <w:numFmt w:val="decimal"/>
      <w:suff w:val="nothing"/>
      <w:lvlText w:val="（%1.%2.%3.%4.%5）"/>
      <w:lvlJc w:val="left"/>
      <w:pPr>
        <w:ind w:left="0" w:leftChars="0" w:firstLine="0" w:firstLineChars="0"/>
      </w:pPr>
      <w:rPr>
        <w:rFonts w:hint="default"/>
      </w:rPr>
    </w:lvl>
    <w:lvl w:ilvl="5" w:tentative="0">
      <w:start w:val="1"/>
      <w:numFmt w:val="decimal"/>
      <w:suff w:val="nothing"/>
      <w:lvlText w:val="（%1.%2.%3.%4.%5.%6）"/>
      <w:lvlJc w:val="left"/>
      <w:pPr>
        <w:ind w:left="0" w:leftChars="0" w:firstLine="0" w:firstLineChars="0"/>
      </w:pPr>
      <w:rPr>
        <w:rFonts w:hint="default"/>
      </w:rPr>
    </w:lvl>
    <w:lvl w:ilvl="6" w:tentative="0">
      <w:start w:val="1"/>
      <w:numFmt w:val="decimal"/>
      <w:suff w:val="nothing"/>
      <w:lvlText w:val="（%1.%2.%3.%4.%5.%6.%7）"/>
      <w:lvlJc w:val="left"/>
      <w:pPr>
        <w:ind w:left="0" w:leftChars="0" w:firstLine="0" w:firstLineChars="0"/>
      </w:pPr>
      <w:rPr>
        <w:rFonts w:hint="default"/>
      </w:rPr>
    </w:lvl>
    <w:lvl w:ilvl="7" w:tentative="0">
      <w:start w:val="1"/>
      <w:numFmt w:val="decimal"/>
      <w:suff w:val="nothing"/>
      <w:lvlText w:val="（%1.%2.%3.%4.%5.%6.%7.%8）"/>
      <w:lvlJc w:val="left"/>
      <w:pPr>
        <w:ind w:left="0" w:leftChars="0" w:firstLine="0" w:firstLineChars="0"/>
      </w:pPr>
      <w:rPr>
        <w:rFonts w:hint="default"/>
      </w:rPr>
    </w:lvl>
    <w:lvl w:ilvl="8" w:tentative="0">
      <w:start w:val="1"/>
      <w:numFmt w:val="decimal"/>
      <w:suff w:val="nothing"/>
      <w:lvlText w:val="（%1.%2.%3.%4.%5.%6.%7.%8.%9）"/>
      <w:lvlJc w:val="left"/>
      <w:pPr>
        <w:ind w:left="0" w:leftChars="0" w:firstLine="0" w:firstLineChars="0"/>
      </w:pPr>
      <w:rPr>
        <w:rFonts w:hint="default"/>
      </w:rPr>
    </w:lvl>
  </w:abstractNum>
  <w:abstractNum w:abstractNumId="3">
    <w:nsid w:val="73ED3D60"/>
    <w:multiLevelType w:val="singleLevel"/>
    <w:tmpl w:val="73ED3D60"/>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iNTI3NTAwZmM5NWNkZTU5ZDVkNjRjMjhlZGZkNWUifQ=="/>
  </w:docVars>
  <w:rsids>
    <w:rsidRoot w:val="00172A27"/>
    <w:rsid w:val="0005222C"/>
    <w:rsid w:val="00091CCD"/>
    <w:rsid w:val="000E4FFF"/>
    <w:rsid w:val="000F06B7"/>
    <w:rsid w:val="000F09BD"/>
    <w:rsid w:val="000F16BE"/>
    <w:rsid w:val="00125861"/>
    <w:rsid w:val="00126E96"/>
    <w:rsid w:val="00133528"/>
    <w:rsid w:val="001669BF"/>
    <w:rsid w:val="00172A27"/>
    <w:rsid w:val="001D3A41"/>
    <w:rsid w:val="00270C61"/>
    <w:rsid w:val="00346346"/>
    <w:rsid w:val="003A37A2"/>
    <w:rsid w:val="004059FC"/>
    <w:rsid w:val="00423C6D"/>
    <w:rsid w:val="00460FBA"/>
    <w:rsid w:val="00473772"/>
    <w:rsid w:val="004854CD"/>
    <w:rsid w:val="004E2959"/>
    <w:rsid w:val="00511B67"/>
    <w:rsid w:val="005969AE"/>
    <w:rsid w:val="005D1948"/>
    <w:rsid w:val="005E0AA6"/>
    <w:rsid w:val="005F4D63"/>
    <w:rsid w:val="00626880"/>
    <w:rsid w:val="006270B0"/>
    <w:rsid w:val="0064210E"/>
    <w:rsid w:val="006463BB"/>
    <w:rsid w:val="00670FB2"/>
    <w:rsid w:val="00693CB3"/>
    <w:rsid w:val="00696475"/>
    <w:rsid w:val="006C0481"/>
    <w:rsid w:val="006E443D"/>
    <w:rsid w:val="006F0CA6"/>
    <w:rsid w:val="007425B0"/>
    <w:rsid w:val="0076110B"/>
    <w:rsid w:val="007F6048"/>
    <w:rsid w:val="0086656A"/>
    <w:rsid w:val="008A54E7"/>
    <w:rsid w:val="00973FB8"/>
    <w:rsid w:val="0098436C"/>
    <w:rsid w:val="009957FF"/>
    <w:rsid w:val="009A0EDE"/>
    <w:rsid w:val="009B0EF5"/>
    <w:rsid w:val="009F5D03"/>
    <w:rsid w:val="00A031D0"/>
    <w:rsid w:val="00A07FE1"/>
    <w:rsid w:val="00A44F06"/>
    <w:rsid w:val="00A5159E"/>
    <w:rsid w:val="00A641FB"/>
    <w:rsid w:val="00A83C36"/>
    <w:rsid w:val="00AA329D"/>
    <w:rsid w:val="00B37537"/>
    <w:rsid w:val="00B74085"/>
    <w:rsid w:val="00B768EF"/>
    <w:rsid w:val="00B77A4C"/>
    <w:rsid w:val="00BB6EAB"/>
    <w:rsid w:val="00C04E78"/>
    <w:rsid w:val="00C72C49"/>
    <w:rsid w:val="00C85EBB"/>
    <w:rsid w:val="00C91C98"/>
    <w:rsid w:val="00CA09A8"/>
    <w:rsid w:val="00D2650E"/>
    <w:rsid w:val="00D73852"/>
    <w:rsid w:val="00DC2848"/>
    <w:rsid w:val="00DF142F"/>
    <w:rsid w:val="00DF379F"/>
    <w:rsid w:val="00E13486"/>
    <w:rsid w:val="00E15234"/>
    <w:rsid w:val="00E30FAC"/>
    <w:rsid w:val="00E748AB"/>
    <w:rsid w:val="00F470EA"/>
    <w:rsid w:val="00F51543"/>
    <w:rsid w:val="00F56038"/>
    <w:rsid w:val="010A1F0A"/>
    <w:rsid w:val="01136823"/>
    <w:rsid w:val="01175DBA"/>
    <w:rsid w:val="01186AC5"/>
    <w:rsid w:val="011D2710"/>
    <w:rsid w:val="011D61A5"/>
    <w:rsid w:val="01201D17"/>
    <w:rsid w:val="01300F31"/>
    <w:rsid w:val="01347684"/>
    <w:rsid w:val="01376DBD"/>
    <w:rsid w:val="01423F24"/>
    <w:rsid w:val="014F3C39"/>
    <w:rsid w:val="01567EAC"/>
    <w:rsid w:val="016D5E81"/>
    <w:rsid w:val="01766DDB"/>
    <w:rsid w:val="018C293E"/>
    <w:rsid w:val="019A44EC"/>
    <w:rsid w:val="01AC48D0"/>
    <w:rsid w:val="01AD1173"/>
    <w:rsid w:val="01AD6E7F"/>
    <w:rsid w:val="01AF1C70"/>
    <w:rsid w:val="01B36BD0"/>
    <w:rsid w:val="01B52C2D"/>
    <w:rsid w:val="01B8783E"/>
    <w:rsid w:val="01B97834"/>
    <w:rsid w:val="01BB2187"/>
    <w:rsid w:val="01BE7600"/>
    <w:rsid w:val="01CF381D"/>
    <w:rsid w:val="01D44EC4"/>
    <w:rsid w:val="01D628BE"/>
    <w:rsid w:val="01D8608B"/>
    <w:rsid w:val="01D9111D"/>
    <w:rsid w:val="01DB5D8F"/>
    <w:rsid w:val="01E46AF6"/>
    <w:rsid w:val="01E52FAF"/>
    <w:rsid w:val="01F30184"/>
    <w:rsid w:val="01F3123C"/>
    <w:rsid w:val="01F5752E"/>
    <w:rsid w:val="01F676DC"/>
    <w:rsid w:val="020143B6"/>
    <w:rsid w:val="020D320F"/>
    <w:rsid w:val="020D7723"/>
    <w:rsid w:val="021F693F"/>
    <w:rsid w:val="0221133C"/>
    <w:rsid w:val="02274E14"/>
    <w:rsid w:val="02290E4C"/>
    <w:rsid w:val="02291D01"/>
    <w:rsid w:val="022D17A5"/>
    <w:rsid w:val="022E26FA"/>
    <w:rsid w:val="0232397E"/>
    <w:rsid w:val="023A0C1C"/>
    <w:rsid w:val="023D6EC9"/>
    <w:rsid w:val="02443CCC"/>
    <w:rsid w:val="0247556A"/>
    <w:rsid w:val="02493D31"/>
    <w:rsid w:val="02497E55"/>
    <w:rsid w:val="024D48A8"/>
    <w:rsid w:val="024E3F3E"/>
    <w:rsid w:val="02533F0F"/>
    <w:rsid w:val="02557C87"/>
    <w:rsid w:val="02566A6E"/>
    <w:rsid w:val="02581525"/>
    <w:rsid w:val="025C1016"/>
    <w:rsid w:val="025C550E"/>
    <w:rsid w:val="025E6DBF"/>
    <w:rsid w:val="026564B3"/>
    <w:rsid w:val="027121A3"/>
    <w:rsid w:val="02762890"/>
    <w:rsid w:val="02796A96"/>
    <w:rsid w:val="027B43B5"/>
    <w:rsid w:val="02885FC2"/>
    <w:rsid w:val="028B38C4"/>
    <w:rsid w:val="0293686F"/>
    <w:rsid w:val="02965E43"/>
    <w:rsid w:val="02A148A9"/>
    <w:rsid w:val="02A209F3"/>
    <w:rsid w:val="02B15EAE"/>
    <w:rsid w:val="02B27165"/>
    <w:rsid w:val="02B73B8A"/>
    <w:rsid w:val="02C42CDE"/>
    <w:rsid w:val="02C44E0D"/>
    <w:rsid w:val="02C74C71"/>
    <w:rsid w:val="02CA179F"/>
    <w:rsid w:val="02CA492D"/>
    <w:rsid w:val="02CE03EA"/>
    <w:rsid w:val="02CE0832"/>
    <w:rsid w:val="02CE4798"/>
    <w:rsid w:val="02E312AA"/>
    <w:rsid w:val="02FE20CD"/>
    <w:rsid w:val="03031491"/>
    <w:rsid w:val="0305345B"/>
    <w:rsid w:val="03062D2F"/>
    <w:rsid w:val="030F66AC"/>
    <w:rsid w:val="0310419A"/>
    <w:rsid w:val="03165668"/>
    <w:rsid w:val="03174F3D"/>
    <w:rsid w:val="03240271"/>
    <w:rsid w:val="032558AB"/>
    <w:rsid w:val="03343D40"/>
    <w:rsid w:val="03355DA3"/>
    <w:rsid w:val="03394EB3"/>
    <w:rsid w:val="033A6FAD"/>
    <w:rsid w:val="033B5B99"/>
    <w:rsid w:val="033F5400"/>
    <w:rsid w:val="034675D0"/>
    <w:rsid w:val="03487496"/>
    <w:rsid w:val="034D4E02"/>
    <w:rsid w:val="036439CE"/>
    <w:rsid w:val="036543C7"/>
    <w:rsid w:val="036B62CA"/>
    <w:rsid w:val="036F4EF8"/>
    <w:rsid w:val="0374358B"/>
    <w:rsid w:val="038650C3"/>
    <w:rsid w:val="038D093D"/>
    <w:rsid w:val="039201BD"/>
    <w:rsid w:val="039C57C0"/>
    <w:rsid w:val="03A314FC"/>
    <w:rsid w:val="03AB4E67"/>
    <w:rsid w:val="03B22657"/>
    <w:rsid w:val="03B57EBE"/>
    <w:rsid w:val="03B72CC7"/>
    <w:rsid w:val="03B86D7E"/>
    <w:rsid w:val="03BB1BA1"/>
    <w:rsid w:val="03C07943"/>
    <w:rsid w:val="03CE674F"/>
    <w:rsid w:val="03CE7210"/>
    <w:rsid w:val="03DC2654"/>
    <w:rsid w:val="03DF6DB2"/>
    <w:rsid w:val="03E40D14"/>
    <w:rsid w:val="03EE181D"/>
    <w:rsid w:val="03F10EDE"/>
    <w:rsid w:val="03F679E3"/>
    <w:rsid w:val="03F73578"/>
    <w:rsid w:val="04117BDE"/>
    <w:rsid w:val="04137B47"/>
    <w:rsid w:val="041903EE"/>
    <w:rsid w:val="04194CEF"/>
    <w:rsid w:val="0421691A"/>
    <w:rsid w:val="043B1E4C"/>
    <w:rsid w:val="043D6C25"/>
    <w:rsid w:val="04446129"/>
    <w:rsid w:val="044821A7"/>
    <w:rsid w:val="0449071D"/>
    <w:rsid w:val="04511EA2"/>
    <w:rsid w:val="045419C9"/>
    <w:rsid w:val="045E60D8"/>
    <w:rsid w:val="046D1718"/>
    <w:rsid w:val="046F76DC"/>
    <w:rsid w:val="047D055A"/>
    <w:rsid w:val="04836EC1"/>
    <w:rsid w:val="048B377C"/>
    <w:rsid w:val="048D0AE2"/>
    <w:rsid w:val="0491127A"/>
    <w:rsid w:val="04981D39"/>
    <w:rsid w:val="04A10B4D"/>
    <w:rsid w:val="04A927CA"/>
    <w:rsid w:val="04B03BBE"/>
    <w:rsid w:val="04B61E71"/>
    <w:rsid w:val="04C62C8D"/>
    <w:rsid w:val="04CF6A59"/>
    <w:rsid w:val="04D14D74"/>
    <w:rsid w:val="04E35A1E"/>
    <w:rsid w:val="04E377CC"/>
    <w:rsid w:val="04E56062"/>
    <w:rsid w:val="04E70360"/>
    <w:rsid w:val="04EC30AA"/>
    <w:rsid w:val="04EC54CB"/>
    <w:rsid w:val="04F0622E"/>
    <w:rsid w:val="04F228FA"/>
    <w:rsid w:val="05063013"/>
    <w:rsid w:val="050705E6"/>
    <w:rsid w:val="05085723"/>
    <w:rsid w:val="050F7ADD"/>
    <w:rsid w:val="05131E43"/>
    <w:rsid w:val="051B06FE"/>
    <w:rsid w:val="052728F5"/>
    <w:rsid w:val="052763BC"/>
    <w:rsid w:val="05282744"/>
    <w:rsid w:val="05290F57"/>
    <w:rsid w:val="052E0197"/>
    <w:rsid w:val="053221DD"/>
    <w:rsid w:val="053876D1"/>
    <w:rsid w:val="053C5B58"/>
    <w:rsid w:val="05413AEC"/>
    <w:rsid w:val="054318CB"/>
    <w:rsid w:val="05437DEB"/>
    <w:rsid w:val="05465FAD"/>
    <w:rsid w:val="05503414"/>
    <w:rsid w:val="05585F04"/>
    <w:rsid w:val="055D0F12"/>
    <w:rsid w:val="055D26FA"/>
    <w:rsid w:val="056A2327"/>
    <w:rsid w:val="0570011C"/>
    <w:rsid w:val="057B527C"/>
    <w:rsid w:val="057D6F16"/>
    <w:rsid w:val="057E540E"/>
    <w:rsid w:val="057E74F5"/>
    <w:rsid w:val="05823B8C"/>
    <w:rsid w:val="059E1314"/>
    <w:rsid w:val="05A4465B"/>
    <w:rsid w:val="05A453C0"/>
    <w:rsid w:val="05AC3597"/>
    <w:rsid w:val="05AD48C9"/>
    <w:rsid w:val="05B30342"/>
    <w:rsid w:val="05D92057"/>
    <w:rsid w:val="05D9289E"/>
    <w:rsid w:val="05D943F6"/>
    <w:rsid w:val="05DD2483"/>
    <w:rsid w:val="05E16DFC"/>
    <w:rsid w:val="05E360D9"/>
    <w:rsid w:val="05F37CAF"/>
    <w:rsid w:val="05F438D3"/>
    <w:rsid w:val="05F50B51"/>
    <w:rsid w:val="05F52048"/>
    <w:rsid w:val="06127C3D"/>
    <w:rsid w:val="06127F72"/>
    <w:rsid w:val="061B11E8"/>
    <w:rsid w:val="062245F6"/>
    <w:rsid w:val="062312E8"/>
    <w:rsid w:val="062A021C"/>
    <w:rsid w:val="062E6937"/>
    <w:rsid w:val="06312604"/>
    <w:rsid w:val="06360400"/>
    <w:rsid w:val="064967D6"/>
    <w:rsid w:val="065760FB"/>
    <w:rsid w:val="065B5A88"/>
    <w:rsid w:val="06652463"/>
    <w:rsid w:val="06693D01"/>
    <w:rsid w:val="066B121E"/>
    <w:rsid w:val="06764670"/>
    <w:rsid w:val="067D77AC"/>
    <w:rsid w:val="067F798B"/>
    <w:rsid w:val="068D7050"/>
    <w:rsid w:val="06A17DB7"/>
    <w:rsid w:val="06A35FB8"/>
    <w:rsid w:val="06A50BF6"/>
    <w:rsid w:val="06A91BE8"/>
    <w:rsid w:val="06B37334"/>
    <w:rsid w:val="06B64A6C"/>
    <w:rsid w:val="06B67D50"/>
    <w:rsid w:val="06BE2EF6"/>
    <w:rsid w:val="06C524B2"/>
    <w:rsid w:val="06C84466"/>
    <w:rsid w:val="06CA3B47"/>
    <w:rsid w:val="06CE56DC"/>
    <w:rsid w:val="06CF4373"/>
    <w:rsid w:val="06D1117A"/>
    <w:rsid w:val="06D176B1"/>
    <w:rsid w:val="06D909EA"/>
    <w:rsid w:val="06DF7026"/>
    <w:rsid w:val="06F85085"/>
    <w:rsid w:val="070E313E"/>
    <w:rsid w:val="071171B7"/>
    <w:rsid w:val="0716432D"/>
    <w:rsid w:val="071A1485"/>
    <w:rsid w:val="073B31C8"/>
    <w:rsid w:val="073C4597"/>
    <w:rsid w:val="07404390"/>
    <w:rsid w:val="074455BF"/>
    <w:rsid w:val="0745589F"/>
    <w:rsid w:val="07477D99"/>
    <w:rsid w:val="07495B58"/>
    <w:rsid w:val="075B1385"/>
    <w:rsid w:val="075E433E"/>
    <w:rsid w:val="075F30EA"/>
    <w:rsid w:val="077B16E9"/>
    <w:rsid w:val="077F1302"/>
    <w:rsid w:val="078E7C88"/>
    <w:rsid w:val="07923653"/>
    <w:rsid w:val="079E688A"/>
    <w:rsid w:val="07A6577E"/>
    <w:rsid w:val="07A86AAB"/>
    <w:rsid w:val="07AA03DF"/>
    <w:rsid w:val="07B23486"/>
    <w:rsid w:val="07B27E61"/>
    <w:rsid w:val="07B3536D"/>
    <w:rsid w:val="07BD3C84"/>
    <w:rsid w:val="07C128C4"/>
    <w:rsid w:val="07D85DEC"/>
    <w:rsid w:val="07DF3880"/>
    <w:rsid w:val="07E41B04"/>
    <w:rsid w:val="07E53DB1"/>
    <w:rsid w:val="07EA3DB1"/>
    <w:rsid w:val="07F436EA"/>
    <w:rsid w:val="08074BF6"/>
    <w:rsid w:val="080A75AF"/>
    <w:rsid w:val="08181DCA"/>
    <w:rsid w:val="081848D5"/>
    <w:rsid w:val="08291789"/>
    <w:rsid w:val="082B08F5"/>
    <w:rsid w:val="082C5D12"/>
    <w:rsid w:val="08322602"/>
    <w:rsid w:val="083549A4"/>
    <w:rsid w:val="08412CE0"/>
    <w:rsid w:val="084B0FAD"/>
    <w:rsid w:val="084E22E7"/>
    <w:rsid w:val="08537121"/>
    <w:rsid w:val="0854535C"/>
    <w:rsid w:val="085602B5"/>
    <w:rsid w:val="085B13C5"/>
    <w:rsid w:val="08602EE2"/>
    <w:rsid w:val="08606F4D"/>
    <w:rsid w:val="08636604"/>
    <w:rsid w:val="086E7D37"/>
    <w:rsid w:val="087106C7"/>
    <w:rsid w:val="087370B9"/>
    <w:rsid w:val="087B2EE5"/>
    <w:rsid w:val="088E3B00"/>
    <w:rsid w:val="08975A73"/>
    <w:rsid w:val="089D4767"/>
    <w:rsid w:val="08B366DA"/>
    <w:rsid w:val="08B464F2"/>
    <w:rsid w:val="08B53374"/>
    <w:rsid w:val="08B71FD2"/>
    <w:rsid w:val="08BF1715"/>
    <w:rsid w:val="08CD3B04"/>
    <w:rsid w:val="08CF5FAA"/>
    <w:rsid w:val="08D33F11"/>
    <w:rsid w:val="08D366D3"/>
    <w:rsid w:val="08D55A15"/>
    <w:rsid w:val="08E25998"/>
    <w:rsid w:val="08F5677D"/>
    <w:rsid w:val="08FA148B"/>
    <w:rsid w:val="08FC4362"/>
    <w:rsid w:val="08FD160B"/>
    <w:rsid w:val="0909379B"/>
    <w:rsid w:val="090B7262"/>
    <w:rsid w:val="091877FF"/>
    <w:rsid w:val="091B7A65"/>
    <w:rsid w:val="09231317"/>
    <w:rsid w:val="09235FD0"/>
    <w:rsid w:val="09263C24"/>
    <w:rsid w:val="092E7593"/>
    <w:rsid w:val="09510A7C"/>
    <w:rsid w:val="09540C99"/>
    <w:rsid w:val="09550B6C"/>
    <w:rsid w:val="095A3D02"/>
    <w:rsid w:val="096168DE"/>
    <w:rsid w:val="09690C9A"/>
    <w:rsid w:val="09706F3C"/>
    <w:rsid w:val="098259B7"/>
    <w:rsid w:val="09830DD7"/>
    <w:rsid w:val="0985104C"/>
    <w:rsid w:val="09870AAB"/>
    <w:rsid w:val="098970AF"/>
    <w:rsid w:val="098D7276"/>
    <w:rsid w:val="09907BA7"/>
    <w:rsid w:val="09942BFD"/>
    <w:rsid w:val="0994474F"/>
    <w:rsid w:val="099E060D"/>
    <w:rsid w:val="09AD1B68"/>
    <w:rsid w:val="09B12ED4"/>
    <w:rsid w:val="09B21664"/>
    <w:rsid w:val="09B64076"/>
    <w:rsid w:val="09BD78CE"/>
    <w:rsid w:val="09C52A8B"/>
    <w:rsid w:val="09C673FE"/>
    <w:rsid w:val="09CF1FCF"/>
    <w:rsid w:val="09EE720B"/>
    <w:rsid w:val="09F01883"/>
    <w:rsid w:val="09F36E1A"/>
    <w:rsid w:val="09F71229"/>
    <w:rsid w:val="09FA007E"/>
    <w:rsid w:val="09FA0F97"/>
    <w:rsid w:val="0A0337C8"/>
    <w:rsid w:val="0A0B6D28"/>
    <w:rsid w:val="0A1042DF"/>
    <w:rsid w:val="0A1165B9"/>
    <w:rsid w:val="0A15092E"/>
    <w:rsid w:val="0A1B3564"/>
    <w:rsid w:val="0A1F10FE"/>
    <w:rsid w:val="0A354D4B"/>
    <w:rsid w:val="0A3B4E03"/>
    <w:rsid w:val="0A3D4649"/>
    <w:rsid w:val="0A3E0A39"/>
    <w:rsid w:val="0A4A32C9"/>
    <w:rsid w:val="0A592595"/>
    <w:rsid w:val="0A5E5C25"/>
    <w:rsid w:val="0A881BFE"/>
    <w:rsid w:val="0A9916A0"/>
    <w:rsid w:val="0AA7304A"/>
    <w:rsid w:val="0AB75C4D"/>
    <w:rsid w:val="0AB80DB3"/>
    <w:rsid w:val="0AC0410C"/>
    <w:rsid w:val="0AC40885"/>
    <w:rsid w:val="0AC548EC"/>
    <w:rsid w:val="0AC843F7"/>
    <w:rsid w:val="0AC90F7E"/>
    <w:rsid w:val="0ACB15C6"/>
    <w:rsid w:val="0AD6392F"/>
    <w:rsid w:val="0AE61EF7"/>
    <w:rsid w:val="0AE71B00"/>
    <w:rsid w:val="0AE74013"/>
    <w:rsid w:val="0AE778EA"/>
    <w:rsid w:val="0AED62AE"/>
    <w:rsid w:val="0AFF0D05"/>
    <w:rsid w:val="0AFF6C8A"/>
    <w:rsid w:val="0B1B1342"/>
    <w:rsid w:val="0B1C3E84"/>
    <w:rsid w:val="0B1F3322"/>
    <w:rsid w:val="0B322DAF"/>
    <w:rsid w:val="0B3F3282"/>
    <w:rsid w:val="0B444D3D"/>
    <w:rsid w:val="0B454280"/>
    <w:rsid w:val="0B500FD6"/>
    <w:rsid w:val="0B576475"/>
    <w:rsid w:val="0B5803B2"/>
    <w:rsid w:val="0B5B4F02"/>
    <w:rsid w:val="0B5F638C"/>
    <w:rsid w:val="0B664E8C"/>
    <w:rsid w:val="0B6719E5"/>
    <w:rsid w:val="0B6F0DEB"/>
    <w:rsid w:val="0B791460"/>
    <w:rsid w:val="0B7A7CC3"/>
    <w:rsid w:val="0B870F04"/>
    <w:rsid w:val="0B8C4381"/>
    <w:rsid w:val="0BA002F6"/>
    <w:rsid w:val="0BA856AE"/>
    <w:rsid w:val="0BAD4686"/>
    <w:rsid w:val="0BBA6967"/>
    <w:rsid w:val="0BBF6171"/>
    <w:rsid w:val="0BC8771C"/>
    <w:rsid w:val="0BD065D0"/>
    <w:rsid w:val="0BD17EB6"/>
    <w:rsid w:val="0BD87233"/>
    <w:rsid w:val="0BD87B11"/>
    <w:rsid w:val="0BDA11FD"/>
    <w:rsid w:val="0BDB71D0"/>
    <w:rsid w:val="0BE53127"/>
    <w:rsid w:val="0BFA364D"/>
    <w:rsid w:val="0BFA7004"/>
    <w:rsid w:val="0BFC3102"/>
    <w:rsid w:val="0BFF74B1"/>
    <w:rsid w:val="0C014DBD"/>
    <w:rsid w:val="0C055D68"/>
    <w:rsid w:val="0C056495"/>
    <w:rsid w:val="0C0B2C4F"/>
    <w:rsid w:val="0C10430F"/>
    <w:rsid w:val="0C162BE9"/>
    <w:rsid w:val="0C175FAD"/>
    <w:rsid w:val="0C190660"/>
    <w:rsid w:val="0C1E7043"/>
    <w:rsid w:val="0C267C97"/>
    <w:rsid w:val="0C276415"/>
    <w:rsid w:val="0C2E3443"/>
    <w:rsid w:val="0C2E47AF"/>
    <w:rsid w:val="0C2F6EBE"/>
    <w:rsid w:val="0C3338B1"/>
    <w:rsid w:val="0C400C1E"/>
    <w:rsid w:val="0C4274CE"/>
    <w:rsid w:val="0C43716A"/>
    <w:rsid w:val="0C4F369E"/>
    <w:rsid w:val="0C5D1A62"/>
    <w:rsid w:val="0C6236CC"/>
    <w:rsid w:val="0C645DE8"/>
    <w:rsid w:val="0C6951A7"/>
    <w:rsid w:val="0C6D769A"/>
    <w:rsid w:val="0C704089"/>
    <w:rsid w:val="0C770467"/>
    <w:rsid w:val="0C7D2EA0"/>
    <w:rsid w:val="0C7D4C3A"/>
    <w:rsid w:val="0C8A3A8B"/>
    <w:rsid w:val="0C944FF3"/>
    <w:rsid w:val="0CA3764D"/>
    <w:rsid w:val="0CA42A1F"/>
    <w:rsid w:val="0CAE15C5"/>
    <w:rsid w:val="0CAF2B73"/>
    <w:rsid w:val="0CCF6E73"/>
    <w:rsid w:val="0CDA4F83"/>
    <w:rsid w:val="0CE63F18"/>
    <w:rsid w:val="0CE92BB4"/>
    <w:rsid w:val="0CEA5470"/>
    <w:rsid w:val="0CFF4F2C"/>
    <w:rsid w:val="0D017CA8"/>
    <w:rsid w:val="0D020152"/>
    <w:rsid w:val="0D063E2D"/>
    <w:rsid w:val="0D0C1AA1"/>
    <w:rsid w:val="0D1C7D1F"/>
    <w:rsid w:val="0D2766C4"/>
    <w:rsid w:val="0D2E1801"/>
    <w:rsid w:val="0D357C30"/>
    <w:rsid w:val="0D38442D"/>
    <w:rsid w:val="0D44139E"/>
    <w:rsid w:val="0D447177"/>
    <w:rsid w:val="0D543688"/>
    <w:rsid w:val="0D5D5C42"/>
    <w:rsid w:val="0D705608"/>
    <w:rsid w:val="0D743EDF"/>
    <w:rsid w:val="0D9341A9"/>
    <w:rsid w:val="0D9A6E96"/>
    <w:rsid w:val="0DA11FD2"/>
    <w:rsid w:val="0DA622C4"/>
    <w:rsid w:val="0DAB3ADB"/>
    <w:rsid w:val="0DAB400E"/>
    <w:rsid w:val="0DB140FD"/>
    <w:rsid w:val="0DBA707A"/>
    <w:rsid w:val="0DCC559D"/>
    <w:rsid w:val="0DD107EE"/>
    <w:rsid w:val="0DDA54E4"/>
    <w:rsid w:val="0DDD68E4"/>
    <w:rsid w:val="0DE12FE7"/>
    <w:rsid w:val="0DE800EA"/>
    <w:rsid w:val="0DED346A"/>
    <w:rsid w:val="0DEF3493"/>
    <w:rsid w:val="0DF021C5"/>
    <w:rsid w:val="0DF50570"/>
    <w:rsid w:val="0DFA7935"/>
    <w:rsid w:val="0DFC2DF9"/>
    <w:rsid w:val="0E0132C0"/>
    <w:rsid w:val="0E0B6F8E"/>
    <w:rsid w:val="0E0E6B16"/>
    <w:rsid w:val="0E106210"/>
    <w:rsid w:val="0E163131"/>
    <w:rsid w:val="0E2808B4"/>
    <w:rsid w:val="0E2C21E4"/>
    <w:rsid w:val="0E3015A8"/>
    <w:rsid w:val="0E303D3F"/>
    <w:rsid w:val="0E3270CE"/>
    <w:rsid w:val="0E3A0F99"/>
    <w:rsid w:val="0E4017EB"/>
    <w:rsid w:val="0E4060F8"/>
    <w:rsid w:val="0E4532A6"/>
    <w:rsid w:val="0E4D1706"/>
    <w:rsid w:val="0E5E52EF"/>
    <w:rsid w:val="0E653AB9"/>
    <w:rsid w:val="0E721A6C"/>
    <w:rsid w:val="0E7A1A5A"/>
    <w:rsid w:val="0E7C7A4B"/>
    <w:rsid w:val="0E8540C3"/>
    <w:rsid w:val="0E8B2AB6"/>
    <w:rsid w:val="0E8C2C83"/>
    <w:rsid w:val="0E963B01"/>
    <w:rsid w:val="0EA147F4"/>
    <w:rsid w:val="0EA57089"/>
    <w:rsid w:val="0EAF4D08"/>
    <w:rsid w:val="0EB83A3B"/>
    <w:rsid w:val="0ECC6578"/>
    <w:rsid w:val="0ECC7523"/>
    <w:rsid w:val="0EDA5A21"/>
    <w:rsid w:val="0EE11B9F"/>
    <w:rsid w:val="0EE1756D"/>
    <w:rsid w:val="0EE71CB8"/>
    <w:rsid w:val="0EEA013B"/>
    <w:rsid w:val="0EEF3211"/>
    <w:rsid w:val="0EF62377"/>
    <w:rsid w:val="0EFC3E99"/>
    <w:rsid w:val="0F011985"/>
    <w:rsid w:val="0F060C54"/>
    <w:rsid w:val="0F063ADF"/>
    <w:rsid w:val="0F073A61"/>
    <w:rsid w:val="0F087E2F"/>
    <w:rsid w:val="0F0B1AC0"/>
    <w:rsid w:val="0F0F7410"/>
    <w:rsid w:val="0F181E0A"/>
    <w:rsid w:val="0F1A028E"/>
    <w:rsid w:val="0F1D7D7F"/>
    <w:rsid w:val="0F2A424A"/>
    <w:rsid w:val="0F2D1E62"/>
    <w:rsid w:val="0F423341"/>
    <w:rsid w:val="0F4470B9"/>
    <w:rsid w:val="0F550435"/>
    <w:rsid w:val="0F5B37FD"/>
    <w:rsid w:val="0F5F460A"/>
    <w:rsid w:val="0F60347A"/>
    <w:rsid w:val="0F655C62"/>
    <w:rsid w:val="0F69793C"/>
    <w:rsid w:val="0F860074"/>
    <w:rsid w:val="0F895ABF"/>
    <w:rsid w:val="0F995326"/>
    <w:rsid w:val="0FA13C10"/>
    <w:rsid w:val="0FA86AED"/>
    <w:rsid w:val="0FA91C38"/>
    <w:rsid w:val="0FA933C0"/>
    <w:rsid w:val="0FAC3490"/>
    <w:rsid w:val="0FAD0452"/>
    <w:rsid w:val="0FAE3850"/>
    <w:rsid w:val="0FB669C1"/>
    <w:rsid w:val="0FC147F0"/>
    <w:rsid w:val="0FC50CA3"/>
    <w:rsid w:val="0FCC36A0"/>
    <w:rsid w:val="0FD0658C"/>
    <w:rsid w:val="0FD7617F"/>
    <w:rsid w:val="0FDC02E8"/>
    <w:rsid w:val="0FDC0699"/>
    <w:rsid w:val="0FDE09E6"/>
    <w:rsid w:val="0FE16FFE"/>
    <w:rsid w:val="0FE304CE"/>
    <w:rsid w:val="0FED5320"/>
    <w:rsid w:val="0FEF6A5D"/>
    <w:rsid w:val="0FFB1F4A"/>
    <w:rsid w:val="0FFC339B"/>
    <w:rsid w:val="1001144E"/>
    <w:rsid w:val="10042CED"/>
    <w:rsid w:val="1007768B"/>
    <w:rsid w:val="10115E94"/>
    <w:rsid w:val="102C6FE8"/>
    <w:rsid w:val="10416447"/>
    <w:rsid w:val="1045133B"/>
    <w:rsid w:val="106751B7"/>
    <w:rsid w:val="10703EDE"/>
    <w:rsid w:val="10737B78"/>
    <w:rsid w:val="10797237"/>
    <w:rsid w:val="107E2A9F"/>
    <w:rsid w:val="107F1CF0"/>
    <w:rsid w:val="10884671"/>
    <w:rsid w:val="1089507F"/>
    <w:rsid w:val="108E06FB"/>
    <w:rsid w:val="109D1EED"/>
    <w:rsid w:val="10A27E44"/>
    <w:rsid w:val="10A358D1"/>
    <w:rsid w:val="10A51312"/>
    <w:rsid w:val="10A76088"/>
    <w:rsid w:val="10B272CC"/>
    <w:rsid w:val="10B4616B"/>
    <w:rsid w:val="10B85FB1"/>
    <w:rsid w:val="10C14FDA"/>
    <w:rsid w:val="10C63350"/>
    <w:rsid w:val="10C87A72"/>
    <w:rsid w:val="10CA7A92"/>
    <w:rsid w:val="10D51453"/>
    <w:rsid w:val="10D60D7C"/>
    <w:rsid w:val="10DB1C9F"/>
    <w:rsid w:val="10DB67FC"/>
    <w:rsid w:val="10E160A6"/>
    <w:rsid w:val="10E248AF"/>
    <w:rsid w:val="10E30B54"/>
    <w:rsid w:val="10F235A5"/>
    <w:rsid w:val="10F36FE9"/>
    <w:rsid w:val="10F845FF"/>
    <w:rsid w:val="10F95BD8"/>
    <w:rsid w:val="11000178"/>
    <w:rsid w:val="11020127"/>
    <w:rsid w:val="11042AAC"/>
    <w:rsid w:val="110444E3"/>
    <w:rsid w:val="110E3BD2"/>
    <w:rsid w:val="111725AC"/>
    <w:rsid w:val="111D5318"/>
    <w:rsid w:val="11267D7D"/>
    <w:rsid w:val="11283BA8"/>
    <w:rsid w:val="112C42A9"/>
    <w:rsid w:val="112C5785"/>
    <w:rsid w:val="11334496"/>
    <w:rsid w:val="11360437"/>
    <w:rsid w:val="113E3148"/>
    <w:rsid w:val="113F222E"/>
    <w:rsid w:val="11452203"/>
    <w:rsid w:val="1149706D"/>
    <w:rsid w:val="114A515B"/>
    <w:rsid w:val="114F2718"/>
    <w:rsid w:val="11533411"/>
    <w:rsid w:val="115630D4"/>
    <w:rsid w:val="115A5E6B"/>
    <w:rsid w:val="115B4B8E"/>
    <w:rsid w:val="116157CA"/>
    <w:rsid w:val="11620834"/>
    <w:rsid w:val="1163049F"/>
    <w:rsid w:val="116621FF"/>
    <w:rsid w:val="11690245"/>
    <w:rsid w:val="11730E94"/>
    <w:rsid w:val="117341AC"/>
    <w:rsid w:val="11807977"/>
    <w:rsid w:val="11896830"/>
    <w:rsid w:val="118C1F04"/>
    <w:rsid w:val="118C4652"/>
    <w:rsid w:val="118D159A"/>
    <w:rsid w:val="118D3F1B"/>
    <w:rsid w:val="11936CD5"/>
    <w:rsid w:val="119C425C"/>
    <w:rsid w:val="119F1EA5"/>
    <w:rsid w:val="11A234A0"/>
    <w:rsid w:val="11AD1337"/>
    <w:rsid w:val="11B01EA5"/>
    <w:rsid w:val="11B038B5"/>
    <w:rsid w:val="11B10996"/>
    <w:rsid w:val="11C472A6"/>
    <w:rsid w:val="11CD397E"/>
    <w:rsid w:val="11D47C3C"/>
    <w:rsid w:val="11DB182B"/>
    <w:rsid w:val="11E23E4F"/>
    <w:rsid w:val="11E24C7F"/>
    <w:rsid w:val="11E36BD9"/>
    <w:rsid w:val="11FA04CE"/>
    <w:rsid w:val="12014C43"/>
    <w:rsid w:val="1202500A"/>
    <w:rsid w:val="12064AFA"/>
    <w:rsid w:val="12081A72"/>
    <w:rsid w:val="12093FD9"/>
    <w:rsid w:val="121F796A"/>
    <w:rsid w:val="1221799E"/>
    <w:rsid w:val="12217FC9"/>
    <w:rsid w:val="122B052F"/>
    <w:rsid w:val="1233018C"/>
    <w:rsid w:val="12330421"/>
    <w:rsid w:val="123F000C"/>
    <w:rsid w:val="1242263C"/>
    <w:rsid w:val="12431CBD"/>
    <w:rsid w:val="124F5C67"/>
    <w:rsid w:val="12507A4C"/>
    <w:rsid w:val="125F68E4"/>
    <w:rsid w:val="12731D70"/>
    <w:rsid w:val="127842F5"/>
    <w:rsid w:val="12791770"/>
    <w:rsid w:val="127D7762"/>
    <w:rsid w:val="12916400"/>
    <w:rsid w:val="12940358"/>
    <w:rsid w:val="129A7C4A"/>
    <w:rsid w:val="12A10D78"/>
    <w:rsid w:val="12AC6C2A"/>
    <w:rsid w:val="12B91B3C"/>
    <w:rsid w:val="12BF5C0C"/>
    <w:rsid w:val="12C111F6"/>
    <w:rsid w:val="12C627D6"/>
    <w:rsid w:val="12D535B7"/>
    <w:rsid w:val="12D704D5"/>
    <w:rsid w:val="12DA0441"/>
    <w:rsid w:val="12DA62DB"/>
    <w:rsid w:val="12E2340F"/>
    <w:rsid w:val="12E55A06"/>
    <w:rsid w:val="12E803AF"/>
    <w:rsid w:val="12E82452"/>
    <w:rsid w:val="12F64B6E"/>
    <w:rsid w:val="130B4AE8"/>
    <w:rsid w:val="130C44A2"/>
    <w:rsid w:val="130F3E82"/>
    <w:rsid w:val="13140E1F"/>
    <w:rsid w:val="1319004B"/>
    <w:rsid w:val="132B25FB"/>
    <w:rsid w:val="132B394A"/>
    <w:rsid w:val="1332329B"/>
    <w:rsid w:val="13386F35"/>
    <w:rsid w:val="13434772"/>
    <w:rsid w:val="134523ED"/>
    <w:rsid w:val="134E562B"/>
    <w:rsid w:val="135668FE"/>
    <w:rsid w:val="1359292D"/>
    <w:rsid w:val="136449BE"/>
    <w:rsid w:val="136C2823"/>
    <w:rsid w:val="137B2C9D"/>
    <w:rsid w:val="13907C7B"/>
    <w:rsid w:val="13990A4E"/>
    <w:rsid w:val="139E3033"/>
    <w:rsid w:val="13A14387"/>
    <w:rsid w:val="13A7700E"/>
    <w:rsid w:val="13AB6A60"/>
    <w:rsid w:val="13B201E3"/>
    <w:rsid w:val="13B20CE4"/>
    <w:rsid w:val="13B440E1"/>
    <w:rsid w:val="13BF1404"/>
    <w:rsid w:val="13BF1907"/>
    <w:rsid w:val="13DA081E"/>
    <w:rsid w:val="13DC1381"/>
    <w:rsid w:val="13E2227B"/>
    <w:rsid w:val="13E635C9"/>
    <w:rsid w:val="13EA32C7"/>
    <w:rsid w:val="13EC5CD8"/>
    <w:rsid w:val="13ED2474"/>
    <w:rsid w:val="13F15336"/>
    <w:rsid w:val="1400771F"/>
    <w:rsid w:val="14045448"/>
    <w:rsid w:val="14045668"/>
    <w:rsid w:val="140B63F8"/>
    <w:rsid w:val="14193060"/>
    <w:rsid w:val="141E2CF7"/>
    <w:rsid w:val="14223741"/>
    <w:rsid w:val="142B4CEC"/>
    <w:rsid w:val="143B2ADD"/>
    <w:rsid w:val="144A2A12"/>
    <w:rsid w:val="144C4E21"/>
    <w:rsid w:val="144F7B1D"/>
    <w:rsid w:val="145E5777"/>
    <w:rsid w:val="145E6210"/>
    <w:rsid w:val="14645A15"/>
    <w:rsid w:val="14740441"/>
    <w:rsid w:val="147A01F8"/>
    <w:rsid w:val="14803069"/>
    <w:rsid w:val="14825A4D"/>
    <w:rsid w:val="14977E3D"/>
    <w:rsid w:val="14991252"/>
    <w:rsid w:val="14A1521A"/>
    <w:rsid w:val="14B22C98"/>
    <w:rsid w:val="14B86C03"/>
    <w:rsid w:val="14BF2597"/>
    <w:rsid w:val="14D40957"/>
    <w:rsid w:val="14DC77B4"/>
    <w:rsid w:val="14DE6331"/>
    <w:rsid w:val="14DF354D"/>
    <w:rsid w:val="14E8055B"/>
    <w:rsid w:val="14E9060A"/>
    <w:rsid w:val="14EC0CC3"/>
    <w:rsid w:val="150A4EB6"/>
    <w:rsid w:val="150A6004"/>
    <w:rsid w:val="150E0609"/>
    <w:rsid w:val="1514752E"/>
    <w:rsid w:val="1517701E"/>
    <w:rsid w:val="153219C2"/>
    <w:rsid w:val="15353F92"/>
    <w:rsid w:val="153542FD"/>
    <w:rsid w:val="15373CF1"/>
    <w:rsid w:val="154222ED"/>
    <w:rsid w:val="1542577D"/>
    <w:rsid w:val="1548367B"/>
    <w:rsid w:val="154844E3"/>
    <w:rsid w:val="154E2560"/>
    <w:rsid w:val="155F4841"/>
    <w:rsid w:val="15604521"/>
    <w:rsid w:val="156C51F2"/>
    <w:rsid w:val="156E169C"/>
    <w:rsid w:val="157E5920"/>
    <w:rsid w:val="158146F9"/>
    <w:rsid w:val="158230A0"/>
    <w:rsid w:val="1585667E"/>
    <w:rsid w:val="158A2BD1"/>
    <w:rsid w:val="15944F11"/>
    <w:rsid w:val="15956544"/>
    <w:rsid w:val="15956A70"/>
    <w:rsid w:val="15A134B8"/>
    <w:rsid w:val="15A30E1D"/>
    <w:rsid w:val="15A35B68"/>
    <w:rsid w:val="15A500FB"/>
    <w:rsid w:val="15A813C9"/>
    <w:rsid w:val="15AD7FB9"/>
    <w:rsid w:val="15B861AE"/>
    <w:rsid w:val="15C26F8A"/>
    <w:rsid w:val="15E12BB1"/>
    <w:rsid w:val="15E13F95"/>
    <w:rsid w:val="15E61F99"/>
    <w:rsid w:val="15F33253"/>
    <w:rsid w:val="15F5464E"/>
    <w:rsid w:val="15F959E7"/>
    <w:rsid w:val="15FA1C09"/>
    <w:rsid w:val="16016C39"/>
    <w:rsid w:val="16077975"/>
    <w:rsid w:val="160A4358"/>
    <w:rsid w:val="160E0421"/>
    <w:rsid w:val="160F2B23"/>
    <w:rsid w:val="16101B4A"/>
    <w:rsid w:val="16134180"/>
    <w:rsid w:val="161E36C0"/>
    <w:rsid w:val="162100E1"/>
    <w:rsid w:val="1626576B"/>
    <w:rsid w:val="162A0C4B"/>
    <w:rsid w:val="16314110"/>
    <w:rsid w:val="163F4A71"/>
    <w:rsid w:val="1642189B"/>
    <w:rsid w:val="16445F42"/>
    <w:rsid w:val="16563422"/>
    <w:rsid w:val="165D3889"/>
    <w:rsid w:val="165F077A"/>
    <w:rsid w:val="16672CE3"/>
    <w:rsid w:val="16705E91"/>
    <w:rsid w:val="16717F0B"/>
    <w:rsid w:val="167868F9"/>
    <w:rsid w:val="167B41EF"/>
    <w:rsid w:val="168E3310"/>
    <w:rsid w:val="168F77DA"/>
    <w:rsid w:val="16A22500"/>
    <w:rsid w:val="16AC32C0"/>
    <w:rsid w:val="16B257C9"/>
    <w:rsid w:val="16B40FC8"/>
    <w:rsid w:val="16CD23DF"/>
    <w:rsid w:val="16D87DA2"/>
    <w:rsid w:val="16E2041D"/>
    <w:rsid w:val="16E8770A"/>
    <w:rsid w:val="16ED0036"/>
    <w:rsid w:val="16F94C2D"/>
    <w:rsid w:val="16FD2398"/>
    <w:rsid w:val="16FF3FF7"/>
    <w:rsid w:val="17013628"/>
    <w:rsid w:val="17062CF0"/>
    <w:rsid w:val="170844F2"/>
    <w:rsid w:val="170C11F8"/>
    <w:rsid w:val="170E478E"/>
    <w:rsid w:val="170F5918"/>
    <w:rsid w:val="17254D7D"/>
    <w:rsid w:val="172A6FCE"/>
    <w:rsid w:val="17377D1D"/>
    <w:rsid w:val="17391E88"/>
    <w:rsid w:val="17394DA7"/>
    <w:rsid w:val="173B4630"/>
    <w:rsid w:val="174D4816"/>
    <w:rsid w:val="174E29A3"/>
    <w:rsid w:val="175E7186"/>
    <w:rsid w:val="1772678E"/>
    <w:rsid w:val="177B6D2A"/>
    <w:rsid w:val="177C0FF0"/>
    <w:rsid w:val="179A3525"/>
    <w:rsid w:val="179A3DAD"/>
    <w:rsid w:val="179F0113"/>
    <w:rsid w:val="17A25010"/>
    <w:rsid w:val="17A538A6"/>
    <w:rsid w:val="17AB58E0"/>
    <w:rsid w:val="17AD5A18"/>
    <w:rsid w:val="17AE3C6A"/>
    <w:rsid w:val="17BC7250"/>
    <w:rsid w:val="17BD4880"/>
    <w:rsid w:val="17C05329"/>
    <w:rsid w:val="17C112A1"/>
    <w:rsid w:val="17C5249A"/>
    <w:rsid w:val="17C766B3"/>
    <w:rsid w:val="17C82339"/>
    <w:rsid w:val="17D3547E"/>
    <w:rsid w:val="17D631C0"/>
    <w:rsid w:val="17D75A06"/>
    <w:rsid w:val="17D86F06"/>
    <w:rsid w:val="17E01949"/>
    <w:rsid w:val="17E07B9B"/>
    <w:rsid w:val="17E419B4"/>
    <w:rsid w:val="17E60188"/>
    <w:rsid w:val="17EE22B8"/>
    <w:rsid w:val="17F00350"/>
    <w:rsid w:val="17F20E98"/>
    <w:rsid w:val="17FF298D"/>
    <w:rsid w:val="180513B0"/>
    <w:rsid w:val="18062677"/>
    <w:rsid w:val="180B21BF"/>
    <w:rsid w:val="180B742E"/>
    <w:rsid w:val="180E059C"/>
    <w:rsid w:val="1816180F"/>
    <w:rsid w:val="182248AA"/>
    <w:rsid w:val="18280900"/>
    <w:rsid w:val="18282201"/>
    <w:rsid w:val="182E79B3"/>
    <w:rsid w:val="183C6733"/>
    <w:rsid w:val="183E67FB"/>
    <w:rsid w:val="184F33D0"/>
    <w:rsid w:val="185D2654"/>
    <w:rsid w:val="186758AF"/>
    <w:rsid w:val="186D55EC"/>
    <w:rsid w:val="187C5B16"/>
    <w:rsid w:val="1880313C"/>
    <w:rsid w:val="188744BB"/>
    <w:rsid w:val="188E6510"/>
    <w:rsid w:val="188F5919"/>
    <w:rsid w:val="18A03F67"/>
    <w:rsid w:val="18A8170F"/>
    <w:rsid w:val="18B24194"/>
    <w:rsid w:val="18B43502"/>
    <w:rsid w:val="18BD7EDC"/>
    <w:rsid w:val="18C45E90"/>
    <w:rsid w:val="18C64FE3"/>
    <w:rsid w:val="18CE5C46"/>
    <w:rsid w:val="18D72D4C"/>
    <w:rsid w:val="18E07A65"/>
    <w:rsid w:val="18E134FB"/>
    <w:rsid w:val="18E35613"/>
    <w:rsid w:val="18F71640"/>
    <w:rsid w:val="19017980"/>
    <w:rsid w:val="190E5C29"/>
    <w:rsid w:val="19287E60"/>
    <w:rsid w:val="193209A2"/>
    <w:rsid w:val="193725BE"/>
    <w:rsid w:val="194101CA"/>
    <w:rsid w:val="19435609"/>
    <w:rsid w:val="19457FC6"/>
    <w:rsid w:val="19595E57"/>
    <w:rsid w:val="19627D59"/>
    <w:rsid w:val="196C7E37"/>
    <w:rsid w:val="19704F4F"/>
    <w:rsid w:val="197B0A31"/>
    <w:rsid w:val="197D78F9"/>
    <w:rsid w:val="197E1182"/>
    <w:rsid w:val="197E766C"/>
    <w:rsid w:val="197F1077"/>
    <w:rsid w:val="19834587"/>
    <w:rsid w:val="198F4717"/>
    <w:rsid w:val="199359A6"/>
    <w:rsid w:val="199E2B1A"/>
    <w:rsid w:val="19A44DF8"/>
    <w:rsid w:val="19A74E14"/>
    <w:rsid w:val="19A92130"/>
    <w:rsid w:val="19AA219B"/>
    <w:rsid w:val="19B906A4"/>
    <w:rsid w:val="19B92D9C"/>
    <w:rsid w:val="19D13793"/>
    <w:rsid w:val="19D32707"/>
    <w:rsid w:val="19DA06C2"/>
    <w:rsid w:val="19DC7F97"/>
    <w:rsid w:val="19DE635C"/>
    <w:rsid w:val="19E25E4D"/>
    <w:rsid w:val="19E3018B"/>
    <w:rsid w:val="19E62192"/>
    <w:rsid w:val="19E815E6"/>
    <w:rsid w:val="19EF24A3"/>
    <w:rsid w:val="19F636A6"/>
    <w:rsid w:val="1A151AD7"/>
    <w:rsid w:val="1A177CC4"/>
    <w:rsid w:val="1A254933"/>
    <w:rsid w:val="1A264FD0"/>
    <w:rsid w:val="1A2A3F5E"/>
    <w:rsid w:val="1A362328"/>
    <w:rsid w:val="1A391CF8"/>
    <w:rsid w:val="1A3E452C"/>
    <w:rsid w:val="1A420699"/>
    <w:rsid w:val="1A43656F"/>
    <w:rsid w:val="1A585801"/>
    <w:rsid w:val="1A6920CA"/>
    <w:rsid w:val="1A6A07F6"/>
    <w:rsid w:val="1A6F2484"/>
    <w:rsid w:val="1A711FB7"/>
    <w:rsid w:val="1A7F6004"/>
    <w:rsid w:val="1A81587F"/>
    <w:rsid w:val="1A871F5C"/>
    <w:rsid w:val="1A9A4A2F"/>
    <w:rsid w:val="1A9F6F73"/>
    <w:rsid w:val="1AA77DE7"/>
    <w:rsid w:val="1AB52C0B"/>
    <w:rsid w:val="1AB64BE3"/>
    <w:rsid w:val="1ABE1F5C"/>
    <w:rsid w:val="1AC90DBB"/>
    <w:rsid w:val="1ACE0D5B"/>
    <w:rsid w:val="1AD02149"/>
    <w:rsid w:val="1AD11963"/>
    <w:rsid w:val="1AD5150D"/>
    <w:rsid w:val="1AD5775F"/>
    <w:rsid w:val="1AD67034"/>
    <w:rsid w:val="1AD81CEA"/>
    <w:rsid w:val="1AD952D6"/>
    <w:rsid w:val="1ADD03C2"/>
    <w:rsid w:val="1AE2585D"/>
    <w:rsid w:val="1AE57205"/>
    <w:rsid w:val="1AF076EF"/>
    <w:rsid w:val="1AF534A7"/>
    <w:rsid w:val="1AF53561"/>
    <w:rsid w:val="1AFE38FA"/>
    <w:rsid w:val="1B127C47"/>
    <w:rsid w:val="1B173601"/>
    <w:rsid w:val="1B2C00EA"/>
    <w:rsid w:val="1B2C36F3"/>
    <w:rsid w:val="1B391A9C"/>
    <w:rsid w:val="1B391CB3"/>
    <w:rsid w:val="1B3C3125"/>
    <w:rsid w:val="1B3F107D"/>
    <w:rsid w:val="1B40030B"/>
    <w:rsid w:val="1B497352"/>
    <w:rsid w:val="1B5B5EB7"/>
    <w:rsid w:val="1B5F57A4"/>
    <w:rsid w:val="1B601CEF"/>
    <w:rsid w:val="1B6519E3"/>
    <w:rsid w:val="1B6A321D"/>
    <w:rsid w:val="1B6E3F89"/>
    <w:rsid w:val="1B6E485E"/>
    <w:rsid w:val="1B734F11"/>
    <w:rsid w:val="1B7831A2"/>
    <w:rsid w:val="1B792A16"/>
    <w:rsid w:val="1B7B5C95"/>
    <w:rsid w:val="1B7F3485"/>
    <w:rsid w:val="1B841FCE"/>
    <w:rsid w:val="1B905C23"/>
    <w:rsid w:val="1B976325"/>
    <w:rsid w:val="1B9A52D6"/>
    <w:rsid w:val="1B9B090D"/>
    <w:rsid w:val="1B9E7108"/>
    <w:rsid w:val="1BAD248A"/>
    <w:rsid w:val="1BB203C8"/>
    <w:rsid w:val="1BB47AE1"/>
    <w:rsid w:val="1BB8587D"/>
    <w:rsid w:val="1BBA38C9"/>
    <w:rsid w:val="1BBC447B"/>
    <w:rsid w:val="1BCD12C5"/>
    <w:rsid w:val="1BCE6754"/>
    <w:rsid w:val="1BD05FC5"/>
    <w:rsid w:val="1BE662DD"/>
    <w:rsid w:val="1BE71AA7"/>
    <w:rsid w:val="1BE95CDC"/>
    <w:rsid w:val="1BEC2689"/>
    <w:rsid w:val="1BF52471"/>
    <w:rsid w:val="1BF57C5B"/>
    <w:rsid w:val="1C1442B7"/>
    <w:rsid w:val="1C145FF6"/>
    <w:rsid w:val="1C152CEA"/>
    <w:rsid w:val="1C177904"/>
    <w:rsid w:val="1C1A77D5"/>
    <w:rsid w:val="1C1D13BE"/>
    <w:rsid w:val="1C2A3ADB"/>
    <w:rsid w:val="1C2B6BFA"/>
    <w:rsid w:val="1C2D577F"/>
    <w:rsid w:val="1C3A5A50"/>
    <w:rsid w:val="1C492D57"/>
    <w:rsid w:val="1C4A4A81"/>
    <w:rsid w:val="1C4C0FE0"/>
    <w:rsid w:val="1C585DDA"/>
    <w:rsid w:val="1C61026C"/>
    <w:rsid w:val="1C625023"/>
    <w:rsid w:val="1C68589E"/>
    <w:rsid w:val="1C6963B1"/>
    <w:rsid w:val="1C6A4997"/>
    <w:rsid w:val="1C77383F"/>
    <w:rsid w:val="1C79679F"/>
    <w:rsid w:val="1C7B60E4"/>
    <w:rsid w:val="1C7D3C04"/>
    <w:rsid w:val="1C8301EA"/>
    <w:rsid w:val="1C902538"/>
    <w:rsid w:val="1C924035"/>
    <w:rsid w:val="1C927D0D"/>
    <w:rsid w:val="1C993D1E"/>
    <w:rsid w:val="1CA407DB"/>
    <w:rsid w:val="1CAD2214"/>
    <w:rsid w:val="1CB30C73"/>
    <w:rsid w:val="1CB41933"/>
    <w:rsid w:val="1CBB4733"/>
    <w:rsid w:val="1CC80413"/>
    <w:rsid w:val="1CC950A2"/>
    <w:rsid w:val="1CD01DC6"/>
    <w:rsid w:val="1CD15E8B"/>
    <w:rsid w:val="1CDD4C70"/>
    <w:rsid w:val="1CDD6D9F"/>
    <w:rsid w:val="1CDF2903"/>
    <w:rsid w:val="1CE91C6F"/>
    <w:rsid w:val="1CEA58F6"/>
    <w:rsid w:val="1CF06F67"/>
    <w:rsid w:val="1CFB464D"/>
    <w:rsid w:val="1D1632F3"/>
    <w:rsid w:val="1D2113EA"/>
    <w:rsid w:val="1D230E36"/>
    <w:rsid w:val="1D3A0517"/>
    <w:rsid w:val="1D43607F"/>
    <w:rsid w:val="1D440ED1"/>
    <w:rsid w:val="1D4756AB"/>
    <w:rsid w:val="1D5A219E"/>
    <w:rsid w:val="1D5C3C04"/>
    <w:rsid w:val="1D5F2390"/>
    <w:rsid w:val="1D603275"/>
    <w:rsid w:val="1D6F7863"/>
    <w:rsid w:val="1D7004C8"/>
    <w:rsid w:val="1D707149"/>
    <w:rsid w:val="1D7274E7"/>
    <w:rsid w:val="1D975F15"/>
    <w:rsid w:val="1D9F5E03"/>
    <w:rsid w:val="1DA44664"/>
    <w:rsid w:val="1DA66FE8"/>
    <w:rsid w:val="1DB83DBE"/>
    <w:rsid w:val="1DBD13AE"/>
    <w:rsid w:val="1DC04383"/>
    <w:rsid w:val="1DC12534"/>
    <w:rsid w:val="1DC17709"/>
    <w:rsid w:val="1DC83667"/>
    <w:rsid w:val="1DCC47AE"/>
    <w:rsid w:val="1DD575F8"/>
    <w:rsid w:val="1DE2466D"/>
    <w:rsid w:val="1DF00582"/>
    <w:rsid w:val="1DFD5F2E"/>
    <w:rsid w:val="1E036DC4"/>
    <w:rsid w:val="1E04186A"/>
    <w:rsid w:val="1E0C0026"/>
    <w:rsid w:val="1E1257C2"/>
    <w:rsid w:val="1E192CB0"/>
    <w:rsid w:val="1E2031A7"/>
    <w:rsid w:val="1E21054D"/>
    <w:rsid w:val="1E2376B8"/>
    <w:rsid w:val="1E256308"/>
    <w:rsid w:val="1E28404A"/>
    <w:rsid w:val="1E2F52AD"/>
    <w:rsid w:val="1E3173A3"/>
    <w:rsid w:val="1E32013B"/>
    <w:rsid w:val="1E435E19"/>
    <w:rsid w:val="1E5A29D0"/>
    <w:rsid w:val="1E5D3CF4"/>
    <w:rsid w:val="1E6A48C0"/>
    <w:rsid w:val="1E7948A6"/>
    <w:rsid w:val="1E7A618C"/>
    <w:rsid w:val="1E7D5E1E"/>
    <w:rsid w:val="1E85324A"/>
    <w:rsid w:val="1E877D62"/>
    <w:rsid w:val="1E902326"/>
    <w:rsid w:val="1EA25BAA"/>
    <w:rsid w:val="1EA731C1"/>
    <w:rsid w:val="1EA952C9"/>
    <w:rsid w:val="1EAE2D01"/>
    <w:rsid w:val="1EB1167D"/>
    <w:rsid w:val="1EB12291"/>
    <w:rsid w:val="1EB35674"/>
    <w:rsid w:val="1EBC255B"/>
    <w:rsid w:val="1EBC3315"/>
    <w:rsid w:val="1EC2300F"/>
    <w:rsid w:val="1EC45033"/>
    <w:rsid w:val="1EC473C2"/>
    <w:rsid w:val="1EC96FAF"/>
    <w:rsid w:val="1ECE074D"/>
    <w:rsid w:val="1ED41C72"/>
    <w:rsid w:val="1EDD501A"/>
    <w:rsid w:val="1EDF12A2"/>
    <w:rsid w:val="1EDF6DFF"/>
    <w:rsid w:val="1EE44E5F"/>
    <w:rsid w:val="1EE931C8"/>
    <w:rsid w:val="1EF3191E"/>
    <w:rsid w:val="1EF53F2C"/>
    <w:rsid w:val="1EFB2E9E"/>
    <w:rsid w:val="1F033058"/>
    <w:rsid w:val="1F0C3543"/>
    <w:rsid w:val="1F0D3312"/>
    <w:rsid w:val="1F0D3B02"/>
    <w:rsid w:val="1F35360E"/>
    <w:rsid w:val="1F36093E"/>
    <w:rsid w:val="1F391A6D"/>
    <w:rsid w:val="1F46301F"/>
    <w:rsid w:val="1F4B4494"/>
    <w:rsid w:val="1F525822"/>
    <w:rsid w:val="1F541044"/>
    <w:rsid w:val="1F56243D"/>
    <w:rsid w:val="1F566570"/>
    <w:rsid w:val="1F572E39"/>
    <w:rsid w:val="1F61233D"/>
    <w:rsid w:val="1F641C55"/>
    <w:rsid w:val="1F6F3CC8"/>
    <w:rsid w:val="1F7538D1"/>
    <w:rsid w:val="1F755D82"/>
    <w:rsid w:val="1F7C70AE"/>
    <w:rsid w:val="1F8264F0"/>
    <w:rsid w:val="1F8537CC"/>
    <w:rsid w:val="1F886705"/>
    <w:rsid w:val="1F9028A2"/>
    <w:rsid w:val="1F9944F9"/>
    <w:rsid w:val="1F9A5ADC"/>
    <w:rsid w:val="1F9B72AE"/>
    <w:rsid w:val="1FA31351"/>
    <w:rsid w:val="1FA47700"/>
    <w:rsid w:val="1FA517AE"/>
    <w:rsid w:val="1FA916B4"/>
    <w:rsid w:val="1FAB6CE1"/>
    <w:rsid w:val="1FBB7EFD"/>
    <w:rsid w:val="1FC1176D"/>
    <w:rsid w:val="1FC544E6"/>
    <w:rsid w:val="1FC84549"/>
    <w:rsid w:val="1FCC6CEB"/>
    <w:rsid w:val="1FCF5522"/>
    <w:rsid w:val="1FE15536"/>
    <w:rsid w:val="1FE401B3"/>
    <w:rsid w:val="1FE66B94"/>
    <w:rsid w:val="1FE67C0D"/>
    <w:rsid w:val="1FEA0FDF"/>
    <w:rsid w:val="1FEC6C87"/>
    <w:rsid w:val="1FEF3999"/>
    <w:rsid w:val="1FF9734B"/>
    <w:rsid w:val="1FFE17EE"/>
    <w:rsid w:val="20006165"/>
    <w:rsid w:val="2007372E"/>
    <w:rsid w:val="2009724A"/>
    <w:rsid w:val="2011123A"/>
    <w:rsid w:val="201907BF"/>
    <w:rsid w:val="20204D04"/>
    <w:rsid w:val="20280826"/>
    <w:rsid w:val="202852FC"/>
    <w:rsid w:val="202A765B"/>
    <w:rsid w:val="202F3FD2"/>
    <w:rsid w:val="20337188"/>
    <w:rsid w:val="203A2D2E"/>
    <w:rsid w:val="204333BD"/>
    <w:rsid w:val="204824B6"/>
    <w:rsid w:val="204C014C"/>
    <w:rsid w:val="204C40F1"/>
    <w:rsid w:val="204F3B10"/>
    <w:rsid w:val="20522BB1"/>
    <w:rsid w:val="205B24B5"/>
    <w:rsid w:val="205E05D5"/>
    <w:rsid w:val="20670E5A"/>
    <w:rsid w:val="207D70F5"/>
    <w:rsid w:val="208912C1"/>
    <w:rsid w:val="209459C7"/>
    <w:rsid w:val="20957234"/>
    <w:rsid w:val="209A6E1F"/>
    <w:rsid w:val="209C1398"/>
    <w:rsid w:val="209E41D5"/>
    <w:rsid w:val="20A124B8"/>
    <w:rsid w:val="20AD2AAA"/>
    <w:rsid w:val="20B4502D"/>
    <w:rsid w:val="20B7775D"/>
    <w:rsid w:val="20B86951"/>
    <w:rsid w:val="20BA0087"/>
    <w:rsid w:val="20C36C4E"/>
    <w:rsid w:val="20C53A58"/>
    <w:rsid w:val="20CA12A2"/>
    <w:rsid w:val="20CC47A1"/>
    <w:rsid w:val="20D36689"/>
    <w:rsid w:val="20DB2265"/>
    <w:rsid w:val="20E25071"/>
    <w:rsid w:val="20E26732"/>
    <w:rsid w:val="20FA4260"/>
    <w:rsid w:val="2101752F"/>
    <w:rsid w:val="21024E98"/>
    <w:rsid w:val="210A489A"/>
    <w:rsid w:val="2112135B"/>
    <w:rsid w:val="211440DE"/>
    <w:rsid w:val="211C0DB3"/>
    <w:rsid w:val="211E0F0D"/>
    <w:rsid w:val="21204FF0"/>
    <w:rsid w:val="2129479D"/>
    <w:rsid w:val="213435D0"/>
    <w:rsid w:val="21364C83"/>
    <w:rsid w:val="21386A73"/>
    <w:rsid w:val="21397F6C"/>
    <w:rsid w:val="213D1BBA"/>
    <w:rsid w:val="2149055F"/>
    <w:rsid w:val="214C62A1"/>
    <w:rsid w:val="215A29D8"/>
    <w:rsid w:val="21664CA6"/>
    <w:rsid w:val="217735B6"/>
    <w:rsid w:val="21842AA0"/>
    <w:rsid w:val="218A4D0C"/>
    <w:rsid w:val="219623D3"/>
    <w:rsid w:val="219D0F12"/>
    <w:rsid w:val="21A038E5"/>
    <w:rsid w:val="21B52629"/>
    <w:rsid w:val="21B80172"/>
    <w:rsid w:val="21CF0722"/>
    <w:rsid w:val="21D658D4"/>
    <w:rsid w:val="21D8601C"/>
    <w:rsid w:val="21E44A43"/>
    <w:rsid w:val="21E90B1B"/>
    <w:rsid w:val="22141EB4"/>
    <w:rsid w:val="22182DBC"/>
    <w:rsid w:val="221C27E8"/>
    <w:rsid w:val="22200FF8"/>
    <w:rsid w:val="222608A0"/>
    <w:rsid w:val="222A38F5"/>
    <w:rsid w:val="223370DB"/>
    <w:rsid w:val="223720C1"/>
    <w:rsid w:val="223966E6"/>
    <w:rsid w:val="224B030F"/>
    <w:rsid w:val="22541A6F"/>
    <w:rsid w:val="22554825"/>
    <w:rsid w:val="225615B4"/>
    <w:rsid w:val="225623AF"/>
    <w:rsid w:val="22585F6A"/>
    <w:rsid w:val="22597779"/>
    <w:rsid w:val="227C4E31"/>
    <w:rsid w:val="229121BE"/>
    <w:rsid w:val="2291328D"/>
    <w:rsid w:val="229F2EDC"/>
    <w:rsid w:val="22A30542"/>
    <w:rsid w:val="22A61890"/>
    <w:rsid w:val="22A820D7"/>
    <w:rsid w:val="22A84139"/>
    <w:rsid w:val="22B75836"/>
    <w:rsid w:val="22C87B17"/>
    <w:rsid w:val="22CE3412"/>
    <w:rsid w:val="22D71F89"/>
    <w:rsid w:val="22DC0745"/>
    <w:rsid w:val="22E00DDC"/>
    <w:rsid w:val="22E156DE"/>
    <w:rsid w:val="22EA6095"/>
    <w:rsid w:val="22F64717"/>
    <w:rsid w:val="23006217"/>
    <w:rsid w:val="230A67F9"/>
    <w:rsid w:val="230D17D3"/>
    <w:rsid w:val="23151041"/>
    <w:rsid w:val="2318370B"/>
    <w:rsid w:val="231B7273"/>
    <w:rsid w:val="23245E04"/>
    <w:rsid w:val="2331282E"/>
    <w:rsid w:val="233C2300"/>
    <w:rsid w:val="23444884"/>
    <w:rsid w:val="23660FB8"/>
    <w:rsid w:val="2372102C"/>
    <w:rsid w:val="2374694C"/>
    <w:rsid w:val="237A68C7"/>
    <w:rsid w:val="2388024B"/>
    <w:rsid w:val="238D41C0"/>
    <w:rsid w:val="238F491D"/>
    <w:rsid w:val="238F75FC"/>
    <w:rsid w:val="23906046"/>
    <w:rsid w:val="23926459"/>
    <w:rsid w:val="23943321"/>
    <w:rsid w:val="23956E3F"/>
    <w:rsid w:val="23957951"/>
    <w:rsid w:val="23A14CCE"/>
    <w:rsid w:val="23AF407D"/>
    <w:rsid w:val="23B331C5"/>
    <w:rsid w:val="23C65907"/>
    <w:rsid w:val="23DE1B6C"/>
    <w:rsid w:val="23E00F22"/>
    <w:rsid w:val="23E02D14"/>
    <w:rsid w:val="23E30B60"/>
    <w:rsid w:val="23EB6D36"/>
    <w:rsid w:val="23FC5D5D"/>
    <w:rsid w:val="23FF584D"/>
    <w:rsid w:val="24004105"/>
    <w:rsid w:val="24051089"/>
    <w:rsid w:val="24086901"/>
    <w:rsid w:val="240A3A5A"/>
    <w:rsid w:val="241305B1"/>
    <w:rsid w:val="24141470"/>
    <w:rsid w:val="241923D6"/>
    <w:rsid w:val="241B025E"/>
    <w:rsid w:val="242136F5"/>
    <w:rsid w:val="2429113D"/>
    <w:rsid w:val="242E1E5B"/>
    <w:rsid w:val="243F31FB"/>
    <w:rsid w:val="2444556C"/>
    <w:rsid w:val="24451E31"/>
    <w:rsid w:val="24513324"/>
    <w:rsid w:val="24517A0D"/>
    <w:rsid w:val="245B6F27"/>
    <w:rsid w:val="245E4423"/>
    <w:rsid w:val="24655431"/>
    <w:rsid w:val="2473285D"/>
    <w:rsid w:val="247427AD"/>
    <w:rsid w:val="2475553C"/>
    <w:rsid w:val="24806C34"/>
    <w:rsid w:val="24822706"/>
    <w:rsid w:val="248428D4"/>
    <w:rsid w:val="248F097F"/>
    <w:rsid w:val="24913BAA"/>
    <w:rsid w:val="24973CD7"/>
    <w:rsid w:val="249D355D"/>
    <w:rsid w:val="24A02D57"/>
    <w:rsid w:val="24A07D7F"/>
    <w:rsid w:val="24A415F2"/>
    <w:rsid w:val="24AC7783"/>
    <w:rsid w:val="24B8570F"/>
    <w:rsid w:val="24BC5170"/>
    <w:rsid w:val="24C24897"/>
    <w:rsid w:val="24C75B46"/>
    <w:rsid w:val="24D227B3"/>
    <w:rsid w:val="24D72B44"/>
    <w:rsid w:val="24DF5E9D"/>
    <w:rsid w:val="24E3323D"/>
    <w:rsid w:val="24F133E8"/>
    <w:rsid w:val="24F86BC7"/>
    <w:rsid w:val="24FA29B1"/>
    <w:rsid w:val="25013F37"/>
    <w:rsid w:val="2502032B"/>
    <w:rsid w:val="250C6474"/>
    <w:rsid w:val="25133A98"/>
    <w:rsid w:val="25280B87"/>
    <w:rsid w:val="253064E4"/>
    <w:rsid w:val="253F579B"/>
    <w:rsid w:val="255319AC"/>
    <w:rsid w:val="25583FC6"/>
    <w:rsid w:val="256C2A6E"/>
    <w:rsid w:val="25755DC7"/>
    <w:rsid w:val="2577150C"/>
    <w:rsid w:val="2577508C"/>
    <w:rsid w:val="258231E5"/>
    <w:rsid w:val="258A4C2D"/>
    <w:rsid w:val="259F71B6"/>
    <w:rsid w:val="25A10C14"/>
    <w:rsid w:val="25AC158A"/>
    <w:rsid w:val="25B7380C"/>
    <w:rsid w:val="25C214DE"/>
    <w:rsid w:val="25C32B61"/>
    <w:rsid w:val="25C3439D"/>
    <w:rsid w:val="25D45AE6"/>
    <w:rsid w:val="25DA482C"/>
    <w:rsid w:val="25E90264"/>
    <w:rsid w:val="25EF3419"/>
    <w:rsid w:val="25F046CD"/>
    <w:rsid w:val="25F12CF4"/>
    <w:rsid w:val="25F80363"/>
    <w:rsid w:val="25FD7B6A"/>
    <w:rsid w:val="25FF1B34"/>
    <w:rsid w:val="260072D3"/>
    <w:rsid w:val="26062EC3"/>
    <w:rsid w:val="26111F82"/>
    <w:rsid w:val="261E1681"/>
    <w:rsid w:val="2628688C"/>
    <w:rsid w:val="262C6375"/>
    <w:rsid w:val="26322122"/>
    <w:rsid w:val="263648C2"/>
    <w:rsid w:val="263776DD"/>
    <w:rsid w:val="263A5BAF"/>
    <w:rsid w:val="264435DA"/>
    <w:rsid w:val="264635B3"/>
    <w:rsid w:val="264B6F37"/>
    <w:rsid w:val="26575B5F"/>
    <w:rsid w:val="265D0475"/>
    <w:rsid w:val="2674607E"/>
    <w:rsid w:val="26767182"/>
    <w:rsid w:val="26784BCF"/>
    <w:rsid w:val="26807774"/>
    <w:rsid w:val="2681240C"/>
    <w:rsid w:val="268B0895"/>
    <w:rsid w:val="26977D4E"/>
    <w:rsid w:val="26993DEB"/>
    <w:rsid w:val="269E134D"/>
    <w:rsid w:val="26A2016B"/>
    <w:rsid w:val="26A93D7A"/>
    <w:rsid w:val="26AD333E"/>
    <w:rsid w:val="26BB54C6"/>
    <w:rsid w:val="26C46FD3"/>
    <w:rsid w:val="26D11357"/>
    <w:rsid w:val="26DC74E0"/>
    <w:rsid w:val="26DE174A"/>
    <w:rsid w:val="26DF561A"/>
    <w:rsid w:val="26E25354"/>
    <w:rsid w:val="26E34FB2"/>
    <w:rsid w:val="26E61CB7"/>
    <w:rsid w:val="26E90E6E"/>
    <w:rsid w:val="26EB2F83"/>
    <w:rsid w:val="26EE087F"/>
    <w:rsid w:val="26F73B05"/>
    <w:rsid w:val="26FB6932"/>
    <w:rsid w:val="27117D56"/>
    <w:rsid w:val="271D651F"/>
    <w:rsid w:val="27251B27"/>
    <w:rsid w:val="27263E8D"/>
    <w:rsid w:val="272A62D8"/>
    <w:rsid w:val="272E7F82"/>
    <w:rsid w:val="273201C5"/>
    <w:rsid w:val="27360D2E"/>
    <w:rsid w:val="273D4513"/>
    <w:rsid w:val="273E63E0"/>
    <w:rsid w:val="27484397"/>
    <w:rsid w:val="274C3C95"/>
    <w:rsid w:val="27553154"/>
    <w:rsid w:val="275B2D9A"/>
    <w:rsid w:val="275D73A8"/>
    <w:rsid w:val="27651060"/>
    <w:rsid w:val="2766775C"/>
    <w:rsid w:val="27673E35"/>
    <w:rsid w:val="277B168E"/>
    <w:rsid w:val="279E473B"/>
    <w:rsid w:val="27A07774"/>
    <w:rsid w:val="27A35B9C"/>
    <w:rsid w:val="27B75FEC"/>
    <w:rsid w:val="27C5141A"/>
    <w:rsid w:val="27CA604A"/>
    <w:rsid w:val="27CD2BC4"/>
    <w:rsid w:val="27DA7BB1"/>
    <w:rsid w:val="27DB51F2"/>
    <w:rsid w:val="27DC36B5"/>
    <w:rsid w:val="27E01F96"/>
    <w:rsid w:val="27E2706F"/>
    <w:rsid w:val="27E85793"/>
    <w:rsid w:val="27EC0A3E"/>
    <w:rsid w:val="27F06E8E"/>
    <w:rsid w:val="27F077E5"/>
    <w:rsid w:val="27F17DB1"/>
    <w:rsid w:val="27FE648E"/>
    <w:rsid w:val="27FE6547"/>
    <w:rsid w:val="28022EC6"/>
    <w:rsid w:val="2805163E"/>
    <w:rsid w:val="281275BB"/>
    <w:rsid w:val="28160BC8"/>
    <w:rsid w:val="281A6313"/>
    <w:rsid w:val="281E2746"/>
    <w:rsid w:val="281F026C"/>
    <w:rsid w:val="28246616"/>
    <w:rsid w:val="282910EA"/>
    <w:rsid w:val="283079F5"/>
    <w:rsid w:val="2834246E"/>
    <w:rsid w:val="28385963"/>
    <w:rsid w:val="283971ED"/>
    <w:rsid w:val="283A50A6"/>
    <w:rsid w:val="283E65FC"/>
    <w:rsid w:val="284303FE"/>
    <w:rsid w:val="28447714"/>
    <w:rsid w:val="28455141"/>
    <w:rsid w:val="28483B04"/>
    <w:rsid w:val="284C7148"/>
    <w:rsid w:val="2850216A"/>
    <w:rsid w:val="28515867"/>
    <w:rsid w:val="28532AF1"/>
    <w:rsid w:val="285932F0"/>
    <w:rsid w:val="285E3FD0"/>
    <w:rsid w:val="2864122A"/>
    <w:rsid w:val="28661008"/>
    <w:rsid w:val="2866708D"/>
    <w:rsid w:val="286A560E"/>
    <w:rsid w:val="286F2FA1"/>
    <w:rsid w:val="287945DA"/>
    <w:rsid w:val="287C5EC6"/>
    <w:rsid w:val="28862D8F"/>
    <w:rsid w:val="288778F2"/>
    <w:rsid w:val="288A510B"/>
    <w:rsid w:val="289879E6"/>
    <w:rsid w:val="28987EBE"/>
    <w:rsid w:val="2899143B"/>
    <w:rsid w:val="289B305F"/>
    <w:rsid w:val="28B25790"/>
    <w:rsid w:val="28B27BB8"/>
    <w:rsid w:val="28B704A4"/>
    <w:rsid w:val="28C32F00"/>
    <w:rsid w:val="28C80E08"/>
    <w:rsid w:val="28D40A95"/>
    <w:rsid w:val="28D834C9"/>
    <w:rsid w:val="28E05642"/>
    <w:rsid w:val="28EA2628"/>
    <w:rsid w:val="28F77B2A"/>
    <w:rsid w:val="28F83CF8"/>
    <w:rsid w:val="28FA1DB5"/>
    <w:rsid w:val="290B020C"/>
    <w:rsid w:val="290E3ED7"/>
    <w:rsid w:val="291378BB"/>
    <w:rsid w:val="2917171A"/>
    <w:rsid w:val="292358A2"/>
    <w:rsid w:val="29252190"/>
    <w:rsid w:val="293715E5"/>
    <w:rsid w:val="29424EDD"/>
    <w:rsid w:val="294A711F"/>
    <w:rsid w:val="29502E31"/>
    <w:rsid w:val="2951521C"/>
    <w:rsid w:val="29561CA2"/>
    <w:rsid w:val="295B30C7"/>
    <w:rsid w:val="295D59BA"/>
    <w:rsid w:val="295D612E"/>
    <w:rsid w:val="29707F5B"/>
    <w:rsid w:val="2975638C"/>
    <w:rsid w:val="297D349C"/>
    <w:rsid w:val="298226C5"/>
    <w:rsid w:val="2987431B"/>
    <w:rsid w:val="29883200"/>
    <w:rsid w:val="298E4232"/>
    <w:rsid w:val="29AD23AE"/>
    <w:rsid w:val="29B72FF6"/>
    <w:rsid w:val="29BE4498"/>
    <w:rsid w:val="29C53F8C"/>
    <w:rsid w:val="29CA2D09"/>
    <w:rsid w:val="29E245EE"/>
    <w:rsid w:val="29E37114"/>
    <w:rsid w:val="29E8711B"/>
    <w:rsid w:val="29E9397C"/>
    <w:rsid w:val="29EE7EF6"/>
    <w:rsid w:val="29EF30F6"/>
    <w:rsid w:val="29F04C94"/>
    <w:rsid w:val="29F55728"/>
    <w:rsid w:val="29F714A0"/>
    <w:rsid w:val="2A157B78"/>
    <w:rsid w:val="2A1B178F"/>
    <w:rsid w:val="2A2658E2"/>
    <w:rsid w:val="2A2B07AF"/>
    <w:rsid w:val="2A2B739C"/>
    <w:rsid w:val="2A3049B2"/>
    <w:rsid w:val="2A351414"/>
    <w:rsid w:val="2A353998"/>
    <w:rsid w:val="2A514586"/>
    <w:rsid w:val="2A64640A"/>
    <w:rsid w:val="2A651B56"/>
    <w:rsid w:val="2A6A39CA"/>
    <w:rsid w:val="2A77613D"/>
    <w:rsid w:val="2A780833"/>
    <w:rsid w:val="2A7E5E8E"/>
    <w:rsid w:val="2A812540"/>
    <w:rsid w:val="2A8818AE"/>
    <w:rsid w:val="2A8A266E"/>
    <w:rsid w:val="2A8D4DB1"/>
    <w:rsid w:val="2A924D25"/>
    <w:rsid w:val="2A926745"/>
    <w:rsid w:val="2A953840"/>
    <w:rsid w:val="2A993ADA"/>
    <w:rsid w:val="2A994305"/>
    <w:rsid w:val="2A9B79AB"/>
    <w:rsid w:val="2AA87EE2"/>
    <w:rsid w:val="2AA91689"/>
    <w:rsid w:val="2AAB6623"/>
    <w:rsid w:val="2AAC3D8E"/>
    <w:rsid w:val="2AB4102C"/>
    <w:rsid w:val="2AB651FD"/>
    <w:rsid w:val="2ABA26B3"/>
    <w:rsid w:val="2ACB7893"/>
    <w:rsid w:val="2ACE1948"/>
    <w:rsid w:val="2AD03A9F"/>
    <w:rsid w:val="2AD82ED5"/>
    <w:rsid w:val="2ADC5B39"/>
    <w:rsid w:val="2ADD751A"/>
    <w:rsid w:val="2ADF21B1"/>
    <w:rsid w:val="2AE8678E"/>
    <w:rsid w:val="2AF755A5"/>
    <w:rsid w:val="2AFB0FF5"/>
    <w:rsid w:val="2B021EE1"/>
    <w:rsid w:val="2B034ED1"/>
    <w:rsid w:val="2B0F4C1F"/>
    <w:rsid w:val="2B1602E8"/>
    <w:rsid w:val="2B171157"/>
    <w:rsid w:val="2B1D7858"/>
    <w:rsid w:val="2B22254D"/>
    <w:rsid w:val="2B2258E2"/>
    <w:rsid w:val="2B23420D"/>
    <w:rsid w:val="2B367044"/>
    <w:rsid w:val="2B3E6C5B"/>
    <w:rsid w:val="2B411DC8"/>
    <w:rsid w:val="2B4B2AFB"/>
    <w:rsid w:val="2B4C2071"/>
    <w:rsid w:val="2B4D20BD"/>
    <w:rsid w:val="2B63274B"/>
    <w:rsid w:val="2B660D25"/>
    <w:rsid w:val="2B68045E"/>
    <w:rsid w:val="2B6B0530"/>
    <w:rsid w:val="2B6C1C5F"/>
    <w:rsid w:val="2B746B21"/>
    <w:rsid w:val="2B7A3236"/>
    <w:rsid w:val="2B823696"/>
    <w:rsid w:val="2BA63403"/>
    <w:rsid w:val="2BA97AFA"/>
    <w:rsid w:val="2BAB6067"/>
    <w:rsid w:val="2BBC71D8"/>
    <w:rsid w:val="2BC37226"/>
    <w:rsid w:val="2BC41856"/>
    <w:rsid w:val="2BCE4483"/>
    <w:rsid w:val="2BD1187D"/>
    <w:rsid w:val="2BD2389D"/>
    <w:rsid w:val="2BD42CD0"/>
    <w:rsid w:val="2BD9042B"/>
    <w:rsid w:val="2BDB524C"/>
    <w:rsid w:val="2BDD3CFB"/>
    <w:rsid w:val="2BE20D5E"/>
    <w:rsid w:val="2BE6342C"/>
    <w:rsid w:val="2BE96B11"/>
    <w:rsid w:val="2C0B40A3"/>
    <w:rsid w:val="2C0C5742"/>
    <w:rsid w:val="2C144BB8"/>
    <w:rsid w:val="2C160A79"/>
    <w:rsid w:val="2C1A5282"/>
    <w:rsid w:val="2C1F083A"/>
    <w:rsid w:val="2C33078A"/>
    <w:rsid w:val="2C364F00"/>
    <w:rsid w:val="2C3A5674"/>
    <w:rsid w:val="2C3B7E11"/>
    <w:rsid w:val="2C3D17CD"/>
    <w:rsid w:val="2C4A407F"/>
    <w:rsid w:val="2C4B127F"/>
    <w:rsid w:val="2C5031EC"/>
    <w:rsid w:val="2C5219A4"/>
    <w:rsid w:val="2C550700"/>
    <w:rsid w:val="2C5C3077"/>
    <w:rsid w:val="2C69116C"/>
    <w:rsid w:val="2C6D3C9C"/>
    <w:rsid w:val="2C6E17C2"/>
    <w:rsid w:val="2C752B0C"/>
    <w:rsid w:val="2C7708D6"/>
    <w:rsid w:val="2C917897"/>
    <w:rsid w:val="2C976797"/>
    <w:rsid w:val="2CA174A1"/>
    <w:rsid w:val="2CA25BEC"/>
    <w:rsid w:val="2CA52FC4"/>
    <w:rsid w:val="2CA55656"/>
    <w:rsid w:val="2CA9733C"/>
    <w:rsid w:val="2CAB291C"/>
    <w:rsid w:val="2CB14B52"/>
    <w:rsid w:val="2CB371D5"/>
    <w:rsid w:val="2CB45DDE"/>
    <w:rsid w:val="2CB800CB"/>
    <w:rsid w:val="2CBD0053"/>
    <w:rsid w:val="2CC40A61"/>
    <w:rsid w:val="2CC517C2"/>
    <w:rsid w:val="2CC52A75"/>
    <w:rsid w:val="2CC6515A"/>
    <w:rsid w:val="2CC87124"/>
    <w:rsid w:val="2CCF0594"/>
    <w:rsid w:val="2CD63174"/>
    <w:rsid w:val="2CDA5AD7"/>
    <w:rsid w:val="2CDE24A4"/>
    <w:rsid w:val="2CE16C6A"/>
    <w:rsid w:val="2CE35D0C"/>
    <w:rsid w:val="2CE64163"/>
    <w:rsid w:val="2CE70CDA"/>
    <w:rsid w:val="2CE774CF"/>
    <w:rsid w:val="2CE91423"/>
    <w:rsid w:val="2CEB49B0"/>
    <w:rsid w:val="2CED483D"/>
    <w:rsid w:val="2CF47F19"/>
    <w:rsid w:val="2CF84709"/>
    <w:rsid w:val="2D01213D"/>
    <w:rsid w:val="2D1B54A6"/>
    <w:rsid w:val="2D1E756F"/>
    <w:rsid w:val="2D2C08FE"/>
    <w:rsid w:val="2D36297C"/>
    <w:rsid w:val="2D3B78F6"/>
    <w:rsid w:val="2D437F4A"/>
    <w:rsid w:val="2D4627F3"/>
    <w:rsid w:val="2D5268BE"/>
    <w:rsid w:val="2D574DFE"/>
    <w:rsid w:val="2D590C84"/>
    <w:rsid w:val="2D654D1E"/>
    <w:rsid w:val="2D66545A"/>
    <w:rsid w:val="2D6E4342"/>
    <w:rsid w:val="2D704767"/>
    <w:rsid w:val="2D727090"/>
    <w:rsid w:val="2D7746A6"/>
    <w:rsid w:val="2D7A222B"/>
    <w:rsid w:val="2D7C5003"/>
    <w:rsid w:val="2D7F6825"/>
    <w:rsid w:val="2D871954"/>
    <w:rsid w:val="2D8D3ECA"/>
    <w:rsid w:val="2D92328E"/>
    <w:rsid w:val="2D942CA7"/>
    <w:rsid w:val="2D9669BE"/>
    <w:rsid w:val="2DA26CCA"/>
    <w:rsid w:val="2DA921BD"/>
    <w:rsid w:val="2DAB007F"/>
    <w:rsid w:val="2DB4438A"/>
    <w:rsid w:val="2DBE24D7"/>
    <w:rsid w:val="2DBF6C81"/>
    <w:rsid w:val="2DD37B2E"/>
    <w:rsid w:val="2DD56FC0"/>
    <w:rsid w:val="2DDC59E1"/>
    <w:rsid w:val="2DDD275B"/>
    <w:rsid w:val="2DDD4A1E"/>
    <w:rsid w:val="2DE86C88"/>
    <w:rsid w:val="2DFE0923"/>
    <w:rsid w:val="2E00110F"/>
    <w:rsid w:val="2E044CA6"/>
    <w:rsid w:val="2E0D17D1"/>
    <w:rsid w:val="2E1446DA"/>
    <w:rsid w:val="2E184FD3"/>
    <w:rsid w:val="2E1C30BA"/>
    <w:rsid w:val="2E29665D"/>
    <w:rsid w:val="2E3C0737"/>
    <w:rsid w:val="2E3D19F7"/>
    <w:rsid w:val="2E3E7677"/>
    <w:rsid w:val="2E4169CC"/>
    <w:rsid w:val="2E464AA4"/>
    <w:rsid w:val="2E4C5B33"/>
    <w:rsid w:val="2E50058C"/>
    <w:rsid w:val="2E5006F6"/>
    <w:rsid w:val="2E50117F"/>
    <w:rsid w:val="2E534E95"/>
    <w:rsid w:val="2E5A728A"/>
    <w:rsid w:val="2E5B4736"/>
    <w:rsid w:val="2E693FEF"/>
    <w:rsid w:val="2E7112DE"/>
    <w:rsid w:val="2E7A0602"/>
    <w:rsid w:val="2E814580"/>
    <w:rsid w:val="2E8F185D"/>
    <w:rsid w:val="2E9B04A6"/>
    <w:rsid w:val="2EA555A0"/>
    <w:rsid w:val="2EA73F41"/>
    <w:rsid w:val="2EAE3EB2"/>
    <w:rsid w:val="2EB312AD"/>
    <w:rsid w:val="2EB74DCD"/>
    <w:rsid w:val="2EBA0CEE"/>
    <w:rsid w:val="2ECA437F"/>
    <w:rsid w:val="2ECC2856"/>
    <w:rsid w:val="2ECC4926"/>
    <w:rsid w:val="2ECF10DB"/>
    <w:rsid w:val="2ED973C6"/>
    <w:rsid w:val="2EDF252C"/>
    <w:rsid w:val="2EDF2A6F"/>
    <w:rsid w:val="2EE17B1A"/>
    <w:rsid w:val="2EE3501E"/>
    <w:rsid w:val="2EED10C4"/>
    <w:rsid w:val="2EF01835"/>
    <w:rsid w:val="2EFF04E9"/>
    <w:rsid w:val="2F004B56"/>
    <w:rsid w:val="2F02371A"/>
    <w:rsid w:val="2F083BDC"/>
    <w:rsid w:val="2F0E5872"/>
    <w:rsid w:val="2F11349D"/>
    <w:rsid w:val="2F122293"/>
    <w:rsid w:val="2F1228D8"/>
    <w:rsid w:val="2F1D6BCC"/>
    <w:rsid w:val="2F286184"/>
    <w:rsid w:val="2F291989"/>
    <w:rsid w:val="2F2B5748"/>
    <w:rsid w:val="2F2E5BAA"/>
    <w:rsid w:val="2F364819"/>
    <w:rsid w:val="2F36589C"/>
    <w:rsid w:val="2F4705EB"/>
    <w:rsid w:val="2F4D6C53"/>
    <w:rsid w:val="2F4F6912"/>
    <w:rsid w:val="2F5A5D0C"/>
    <w:rsid w:val="2F615586"/>
    <w:rsid w:val="2F653695"/>
    <w:rsid w:val="2F666780"/>
    <w:rsid w:val="2F6E3AC2"/>
    <w:rsid w:val="2F7A5B19"/>
    <w:rsid w:val="2F8C3A3C"/>
    <w:rsid w:val="2F956201"/>
    <w:rsid w:val="2F996B56"/>
    <w:rsid w:val="2FB40925"/>
    <w:rsid w:val="2FC17E5A"/>
    <w:rsid w:val="2FCA1F86"/>
    <w:rsid w:val="2FCC27F9"/>
    <w:rsid w:val="2FCE5C87"/>
    <w:rsid w:val="2FD56937"/>
    <w:rsid w:val="2FDE27BA"/>
    <w:rsid w:val="2FE53B49"/>
    <w:rsid w:val="2FE77BFC"/>
    <w:rsid w:val="2FF01F13"/>
    <w:rsid w:val="2FF80E15"/>
    <w:rsid w:val="2FF83D1C"/>
    <w:rsid w:val="2FFB7D96"/>
    <w:rsid w:val="2FFE7D9F"/>
    <w:rsid w:val="3004724F"/>
    <w:rsid w:val="30067BFF"/>
    <w:rsid w:val="30085A89"/>
    <w:rsid w:val="300B4798"/>
    <w:rsid w:val="30132314"/>
    <w:rsid w:val="30215815"/>
    <w:rsid w:val="30272997"/>
    <w:rsid w:val="302A3865"/>
    <w:rsid w:val="303164B3"/>
    <w:rsid w:val="30367BE6"/>
    <w:rsid w:val="303A26B5"/>
    <w:rsid w:val="303C2E0D"/>
    <w:rsid w:val="304765B2"/>
    <w:rsid w:val="305673C9"/>
    <w:rsid w:val="30570A0C"/>
    <w:rsid w:val="305B01E7"/>
    <w:rsid w:val="305B7FDF"/>
    <w:rsid w:val="30604160"/>
    <w:rsid w:val="3069477A"/>
    <w:rsid w:val="3069590A"/>
    <w:rsid w:val="306E2EC6"/>
    <w:rsid w:val="306E6ACF"/>
    <w:rsid w:val="3079126A"/>
    <w:rsid w:val="307B7EF9"/>
    <w:rsid w:val="307D7F63"/>
    <w:rsid w:val="30890351"/>
    <w:rsid w:val="30964863"/>
    <w:rsid w:val="309D2F86"/>
    <w:rsid w:val="30A00BC4"/>
    <w:rsid w:val="30A66BC1"/>
    <w:rsid w:val="30A9101A"/>
    <w:rsid w:val="30AD0BCC"/>
    <w:rsid w:val="30B005FB"/>
    <w:rsid w:val="30B10F6D"/>
    <w:rsid w:val="30B9213C"/>
    <w:rsid w:val="30CC5F4E"/>
    <w:rsid w:val="30CE219F"/>
    <w:rsid w:val="30CF139A"/>
    <w:rsid w:val="30DC438F"/>
    <w:rsid w:val="30E16A06"/>
    <w:rsid w:val="30EE1123"/>
    <w:rsid w:val="30F82D14"/>
    <w:rsid w:val="30F85AFE"/>
    <w:rsid w:val="30FB0945"/>
    <w:rsid w:val="31026175"/>
    <w:rsid w:val="31045D5C"/>
    <w:rsid w:val="31150CFC"/>
    <w:rsid w:val="31193949"/>
    <w:rsid w:val="311B0423"/>
    <w:rsid w:val="311C65A4"/>
    <w:rsid w:val="312A17C7"/>
    <w:rsid w:val="31333500"/>
    <w:rsid w:val="313F6D95"/>
    <w:rsid w:val="314548F8"/>
    <w:rsid w:val="31491162"/>
    <w:rsid w:val="314B1E4C"/>
    <w:rsid w:val="3159520E"/>
    <w:rsid w:val="316244E8"/>
    <w:rsid w:val="31644F41"/>
    <w:rsid w:val="31687767"/>
    <w:rsid w:val="316F78B4"/>
    <w:rsid w:val="317A086B"/>
    <w:rsid w:val="317F3A8D"/>
    <w:rsid w:val="318A2BFA"/>
    <w:rsid w:val="31947343"/>
    <w:rsid w:val="319A0208"/>
    <w:rsid w:val="31A43DE8"/>
    <w:rsid w:val="31B26203"/>
    <w:rsid w:val="31B41ADE"/>
    <w:rsid w:val="31CA115F"/>
    <w:rsid w:val="31D22092"/>
    <w:rsid w:val="31D46E8D"/>
    <w:rsid w:val="31D74ED9"/>
    <w:rsid w:val="31DE4721"/>
    <w:rsid w:val="31E10F22"/>
    <w:rsid w:val="31ED3189"/>
    <w:rsid w:val="31ED44C0"/>
    <w:rsid w:val="31F15E31"/>
    <w:rsid w:val="31F17E36"/>
    <w:rsid w:val="31FB6704"/>
    <w:rsid w:val="320C47E4"/>
    <w:rsid w:val="320F4026"/>
    <w:rsid w:val="321921D0"/>
    <w:rsid w:val="321B1AA4"/>
    <w:rsid w:val="321C0B56"/>
    <w:rsid w:val="321C7AAD"/>
    <w:rsid w:val="321D7F0F"/>
    <w:rsid w:val="321F34EA"/>
    <w:rsid w:val="322A0418"/>
    <w:rsid w:val="322B13AD"/>
    <w:rsid w:val="322F554F"/>
    <w:rsid w:val="32304137"/>
    <w:rsid w:val="32325C26"/>
    <w:rsid w:val="32404A42"/>
    <w:rsid w:val="32513718"/>
    <w:rsid w:val="325E2F04"/>
    <w:rsid w:val="325E6561"/>
    <w:rsid w:val="32636037"/>
    <w:rsid w:val="32672412"/>
    <w:rsid w:val="32785148"/>
    <w:rsid w:val="327D17AF"/>
    <w:rsid w:val="32807B59"/>
    <w:rsid w:val="32852737"/>
    <w:rsid w:val="32862810"/>
    <w:rsid w:val="32901199"/>
    <w:rsid w:val="32A149F1"/>
    <w:rsid w:val="32A84E00"/>
    <w:rsid w:val="32B36180"/>
    <w:rsid w:val="32BC7E24"/>
    <w:rsid w:val="32D63CC5"/>
    <w:rsid w:val="32D723BA"/>
    <w:rsid w:val="32D90273"/>
    <w:rsid w:val="32F22710"/>
    <w:rsid w:val="32F66DD2"/>
    <w:rsid w:val="32F7139F"/>
    <w:rsid w:val="32F97669"/>
    <w:rsid w:val="32FA0443"/>
    <w:rsid w:val="32FC5B42"/>
    <w:rsid w:val="32FF42A4"/>
    <w:rsid w:val="3307101E"/>
    <w:rsid w:val="33150A6D"/>
    <w:rsid w:val="33181D77"/>
    <w:rsid w:val="331A7FAD"/>
    <w:rsid w:val="331D68E6"/>
    <w:rsid w:val="33231F6C"/>
    <w:rsid w:val="33296443"/>
    <w:rsid w:val="336244FF"/>
    <w:rsid w:val="336A31F3"/>
    <w:rsid w:val="336E7CD6"/>
    <w:rsid w:val="33737593"/>
    <w:rsid w:val="33745697"/>
    <w:rsid w:val="33753D36"/>
    <w:rsid w:val="337546B1"/>
    <w:rsid w:val="337C76DF"/>
    <w:rsid w:val="3381680B"/>
    <w:rsid w:val="3385201F"/>
    <w:rsid w:val="3389793B"/>
    <w:rsid w:val="338F3DFB"/>
    <w:rsid w:val="33925D96"/>
    <w:rsid w:val="339839AC"/>
    <w:rsid w:val="33A24671"/>
    <w:rsid w:val="33A37FA3"/>
    <w:rsid w:val="33B43831"/>
    <w:rsid w:val="33B573FF"/>
    <w:rsid w:val="33CC3186"/>
    <w:rsid w:val="33D21752"/>
    <w:rsid w:val="33D25ADA"/>
    <w:rsid w:val="33D26C0A"/>
    <w:rsid w:val="33D26E1B"/>
    <w:rsid w:val="33E16154"/>
    <w:rsid w:val="33EF611C"/>
    <w:rsid w:val="340007B9"/>
    <w:rsid w:val="34027FFA"/>
    <w:rsid w:val="341A3419"/>
    <w:rsid w:val="342A43D3"/>
    <w:rsid w:val="342D5CE4"/>
    <w:rsid w:val="34345ED0"/>
    <w:rsid w:val="343D34F0"/>
    <w:rsid w:val="343D62CF"/>
    <w:rsid w:val="343E64E7"/>
    <w:rsid w:val="34491C1C"/>
    <w:rsid w:val="344D7F19"/>
    <w:rsid w:val="34525300"/>
    <w:rsid w:val="34545F5E"/>
    <w:rsid w:val="345B30BD"/>
    <w:rsid w:val="345C1547"/>
    <w:rsid w:val="346F0E05"/>
    <w:rsid w:val="347658D0"/>
    <w:rsid w:val="347E0788"/>
    <w:rsid w:val="347F2CA5"/>
    <w:rsid w:val="347F60A0"/>
    <w:rsid w:val="34800297"/>
    <w:rsid w:val="34825CF4"/>
    <w:rsid w:val="348D26DC"/>
    <w:rsid w:val="34913ED2"/>
    <w:rsid w:val="34993154"/>
    <w:rsid w:val="34AB05BB"/>
    <w:rsid w:val="34AB2663"/>
    <w:rsid w:val="34B25383"/>
    <w:rsid w:val="34B54432"/>
    <w:rsid w:val="34B92A93"/>
    <w:rsid w:val="34BE4B8F"/>
    <w:rsid w:val="34C138A4"/>
    <w:rsid w:val="34D04DFE"/>
    <w:rsid w:val="34D652ED"/>
    <w:rsid w:val="34E77A3D"/>
    <w:rsid w:val="34F43D78"/>
    <w:rsid w:val="34F71BF1"/>
    <w:rsid w:val="35026192"/>
    <w:rsid w:val="350338C9"/>
    <w:rsid w:val="35077EB6"/>
    <w:rsid w:val="35115E87"/>
    <w:rsid w:val="351D745F"/>
    <w:rsid w:val="35254A43"/>
    <w:rsid w:val="35276EC9"/>
    <w:rsid w:val="353242E5"/>
    <w:rsid w:val="353D61D5"/>
    <w:rsid w:val="353F4252"/>
    <w:rsid w:val="354123FC"/>
    <w:rsid w:val="35470F7B"/>
    <w:rsid w:val="35521C81"/>
    <w:rsid w:val="35524317"/>
    <w:rsid w:val="3557773E"/>
    <w:rsid w:val="35712DCC"/>
    <w:rsid w:val="358366A1"/>
    <w:rsid w:val="3586192A"/>
    <w:rsid w:val="358F3C05"/>
    <w:rsid w:val="35904736"/>
    <w:rsid w:val="35936882"/>
    <w:rsid w:val="35986E4F"/>
    <w:rsid w:val="359B7884"/>
    <w:rsid w:val="35AA386B"/>
    <w:rsid w:val="35B30926"/>
    <w:rsid w:val="35BC359E"/>
    <w:rsid w:val="35C00117"/>
    <w:rsid w:val="35C00759"/>
    <w:rsid w:val="35C01438"/>
    <w:rsid w:val="35D30719"/>
    <w:rsid w:val="35D42696"/>
    <w:rsid w:val="35D703D8"/>
    <w:rsid w:val="35D733CF"/>
    <w:rsid w:val="35D7520D"/>
    <w:rsid w:val="35E0149B"/>
    <w:rsid w:val="35E12CA7"/>
    <w:rsid w:val="35E241D8"/>
    <w:rsid w:val="35E3448A"/>
    <w:rsid w:val="35E81522"/>
    <w:rsid w:val="35ED3C8B"/>
    <w:rsid w:val="35F3296E"/>
    <w:rsid w:val="35F702B0"/>
    <w:rsid w:val="35FB25B5"/>
    <w:rsid w:val="35FD6AEE"/>
    <w:rsid w:val="36065B18"/>
    <w:rsid w:val="360E03C8"/>
    <w:rsid w:val="361A779D"/>
    <w:rsid w:val="362E0BE4"/>
    <w:rsid w:val="362F5B1E"/>
    <w:rsid w:val="362F7EE9"/>
    <w:rsid w:val="3632486B"/>
    <w:rsid w:val="36333935"/>
    <w:rsid w:val="363C73BA"/>
    <w:rsid w:val="364610BA"/>
    <w:rsid w:val="36525CC9"/>
    <w:rsid w:val="365372D3"/>
    <w:rsid w:val="3656727C"/>
    <w:rsid w:val="365B3752"/>
    <w:rsid w:val="36633A19"/>
    <w:rsid w:val="36637809"/>
    <w:rsid w:val="36704FB7"/>
    <w:rsid w:val="36745445"/>
    <w:rsid w:val="36774632"/>
    <w:rsid w:val="3682443B"/>
    <w:rsid w:val="36837D5E"/>
    <w:rsid w:val="36921B87"/>
    <w:rsid w:val="369D6821"/>
    <w:rsid w:val="36A76BD7"/>
    <w:rsid w:val="36AE2DD8"/>
    <w:rsid w:val="36B23CB8"/>
    <w:rsid w:val="36BA2093"/>
    <w:rsid w:val="36BD4AD5"/>
    <w:rsid w:val="36BF1C8D"/>
    <w:rsid w:val="36C1142E"/>
    <w:rsid w:val="36C13DB6"/>
    <w:rsid w:val="36C95F72"/>
    <w:rsid w:val="36CA6422"/>
    <w:rsid w:val="36CE0A76"/>
    <w:rsid w:val="36D667D9"/>
    <w:rsid w:val="36D82130"/>
    <w:rsid w:val="36E70BCA"/>
    <w:rsid w:val="36E755A4"/>
    <w:rsid w:val="36F32FEF"/>
    <w:rsid w:val="36F37C4B"/>
    <w:rsid w:val="36F40D85"/>
    <w:rsid w:val="36F744C4"/>
    <w:rsid w:val="36F80285"/>
    <w:rsid w:val="36F87D3A"/>
    <w:rsid w:val="37022F00"/>
    <w:rsid w:val="370718C5"/>
    <w:rsid w:val="37167D01"/>
    <w:rsid w:val="37182A56"/>
    <w:rsid w:val="37215DAE"/>
    <w:rsid w:val="37253FFF"/>
    <w:rsid w:val="3725436D"/>
    <w:rsid w:val="37256F21"/>
    <w:rsid w:val="37291120"/>
    <w:rsid w:val="372F5DDD"/>
    <w:rsid w:val="373562DE"/>
    <w:rsid w:val="373B1322"/>
    <w:rsid w:val="37455E9B"/>
    <w:rsid w:val="374C4F85"/>
    <w:rsid w:val="37630EEF"/>
    <w:rsid w:val="377D69CC"/>
    <w:rsid w:val="377D6A97"/>
    <w:rsid w:val="378679C0"/>
    <w:rsid w:val="37887BDC"/>
    <w:rsid w:val="378E43BA"/>
    <w:rsid w:val="3795312A"/>
    <w:rsid w:val="379D31FE"/>
    <w:rsid w:val="37A421C0"/>
    <w:rsid w:val="37B128BB"/>
    <w:rsid w:val="37B8620F"/>
    <w:rsid w:val="37BC67DB"/>
    <w:rsid w:val="37C76C31"/>
    <w:rsid w:val="37D45922"/>
    <w:rsid w:val="37D526F5"/>
    <w:rsid w:val="37D56B99"/>
    <w:rsid w:val="37E54FEC"/>
    <w:rsid w:val="37E66CE8"/>
    <w:rsid w:val="37ED0E47"/>
    <w:rsid w:val="38034CAF"/>
    <w:rsid w:val="3806375F"/>
    <w:rsid w:val="380B04EE"/>
    <w:rsid w:val="380D096B"/>
    <w:rsid w:val="381A0F13"/>
    <w:rsid w:val="381A56B1"/>
    <w:rsid w:val="38217DDB"/>
    <w:rsid w:val="3826627C"/>
    <w:rsid w:val="382974C8"/>
    <w:rsid w:val="383B6763"/>
    <w:rsid w:val="3843227A"/>
    <w:rsid w:val="384358B1"/>
    <w:rsid w:val="384A4E91"/>
    <w:rsid w:val="385A70E1"/>
    <w:rsid w:val="386F5D34"/>
    <w:rsid w:val="387B7091"/>
    <w:rsid w:val="38804EFC"/>
    <w:rsid w:val="38866F49"/>
    <w:rsid w:val="38891BD1"/>
    <w:rsid w:val="388B1145"/>
    <w:rsid w:val="388E24D1"/>
    <w:rsid w:val="38910F96"/>
    <w:rsid w:val="38912AC0"/>
    <w:rsid w:val="389A3076"/>
    <w:rsid w:val="389C7973"/>
    <w:rsid w:val="389D6932"/>
    <w:rsid w:val="38B30C88"/>
    <w:rsid w:val="38B4181A"/>
    <w:rsid w:val="38BD3674"/>
    <w:rsid w:val="38BD5663"/>
    <w:rsid w:val="38C03BB6"/>
    <w:rsid w:val="38C24412"/>
    <w:rsid w:val="38C66578"/>
    <w:rsid w:val="38C759D4"/>
    <w:rsid w:val="38D40BFF"/>
    <w:rsid w:val="38E34D09"/>
    <w:rsid w:val="38E42312"/>
    <w:rsid w:val="38EB1371"/>
    <w:rsid w:val="38F60B75"/>
    <w:rsid w:val="38F868CC"/>
    <w:rsid w:val="38F95866"/>
    <w:rsid w:val="390019F4"/>
    <w:rsid w:val="390452AB"/>
    <w:rsid w:val="390E4110"/>
    <w:rsid w:val="39123FE3"/>
    <w:rsid w:val="39125B54"/>
    <w:rsid w:val="391536F1"/>
    <w:rsid w:val="391E1E7A"/>
    <w:rsid w:val="391F4668"/>
    <w:rsid w:val="39261FCD"/>
    <w:rsid w:val="39284A1A"/>
    <w:rsid w:val="392C5713"/>
    <w:rsid w:val="393771F9"/>
    <w:rsid w:val="39412705"/>
    <w:rsid w:val="394702AF"/>
    <w:rsid w:val="394767DD"/>
    <w:rsid w:val="3949339B"/>
    <w:rsid w:val="3953787E"/>
    <w:rsid w:val="395E7930"/>
    <w:rsid w:val="39604E7A"/>
    <w:rsid w:val="39676A2D"/>
    <w:rsid w:val="39693140"/>
    <w:rsid w:val="39700FE6"/>
    <w:rsid w:val="3970717B"/>
    <w:rsid w:val="397321C6"/>
    <w:rsid w:val="39765050"/>
    <w:rsid w:val="39782384"/>
    <w:rsid w:val="39786E4D"/>
    <w:rsid w:val="397B3A87"/>
    <w:rsid w:val="39820122"/>
    <w:rsid w:val="39842625"/>
    <w:rsid w:val="399D0051"/>
    <w:rsid w:val="399F0F4E"/>
    <w:rsid w:val="39AC5E4A"/>
    <w:rsid w:val="39BF5CEC"/>
    <w:rsid w:val="39C3314D"/>
    <w:rsid w:val="39C40C73"/>
    <w:rsid w:val="39CD5D7A"/>
    <w:rsid w:val="39CE38A0"/>
    <w:rsid w:val="39D24B04"/>
    <w:rsid w:val="39D646DA"/>
    <w:rsid w:val="39D71B1E"/>
    <w:rsid w:val="39D858DE"/>
    <w:rsid w:val="39DF0842"/>
    <w:rsid w:val="39E465D7"/>
    <w:rsid w:val="39F20A6A"/>
    <w:rsid w:val="39FA4695"/>
    <w:rsid w:val="39FF1CAB"/>
    <w:rsid w:val="3A0E3697"/>
    <w:rsid w:val="3A1514CF"/>
    <w:rsid w:val="3A17326F"/>
    <w:rsid w:val="3A1A7360"/>
    <w:rsid w:val="3A1E2105"/>
    <w:rsid w:val="3A1E5C48"/>
    <w:rsid w:val="3A274C96"/>
    <w:rsid w:val="3A2D3DFA"/>
    <w:rsid w:val="3A333900"/>
    <w:rsid w:val="3A3C2A31"/>
    <w:rsid w:val="3A3F15AF"/>
    <w:rsid w:val="3A3F1EB2"/>
    <w:rsid w:val="3A445910"/>
    <w:rsid w:val="3A4662B6"/>
    <w:rsid w:val="3A4B6BD8"/>
    <w:rsid w:val="3A5938B0"/>
    <w:rsid w:val="3A5A6FCD"/>
    <w:rsid w:val="3A5B522D"/>
    <w:rsid w:val="3A60728F"/>
    <w:rsid w:val="3A626A76"/>
    <w:rsid w:val="3A673119"/>
    <w:rsid w:val="3A680E1B"/>
    <w:rsid w:val="3A6B772F"/>
    <w:rsid w:val="3A742987"/>
    <w:rsid w:val="3A875516"/>
    <w:rsid w:val="3A893645"/>
    <w:rsid w:val="3A8F302F"/>
    <w:rsid w:val="3A9165FB"/>
    <w:rsid w:val="3A993EAE"/>
    <w:rsid w:val="3A9C74FA"/>
    <w:rsid w:val="3A9E14C4"/>
    <w:rsid w:val="3AA865FF"/>
    <w:rsid w:val="3AB31985"/>
    <w:rsid w:val="3AB57D98"/>
    <w:rsid w:val="3AB87B54"/>
    <w:rsid w:val="3ABA31F4"/>
    <w:rsid w:val="3AC224BC"/>
    <w:rsid w:val="3AC3687F"/>
    <w:rsid w:val="3AC56096"/>
    <w:rsid w:val="3AC5623F"/>
    <w:rsid w:val="3AD67D62"/>
    <w:rsid w:val="3ADB2BC2"/>
    <w:rsid w:val="3AE231AF"/>
    <w:rsid w:val="3AE324F5"/>
    <w:rsid w:val="3AE80619"/>
    <w:rsid w:val="3AEF0A57"/>
    <w:rsid w:val="3AF37299"/>
    <w:rsid w:val="3B0330FE"/>
    <w:rsid w:val="3B0F4A6D"/>
    <w:rsid w:val="3B113C4E"/>
    <w:rsid w:val="3B117EE8"/>
    <w:rsid w:val="3B232955"/>
    <w:rsid w:val="3B260034"/>
    <w:rsid w:val="3B294136"/>
    <w:rsid w:val="3B2D4013"/>
    <w:rsid w:val="3B351833"/>
    <w:rsid w:val="3B3A743F"/>
    <w:rsid w:val="3B3C7E67"/>
    <w:rsid w:val="3B462D4B"/>
    <w:rsid w:val="3B4B479C"/>
    <w:rsid w:val="3B5748C2"/>
    <w:rsid w:val="3B5A7607"/>
    <w:rsid w:val="3B602C1D"/>
    <w:rsid w:val="3B615BF5"/>
    <w:rsid w:val="3B8B1FA1"/>
    <w:rsid w:val="3BA82817"/>
    <w:rsid w:val="3BA84A83"/>
    <w:rsid w:val="3BB77E7B"/>
    <w:rsid w:val="3BBD657E"/>
    <w:rsid w:val="3BBF6CAA"/>
    <w:rsid w:val="3BC92F01"/>
    <w:rsid w:val="3BCA487C"/>
    <w:rsid w:val="3BCC3E0F"/>
    <w:rsid w:val="3BD20809"/>
    <w:rsid w:val="3BD41B1B"/>
    <w:rsid w:val="3BD86C58"/>
    <w:rsid w:val="3BDA477E"/>
    <w:rsid w:val="3BE06738"/>
    <w:rsid w:val="3BEB3A39"/>
    <w:rsid w:val="3BF97574"/>
    <w:rsid w:val="3BFF2436"/>
    <w:rsid w:val="3C0605B3"/>
    <w:rsid w:val="3C067321"/>
    <w:rsid w:val="3C0F0ACC"/>
    <w:rsid w:val="3C0F1B51"/>
    <w:rsid w:val="3C112902"/>
    <w:rsid w:val="3C190220"/>
    <w:rsid w:val="3C196D5F"/>
    <w:rsid w:val="3C1B7A94"/>
    <w:rsid w:val="3C1C0474"/>
    <w:rsid w:val="3C2B68AF"/>
    <w:rsid w:val="3C393726"/>
    <w:rsid w:val="3C3B5E3F"/>
    <w:rsid w:val="3C3E4D0D"/>
    <w:rsid w:val="3C4C0513"/>
    <w:rsid w:val="3C4E2F2E"/>
    <w:rsid w:val="3C4E3E7B"/>
    <w:rsid w:val="3C584DDD"/>
    <w:rsid w:val="3C622213"/>
    <w:rsid w:val="3C6E3646"/>
    <w:rsid w:val="3C7E33C1"/>
    <w:rsid w:val="3C8142F9"/>
    <w:rsid w:val="3C9B61DE"/>
    <w:rsid w:val="3C9C43F2"/>
    <w:rsid w:val="3CAD1E92"/>
    <w:rsid w:val="3CAD59EE"/>
    <w:rsid w:val="3CBB49BA"/>
    <w:rsid w:val="3CC539CD"/>
    <w:rsid w:val="3CCF2E40"/>
    <w:rsid w:val="3CD279CD"/>
    <w:rsid w:val="3CD76F0F"/>
    <w:rsid w:val="3CDA5D90"/>
    <w:rsid w:val="3CF90C34"/>
    <w:rsid w:val="3D000214"/>
    <w:rsid w:val="3D0F5155"/>
    <w:rsid w:val="3D183215"/>
    <w:rsid w:val="3D1B6C34"/>
    <w:rsid w:val="3D1F337D"/>
    <w:rsid w:val="3D203305"/>
    <w:rsid w:val="3D265905"/>
    <w:rsid w:val="3D2850E6"/>
    <w:rsid w:val="3D29758D"/>
    <w:rsid w:val="3D29776B"/>
    <w:rsid w:val="3D2A009E"/>
    <w:rsid w:val="3D303DE1"/>
    <w:rsid w:val="3D3052FA"/>
    <w:rsid w:val="3D3472BD"/>
    <w:rsid w:val="3D3B56F0"/>
    <w:rsid w:val="3D3F6F8E"/>
    <w:rsid w:val="3D402079"/>
    <w:rsid w:val="3D5140C2"/>
    <w:rsid w:val="3D5716AF"/>
    <w:rsid w:val="3D636565"/>
    <w:rsid w:val="3D6605D7"/>
    <w:rsid w:val="3D7541FC"/>
    <w:rsid w:val="3D78574A"/>
    <w:rsid w:val="3D7B244D"/>
    <w:rsid w:val="3D7C3A0F"/>
    <w:rsid w:val="3D7D206B"/>
    <w:rsid w:val="3D841627"/>
    <w:rsid w:val="3D857A74"/>
    <w:rsid w:val="3D9450B9"/>
    <w:rsid w:val="3D960B78"/>
    <w:rsid w:val="3DA654F8"/>
    <w:rsid w:val="3DAF7A0E"/>
    <w:rsid w:val="3DB443FE"/>
    <w:rsid w:val="3DB50FFF"/>
    <w:rsid w:val="3DCE0A08"/>
    <w:rsid w:val="3DCE43D1"/>
    <w:rsid w:val="3DD37E86"/>
    <w:rsid w:val="3DD47B23"/>
    <w:rsid w:val="3DD551FD"/>
    <w:rsid w:val="3DE0289B"/>
    <w:rsid w:val="3DE17846"/>
    <w:rsid w:val="3DE22863"/>
    <w:rsid w:val="3DE7087F"/>
    <w:rsid w:val="3DE7601B"/>
    <w:rsid w:val="3DEE5622"/>
    <w:rsid w:val="3DF6046D"/>
    <w:rsid w:val="3DF61EA4"/>
    <w:rsid w:val="3DF8713D"/>
    <w:rsid w:val="3E0930F8"/>
    <w:rsid w:val="3E0B0C1F"/>
    <w:rsid w:val="3E164325"/>
    <w:rsid w:val="3E1D307C"/>
    <w:rsid w:val="3E22263B"/>
    <w:rsid w:val="3E2A5C77"/>
    <w:rsid w:val="3E3D5ADC"/>
    <w:rsid w:val="3E3F6B1A"/>
    <w:rsid w:val="3E442382"/>
    <w:rsid w:val="3E4B3410"/>
    <w:rsid w:val="3E506F79"/>
    <w:rsid w:val="3E53569B"/>
    <w:rsid w:val="3E5D6CD6"/>
    <w:rsid w:val="3E5D7C51"/>
    <w:rsid w:val="3E5E5D80"/>
    <w:rsid w:val="3E656809"/>
    <w:rsid w:val="3E6E11AD"/>
    <w:rsid w:val="3E8409D1"/>
    <w:rsid w:val="3E866333"/>
    <w:rsid w:val="3E8E0355"/>
    <w:rsid w:val="3E927104"/>
    <w:rsid w:val="3E9B3945"/>
    <w:rsid w:val="3E9D48EC"/>
    <w:rsid w:val="3EA87CF1"/>
    <w:rsid w:val="3EB047BE"/>
    <w:rsid w:val="3EB55B58"/>
    <w:rsid w:val="3EB968CD"/>
    <w:rsid w:val="3EBA43F3"/>
    <w:rsid w:val="3EC550CE"/>
    <w:rsid w:val="3ED442EC"/>
    <w:rsid w:val="3ED63DA7"/>
    <w:rsid w:val="3ED6747E"/>
    <w:rsid w:val="3ED94108"/>
    <w:rsid w:val="3EDB05F0"/>
    <w:rsid w:val="3EDE1D9F"/>
    <w:rsid w:val="3EEE268B"/>
    <w:rsid w:val="3EEE67FE"/>
    <w:rsid w:val="3EF26D60"/>
    <w:rsid w:val="3EF335E1"/>
    <w:rsid w:val="3EF45B57"/>
    <w:rsid w:val="3EF749E2"/>
    <w:rsid w:val="3EFD087A"/>
    <w:rsid w:val="3F03755F"/>
    <w:rsid w:val="3F0D4E6A"/>
    <w:rsid w:val="3F0D5046"/>
    <w:rsid w:val="3F1104B7"/>
    <w:rsid w:val="3F11495A"/>
    <w:rsid w:val="3F11545D"/>
    <w:rsid w:val="3F14153C"/>
    <w:rsid w:val="3F1B4469"/>
    <w:rsid w:val="3F1B4D4A"/>
    <w:rsid w:val="3F245E8B"/>
    <w:rsid w:val="3F3629FF"/>
    <w:rsid w:val="3F4168C2"/>
    <w:rsid w:val="3F447A16"/>
    <w:rsid w:val="3F4A39C9"/>
    <w:rsid w:val="3F5108B2"/>
    <w:rsid w:val="3F51759A"/>
    <w:rsid w:val="3F5858AE"/>
    <w:rsid w:val="3F5D0A34"/>
    <w:rsid w:val="3F634A8A"/>
    <w:rsid w:val="3F710F55"/>
    <w:rsid w:val="3F7942AE"/>
    <w:rsid w:val="3F7E5ACC"/>
    <w:rsid w:val="3F850EA5"/>
    <w:rsid w:val="3F86388B"/>
    <w:rsid w:val="3F9134F1"/>
    <w:rsid w:val="3F982986"/>
    <w:rsid w:val="3F986179"/>
    <w:rsid w:val="3F987964"/>
    <w:rsid w:val="3F9C5EF9"/>
    <w:rsid w:val="3FA255B3"/>
    <w:rsid w:val="3FA560A4"/>
    <w:rsid w:val="3FA94B93"/>
    <w:rsid w:val="3FBA32DC"/>
    <w:rsid w:val="3FBB0422"/>
    <w:rsid w:val="3FBE146B"/>
    <w:rsid w:val="3FC76FD7"/>
    <w:rsid w:val="3FCF645D"/>
    <w:rsid w:val="3FDA7ABC"/>
    <w:rsid w:val="3FE61731"/>
    <w:rsid w:val="3FEC4DF3"/>
    <w:rsid w:val="3FFA0F65"/>
    <w:rsid w:val="3FFF7DE8"/>
    <w:rsid w:val="400247A4"/>
    <w:rsid w:val="40041DC9"/>
    <w:rsid w:val="400969B9"/>
    <w:rsid w:val="400D5F64"/>
    <w:rsid w:val="400E40CB"/>
    <w:rsid w:val="40195796"/>
    <w:rsid w:val="40271F5C"/>
    <w:rsid w:val="40273C67"/>
    <w:rsid w:val="40276690"/>
    <w:rsid w:val="402D0AE5"/>
    <w:rsid w:val="40431D49"/>
    <w:rsid w:val="404C6525"/>
    <w:rsid w:val="4053554B"/>
    <w:rsid w:val="4059178B"/>
    <w:rsid w:val="40662A84"/>
    <w:rsid w:val="406E7B8B"/>
    <w:rsid w:val="407F4725"/>
    <w:rsid w:val="40804E3C"/>
    <w:rsid w:val="408E2631"/>
    <w:rsid w:val="409451E9"/>
    <w:rsid w:val="40956EC5"/>
    <w:rsid w:val="409A3C27"/>
    <w:rsid w:val="409A618E"/>
    <w:rsid w:val="40A97F02"/>
    <w:rsid w:val="40B336F9"/>
    <w:rsid w:val="40B67637"/>
    <w:rsid w:val="40BE62B0"/>
    <w:rsid w:val="40BF2194"/>
    <w:rsid w:val="40C50748"/>
    <w:rsid w:val="40C614BE"/>
    <w:rsid w:val="40C9725F"/>
    <w:rsid w:val="40D2164B"/>
    <w:rsid w:val="40D460E1"/>
    <w:rsid w:val="40E368A3"/>
    <w:rsid w:val="40E423C7"/>
    <w:rsid w:val="40E833CA"/>
    <w:rsid w:val="40EA6BEC"/>
    <w:rsid w:val="40FB4E88"/>
    <w:rsid w:val="41006A35"/>
    <w:rsid w:val="4107445E"/>
    <w:rsid w:val="410B7187"/>
    <w:rsid w:val="410D3F2F"/>
    <w:rsid w:val="411D5025"/>
    <w:rsid w:val="412B7DA7"/>
    <w:rsid w:val="4141786F"/>
    <w:rsid w:val="41482C38"/>
    <w:rsid w:val="4177738C"/>
    <w:rsid w:val="418208CF"/>
    <w:rsid w:val="418701FF"/>
    <w:rsid w:val="419542DF"/>
    <w:rsid w:val="419B050B"/>
    <w:rsid w:val="41A40E53"/>
    <w:rsid w:val="41A6386A"/>
    <w:rsid w:val="41A6426F"/>
    <w:rsid w:val="41A730BC"/>
    <w:rsid w:val="41AF1394"/>
    <w:rsid w:val="41BE41FA"/>
    <w:rsid w:val="41C021BC"/>
    <w:rsid w:val="41C23CEA"/>
    <w:rsid w:val="41C71300"/>
    <w:rsid w:val="41D42A0C"/>
    <w:rsid w:val="41DA04D7"/>
    <w:rsid w:val="41E06BFB"/>
    <w:rsid w:val="41E81277"/>
    <w:rsid w:val="41E83EF6"/>
    <w:rsid w:val="41EE7A2D"/>
    <w:rsid w:val="41F11C22"/>
    <w:rsid w:val="41FD0D85"/>
    <w:rsid w:val="420E3CDA"/>
    <w:rsid w:val="420E6850"/>
    <w:rsid w:val="42113F9B"/>
    <w:rsid w:val="421B09B4"/>
    <w:rsid w:val="421C263C"/>
    <w:rsid w:val="421D24FA"/>
    <w:rsid w:val="42267A72"/>
    <w:rsid w:val="42281DD3"/>
    <w:rsid w:val="422C694B"/>
    <w:rsid w:val="422F6EA6"/>
    <w:rsid w:val="423C230F"/>
    <w:rsid w:val="425A58DE"/>
    <w:rsid w:val="425F056A"/>
    <w:rsid w:val="426737AD"/>
    <w:rsid w:val="4272285D"/>
    <w:rsid w:val="427F5BBE"/>
    <w:rsid w:val="427F607F"/>
    <w:rsid w:val="428D13DB"/>
    <w:rsid w:val="4290054B"/>
    <w:rsid w:val="429626A0"/>
    <w:rsid w:val="429B08DB"/>
    <w:rsid w:val="42A04F26"/>
    <w:rsid w:val="42A10C42"/>
    <w:rsid w:val="42A436A4"/>
    <w:rsid w:val="42AA5135"/>
    <w:rsid w:val="42AC0347"/>
    <w:rsid w:val="42B65CDF"/>
    <w:rsid w:val="42B775C7"/>
    <w:rsid w:val="42BA03DC"/>
    <w:rsid w:val="42C817D4"/>
    <w:rsid w:val="42D02437"/>
    <w:rsid w:val="42D3596A"/>
    <w:rsid w:val="42DB07CE"/>
    <w:rsid w:val="42DD6902"/>
    <w:rsid w:val="42E03AA2"/>
    <w:rsid w:val="42E109D3"/>
    <w:rsid w:val="42E21911"/>
    <w:rsid w:val="42F67DC7"/>
    <w:rsid w:val="42FC5906"/>
    <w:rsid w:val="43095949"/>
    <w:rsid w:val="430A148E"/>
    <w:rsid w:val="43163CC4"/>
    <w:rsid w:val="431C0D7B"/>
    <w:rsid w:val="43244531"/>
    <w:rsid w:val="43283592"/>
    <w:rsid w:val="432C13F3"/>
    <w:rsid w:val="432D1637"/>
    <w:rsid w:val="432E6F7C"/>
    <w:rsid w:val="433272A7"/>
    <w:rsid w:val="43466528"/>
    <w:rsid w:val="43516F22"/>
    <w:rsid w:val="43586687"/>
    <w:rsid w:val="435B65B4"/>
    <w:rsid w:val="43617533"/>
    <w:rsid w:val="436239D7"/>
    <w:rsid w:val="43650DD1"/>
    <w:rsid w:val="43721740"/>
    <w:rsid w:val="4381186F"/>
    <w:rsid w:val="4387757C"/>
    <w:rsid w:val="438C799A"/>
    <w:rsid w:val="438F22F2"/>
    <w:rsid w:val="43943464"/>
    <w:rsid w:val="439671DC"/>
    <w:rsid w:val="43995D45"/>
    <w:rsid w:val="439B04AC"/>
    <w:rsid w:val="43A9588C"/>
    <w:rsid w:val="43AE4775"/>
    <w:rsid w:val="43AF188C"/>
    <w:rsid w:val="43B104BA"/>
    <w:rsid w:val="43B34CA7"/>
    <w:rsid w:val="43B47A79"/>
    <w:rsid w:val="43BC0038"/>
    <w:rsid w:val="43BD6E5F"/>
    <w:rsid w:val="43BE1D33"/>
    <w:rsid w:val="43C13821"/>
    <w:rsid w:val="43C16EEE"/>
    <w:rsid w:val="43C678E3"/>
    <w:rsid w:val="43C97EDF"/>
    <w:rsid w:val="43CF278B"/>
    <w:rsid w:val="43D85A47"/>
    <w:rsid w:val="43D87FA5"/>
    <w:rsid w:val="43DA38BF"/>
    <w:rsid w:val="43E17924"/>
    <w:rsid w:val="43E91374"/>
    <w:rsid w:val="43EB3851"/>
    <w:rsid w:val="43EF3627"/>
    <w:rsid w:val="43FD424B"/>
    <w:rsid w:val="43FE2FD4"/>
    <w:rsid w:val="440440EB"/>
    <w:rsid w:val="44051277"/>
    <w:rsid w:val="440B793C"/>
    <w:rsid w:val="440D4A0E"/>
    <w:rsid w:val="441339DB"/>
    <w:rsid w:val="441E33F9"/>
    <w:rsid w:val="441F5424"/>
    <w:rsid w:val="441F76E0"/>
    <w:rsid w:val="44211795"/>
    <w:rsid w:val="442B511C"/>
    <w:rsid w:val="442E794B"/>
    <w:rsid w:val="443D1194"/>
    <w:rsid w:val="443E2ABE"/>
    <w:rsid w:val="444277AE"/>
    <w:rsid w:val="444D269F"/>
    <w:rsid w:val="445464E2"/>
    <w:rsid w:val="445F5FF9"/>
    <w:rsid w:val="446A5025"/>
    <w:rsid w:val="446C5B48"/>
    <w:rsid w:val="446F6ABE"/>
    <w:rsid w:val="44731A91"/>
    <w:rsid w:val="4476629B"/>
    <w:rsid w:val="44782D86"/>
    <w:rsid w:val="447A39B0"/>
    <w:rsid w:val="447D41C0"/>
    <w:rsid w:val="448D4A83"/>
    <w:rsid w:val="449A2259"/>
    <w:rsid w:val="44A147AB"/>
    <w:rsid w:val="44AD6BF8"/>
    <w:rsid w:val="44B03D52"/>
    <w:rsid w:val="44B204CA"/>
    <w:rsid w:val="44B518E4"/>
    <w:rsid w:val="44B62D06"/>
    <w:rsid w:val="44B64436"/>
    <w:rsid w:val="44BC3EFE"/>
    <w:rsid w:val="44C6024B"/>
    <w:rsid w:val="44C61D43"/>
    <w:rsid w:val="44C73981"/>
    <w:rsid w:val="44C74AEA"/>
    <w:rsid w:val="44D6347B"/>
    <w:rsid w:val="44D80E18"/>
    <w:rsid w:val="44D83FB9"/>
    <w:rsid w:val="44E25E85"/>
    <w:rsid w:val="44E32F59"/>
    <w:rsid w:val="44F11A7C"/>
    <w:rsid w:val="44F33512"/>
    <w:rsid w:val="44FF5912"/>
    <w:rsid w:val="450C7873"/>
    <w:rsid w:val="450D2C7A"/>
    <w:rsid w:val="450D755A"/>
    <w:rsid w:val="45116EBB"/>
    <w:rsid w:val="45140D01"/>
    <w:rsid w:val="45176E03"/>
    <w:rsid w:val="451B030C"/>
    <w:rsid w:val="451C7BB5"/>
    <w:rsid w:val="45222A8E"/>
    <w:rsid w:val="45295E27"/>
    <w:rsid w:val="452B4224"/>
    <w:rsid w:val="45307DA1"/>
    <w:rsid w:val="45324FA4"/>
    <w:rsid w:val="454871A3"/>
    <w:rsid w:val="45556816"/>
    <w:rsid w:val="455A06DD"/>
    <w:rsid w:val="455B01CD"/>
    <w:rsid w:val="456357E4"/>
    <w:rsid w:val="45660E30"/>
    <w:rsid w:val="456A0921"/>
    <w:rsid w:val="45702958"/>
    <w:rsid w:val="457038E7"/>
    <w:rsid w:val="45752030"/>
    <w:rsid w:val="457F7F0E"/>
    <w:rsid w:val="45885B75"/>
    <w:rsid w:val="458B0A2A"/>
    <w:rsid w:val="458F359B"/>
    <w:rsid w:val="459C2AA4"/>
    <w:rsid w:val="459D5EDD"/>
    <w:rsid w:val="45A56E7F"/>
    <w:rsid w:val="45AD4151"/>
    <w:rsid w:val="45B32B13"/>
    <w:rsid w:val="45C049E4"/>
    <w:rsid w:val="45CC0EF3"/>
    <w:rsid w:val="45CF4804"/>
    <w:rsid w:val="45D3139A"/>
    <w:rsid w:val="45D60C4F"/>
    <w:rsid w:val="45DD5472"/>
    <w:rsid w:val="45E85CE9"/>
    <w:rsid w:val="45F760D2"/>
    <w:rsid w:val="460674A4"/>
    <w:rsid w:val="4616401B"/>
    <w:rsid w:val="461812B9"/>
    <w:rsid w:val="462A2D8A"/>
    <w:rsid w:val="462E18ED"/>
    <w:rsid w:val="462E6CFB"/>
    <w:rsid w:val="4634666A"/>
    <w:rsid w:val="46366A55"/>
    <w:rsid w:val="463902F3"/>
    <w:rsid w:val="464554D0"/>
    <w:rsid w:val="46486611"/>
    <w:rsid w:val="464B2733"/>
    <w:rsid w:val="464E104B"/>
    <w:rsid w:val="465F78CF"/>
    <w:rsid w:val="466A28A1"/>
    <w:rsid w:val="4674732E"/>
    <w:rsid w:val="468778CB"/>
    <w:rsid w:val="468C7C03"/>
    <w:rsid w:val="468E7CFF"/>
    <w:rsid w:val="46950200"/>
    <w:rsid w:val="46A11559"/>
    <w:rsid w:val="46A75BA4"/>
    <w:rsid w:val="46A82238"/>
    <w:rsid w:val="46AB731F"/>
    <w:rsid w:val="46C60E54"/>
    <w:rsid w:val="46D70871"/>
    <w:rsid w:val="46E96C80"/>
    <w:rsid w:val="46EA6DCA"/>
    <w:rsid w:val="46EE37D3"/>
    <w:rsid w:val="46F4031D"/>
    <w:rsid w:val="46FA1AF0"/>
    <w:rsid w:val="46FE5902"/>
    <w:rsid w:val="47147C8B"/>
    <w:rsid w:val="471C47C9"/>
    <w:rsid w:val="472366AA"/>
    <w:rsid w:val="47240FA3"/>
    <w:rsid w:val="4725109C"/>
    <w:rsid w:val="47256C62"/>
    <w:rsid w:val="4728490E"/>
    <w:rsid w:val="472A60F0"/>
    <w:rsid w:val="472D42FC"/>
    <w:rsid w:val="47432D8A"/>
    <w:rsid w:val="474D4691"/>
    <w:rsid w:val="47545812"/>
    <w:rsid w:val="47590C4D"/>
    <w:rsid w:val="4760238A"/>
    <w:rsid w:val="47680671"/>
    <w:rsid w:val="476F4953"/>
    <w:rsid w:val="4770243A"/>
    <w:rsid w:val="47875E2B"/>
    <w:rsid w:val="47941C85"/>
    <w:rsid w:val="47992182"/>
    <w:rsid w:val="4799373F"/>
    <w:rsid w:val="479C6AF2"/>
    <w:rsid w:val="479F5160"/>
    <w:rsid w:val="47A2398D"/>
    <w:rsid w:val="47A85A6A"/>
    <w:rsid w:val="47AD2D46"/>
    <w:rsid w:val="47AF6ABF"/>
    <w:rsid w:val="47CA56A6"/>
    <w:rsid w:val="47D06E60"/>
    <w:rsid w:val="47D46525"/>
    <w:rsid w:val="47F16ACD"/>
    <w:rsid w:val="47F25D96"/>
    <w:rsid w:val="47F7332D"/>
    <w:rsid w:val="480271EC"/>
    <w:rsid w:val="480A28B5"/>
    <w:rsid w:val="480A63EB"/>
    <w:rsid w:val="481B3E57"/>
    <w:rsid w:val="481F7166"/>
    <w:rsid w:val="482F25AD"/>
    <w:rsid w:val="482F7BFF"/>
    <w:rsid w:val="483F2644"/>
    <w:rsid w:val="48430FEB"/>
    <w:rsid w:val="48455675"/>
    <w:rsid w:val="48482B73"/>
    <w:rsid w:val="484A5D2A"/>
    <w:rsid w:val="484B6D5E"/>
    <w:rsid w:val="48576465"/>
    <w:rsid w:val="48645DF5"/>
    <w:rsid w:val="48761BCD"/>
    <w:rsid w:val="487F0B87"/>
    <w:rsid w:val="48850CE2"/>
    <w:rsid w:val="48872B1F"/>
    <w:rsid w:val="48884A4C"/>
    <w:rsid w:val="488E2B78"/>
    <w:rsid w:val="48960765"/>
    <w:rsid w:val="4897323F"/>
    <w:rsid w:val="489831CA"/>
    <w:rsid w:val="48987658"/>
    <w:rsid w:val="48991436"/>
    <w:rsid w:val="48A805B4"/>
    <w:rsid w:val="48CD0530"/>
    <w:rsid w:val="48E21116"/>
    <w:rsid w:val="48E33B35"/>
    <w:rsid w:val="48EA2C9F"/>
    <w:rsid w:val="48F21DD8"/>
    <w:rsid w:val="48FC62F0"/>
    <w:rsid w:val="49005572"/>
    <w:rsid w:val="490A7626"/>
    <w:rsid w:val="49107A31"/>
    <w:rsid w:val="491B0E4E"/>
    <w:rsid w:val="491D274A"/>
    <w:rsid w:val="492D14FD"/>
    <w:rsid w:val="49481B08"/>
    <w:rsid w:val="49506EA2"/>
    <w:rsid w:val="4954414B"/>
    <w:rsid w:val="495E7887"/>
    <w:rsid w:val="495F62C2"/>
    <w:rsid w:val="4961028C"/>
    <w:rsid w:val="49675690"/>
    <w:rsid w:val="497160ED"/>
    <w:rsid w:val="497210E7"/>
    <w:rsid w:val="4978458D"/>
    <w:rsid w:val="49795D3F"/>
    <w:rsid w:val="498C3204"/>
    <w:rsid w:val="498F0715"/>
    <w:rsid w:val="498F2137"/>
    <w:rsid w:val="49920C00"/>
    <w:rsid w:val="49944056"/>
    <w:rsid w:val="499E41D1"/>
    <w:rsid w:val="49A13675"/>
    <w:rsid w:val="49AE237F"/>
    <w:rsid w:val="49AF29CC"/>
    <w:rsid w:val="49B853F4"/>
    <w:rsid w:val="49CB1BAA"/>
    <w:rsid w:val="49CD36F0"/>
    <w:rsid w:val="49D82206"/>
    <w:rsid w:val="49DF5D29"/>
    <w:rsid w:val="49E17C90"/>
    <w:rsid w:val="49F03494"/>
    <w:rsid w:val="49F8312B"/>
    <w:rsid w:val="49FA4868"/>
    <w:rsid w:val="4A1106D6"/>
    <w:rsid w:val="4A120D7F"/>
    <w:rsid w:val="4A207FAB"/>
    <w:rsid w:val="4A361719"/>
    <w:rsid w:val="4A365275"/>
    <w:rsid w:val="4A441A57"/>
    <w:rsid w:val="4A46195B"/>
    <w:rsid w:val="4A477535"/>
    <w:rsid w:val="4A517592"/>
    <w:rsid w:val="4A604CFD"/>
    <w:rsid w:val="4A733A32"/>
    <w:rsid w:val="4A7B08BD"/>
    <w:rsid w:val="4A7B5170"/>
    <w:rsid w:val="4A7D37EE"/>
    <w:rsid w:val="4A8133DF"/>
    <w:rsid w:val="4A8E475A"/>
    <w:rsid w:val="4A9433D8"/>
    <w:rsid w:val="4A9762B2"/>
    <w:rsid w:val="4A987CDE"/>
    <w:rsid w:val="4AAE12AF"/>
    <w:rsid w:val="4AB94329"/>
    <w:rsid w:val="4AC565F9"/>
    <w:rsid w:val="4AD056CA"/>
    <w:rsid w:val="4AD30D16"/>
    <w:rsid w:val="4ADE0364"/>
    <w:rsid w:val="4ADF16B3"/>
    <w:rsid w:val="4AED7781"/>
    <w:rsid w:val="4AEE0E9F"/>
    <w:rsid w:val="4B06034C"/>
    <w:rsid w:val="4B09298A"/>
    <w:rsid w:val="4B1327EA"/>
    <w:rsid w:val="4B133808"/>
    <w:rsid w:val="4B14114C"/>
    <w:rsid w:val="4B492D26"/>
    <w:rsid w:val="4B4C0AC8"/>
    <w:rsid w:val="4B537E8C"/>
    <w:rsid w:val="4B555BCF"/>
    <w:rsid w:val="4B6640AB"/>
    <w:rsid w:val="4B691294"/>
    <w:rsid w:val="4B700699"/>
    <w:rsid w:val="4B725770"/>
    <w:rsid w:val="4B7311F6"/>
    <w:rsid w:val="4B793687"/>
    <w:rsid w:val="4B8D6068"/>
    <w:rsid w:val="4B904266"/>
    <w:rsid w:val="4B957637"/>
    <w:rsid w:val="4B9C37FE"/>
    <w:rsid w:val="4B9F5E20"/>
    <w:rsid w:val="4BA87121"/>
    <w:rsid w:val="4BAB61B2"/>
    <w:rsid w:val="4BB41A52"/>
    <w:rsid w:val="4BCB5038"/>
    <w:rsid w:val="4BCD46D1"/>
    <w:rsid w:val="4BCF19FB"/>
    <w:rsid w:val="4BDA60D4"/>
    <w:rsid w:val="4BDE6AD6"/>
    <w:rsid w:val="4BE073B5"/>
    <w:rsid w:val="4BF72ACE"/>
    <w:rsid w:val="4C012ACE"/>
    <w:rsid w:val="4C103A4E"/>
    <w:rsid w:val="4C213D03"/>
    <w:rsid w:val="4C235CCD"/>
    <w:rsid w:val="4C2520C1"/>
    <w:rsid w:val="4C2A0E0A"/>
    <w:rsid w:val="4C2C79A5"/>
    <w:rsid w:val="4C31150C"/>
    <w:rsid w:val="4C3E203F"/>
    <w:rsid w:val="4C426C15"/>
    <w:rsid w:val="4C435BA6"/>
    <w:rsid w:val="4C44555A"/>
    <w:rsid w:val="4C4B43D8"/>
    <w:rsid w:val="4C5058C9"/>
    <w:rsid w:val="4C525C6E"/>
    <w:rsid w:val="4C5D06AA"/>
    <w:rsid w:val="4C6526A3"/>
    <w:rsid w:val="4C660202"/>
    <w:rsid w:val="4C731A58"/>
    <w:rsid w:val="4C7A37C9"/>
    <w:rsid w:val="4C816DB4"/>
    <w:rsid w:val="4C82042E"/>
    <w:rsid w:val="4C833F64"/>
    <w:rsid w:val="4C8A6EEA"/>
    <w:rsid w:val="4C8B08B5"/>
    <w:rsid w:val="4C966502"/>
    <w:rsid w:val="4C970E98"/>
    <w:rsid w:val="4CB132D9"/>
    <w:rsid w:val="4CB135F8"/>
    <w:rsid w:val="4CB8503B"/>
    <w:rsid w:val="4CBA43F5"/>
    <w:rsid w:val="4CEA064F"/>
    <w:rsid w:val="4CEB0233"/>
    <w:rsid w:val="4CFE1DC2"/>
    <w:rsid w:val="4D07114B"/>
    <w:rsid w:val="4D080446"/>
    <w:rsid w:val="4D0F6379"/>
    <w:rsid w:val="4D107192"/>
    <w:rsid w:val="4D1C122D"/>
    <w:rsid w:val="4D2F0C48"/>
    <w:rsid w:val="4D314C6A"/>
    <w:rsid w:val="4D341D1F"/>
    <w:rsid w:val="4D3637DE"/>
    <w:rsid w:val="4D4F3340"/>
    <w:rsid w:val="4D5716EC"/>
    <w:rsid w:val="4D581368"/>
    <w:rsid w:val="4D5A127B"/>
    <w:rsid w:val="4D636E31"/>
    <w:rsid w:val="4D644EE5"/>
    <w:rsid w:val="4D6717A6"/>
    <w:rsid w:val="4D6B261D"/>
    <w:rsid w:val="4D6D616E"/>
    <w:rsid w:val="4D731F0A"/>
    <w:rsid w:val="4D8136AF"/>
    <w:rsid w:val="4D822DD2"/>
    <w:rsid w:val="4D8273C1"/>
    <w:rsid w:val="4D843E86"/>
    <w:rsid w:val="4D844546"/>
    <w:rsid w:val="4D9229C5"/>
    <w:rsid w:val="4D9C1893"/>
    <w:rsid w:val="4DA1466C"/>
    <w:rsid w:val="4DA30E74"/>
    <w:rsid w:val="4DB6430B"/>
    <w:rsid w:val="4DB9161D"/>
    <w:rsid w:val="4DB9361E"/>
    <w:rsid w:val="4DBE18C5"/>
    <w:rsid w:val="4DC16DD5"/>
    <w:rsid w:val="4DCA28A4"/>
    <w:rsid w:val="4DD07ACF"/>
    <w:rsid w:val="4DD361A4"/>
    <w:rsid w:val="4DE6441C"/>
    <w:rsid w:val="4DED7C58"/>
    <w:rsid w:val="4DFA3B48"/>
    <w:rsid w:val="4DFB1C76"/>
    <w:rsid w:val="4E031308"/>
    <w:rsid w:val="4E053C24"/>
    <w:rsid w:val="4E065E6C"/>
    <w:rsid w:val="4E085D8E"/>
    <w:rsid w:val="4E102CBB"/>
    <w:rsid w:val="4E1168E0"/>
    <w:rsid w:val="4E173610"/>
    <w:rsid w:val="4E192EE4"/>
    <w:rsid w:val="4E1F288D"/>
    <w:rsid w:val="4E233AFB"/>
    <w:rsid w:val="4E2D698F"/>
    <w:rsid w:val="4E2F2707"/>
    <w:rsid w:val="4E307C4F"/>
    <w:rsid w:val="4E3C4E24"/>
    <w:rsid w:val="4E44304C"/>
    <w:rsid w:val="4E44488A"/>
    <w:rsid w:val="4E516716"/>
    <w:rsid w:val="4E574FE9"/>
    <w:rsid w:val="4E5A2B76"/>
    <w:rsid w:val="4E636855"/>
    <w:rsid w:val="4E6623B4"/>
    <w:rsid w:val="4E677E21"/>
    <w:rsid w:val="4E696F24"/>
    <w:rsid w:val="4E6E2254"/>
    <w:rsid w:val="4E7870A0"/>
    <w:rsid w:val="4E915170"/>
    <w:rsid w:val="4E916F1E"/>
    <w:rsid w:val="4E9F0568"/>
    <w:rsid w:val="4EA007F7"/>
    <w:rsid w:val="4EA65C02"/>
    <w:rsid w:val="4EA90BA8"/>
    <w:rsid w:val="4EAA0068"/>
    <w:rsid w:val="4EB250E6"/>
    <w:rsid w:val="4EB72B7B"/>
    <w:rsid w:val="4EBB21ED"/>
    <w:rsid w:val="4EC668E2"/>
    <w:rsid w:val="4ED07495"/>
    <w:rsid w:val="4EDB288F"/>
    <w:rsid w:val="4EE527CC"/>
    <w:rsid w:val="4EE63723"/>
    <w:rsid w:val="4EE67DF0"/>
    <w:rsid w:val="4EEF4864"/>
    <w:rsid w:val="4EF3445C"/>
    <w:rsid w:val="4F132029"/>
    <w:rsid w:val="4F161C3F"/>
    <w:rsid w:val="4F1666ED"/>
    <w:rsid w:val="4F1C2E2D"/>
    <w:rsid w:val="4F314280"/>
    <w:rsid w:val="4F392678"/>
    <w:rsid w:val="4F3C7331"/>
    <w:rsid w:val="4F3F4BCC"/>
    <w:rsid w:val="4F4071FE"/>
    <w:rsid w:val="4F4135CA"/>
    <w:rsid w:val="4F473291"/>
    <w:rsid w:val="4F4F3AFC"/>
    <w:rsid w:val="4F4F48BB"/>
    <w:rsid w:val="4F557DF0"/>
    <w:rsid w:val="4F5B752C"/>
    <w:rsid w:val="4F602D94"/>
    <w:rsid w:val="4F6C109F"/>
    <w:rsid w:val="4F7464BD"/>
    <w:rsid w:val="4F7D0E16"/>
    <w:rsid w:val="4F83220F"/>
    <w:rsid w:val="4F8D6BAC"/>
    <w:rsid w:val="4F9273F2"/>
    <w:rsid w:val="4F976BC5"/>
    <w:rsid w:val="4F9D7F4F"/>
    <w:rsid w:val="4FA05D32"/>
    <w:rsid w:val="4FA309BE"/>
    <w:rsid w:val="4FAD6D95"/>
    <w:rsid w:val="4FB01626"/>
    <w:rsid w:val="4FBA6948"/>
    <w:rsid w:val="4FBC1A46"/>
    <w:rsid w:val="4FC30B71"/>
    <w:rsid w:val="4FC85DC7"/>
    <w:rsid w:val="4FCA1FBB"/>
    <w:rsid w:val="4FCD46C0"/>
    <w:rsid w:val="4FCE5F50"/>
    <w:rsid w:val="4FD219ED"/>
    <w:rsid w:val="4FD32219"/>
    <w:rsid w:val="4FDC68BF"/>
    <w:rsid w:val="4FE312D5"/>
    <w:rsid w:val="4FE774F3"/>
    <w:rsid w:val="4FF83C1D"/>
    <w:rsid w:val="4FF85861"/>
    <w:rsid w:val="4FF92F66"/>
    <w:rsid w:val="4FFE4A87"/>
    <w:rsid w:val="4FFF1555"/>
    <w:rsid w:val="50054AB7"/>
    <w:rsid w:val="5013027E"/>
    <w:rsid w:val="50190B8D"/>
    <w:rsid w:val="50257B54"/>
    <w:rsid w:val="502C0835"/>
    <w:rsid w:val="50315CE3"/>
    <w:rsid w:val="503A3CBF"/>
    <w:rsid w:val="503F0474"/>
    <w:rsid w:val="50406E4E"/>
    <w:rsid w:val="504165C8"/>
    <w:rsid w:val="50445DF2"/>
    <w:rsid w:val="505E72FC"/>
    <w:rsid w:val="50650F36"/>
    <w:rsid w:val="50665BE5"/>
    <w:rsid w:val="506D7517"/>
    <w:rsid w:val="506F1AB1"/>
    <w:rsid w:val="50705F4E"/>
    <w:rsid w:val="50724B2D"/>
    <w:rsid w:val="50770396"/>
    <w:rsid w:val="507F3567"/>
    <w:rsid w:val="50811214"/>
    <w:rsid w:val="508377A5"/>
    <w:rsid w:val="508E34AE"/>
    <w:rsid w:val="50936430"/>
    <w:rsid w:val="50937B6E"/>
    <w:rsid w:val="509446DE"/>
    <w:rsid w:val="50946A1B"/>
    <w:rsid w:val="50966A6E"/>
    <w:rsid w:val="509F0B20"/>
    <w:rsid w:val="50A1622C"/>
    <w:rsid w:val="50A46C9E"/>
    <w:rsid w:val="50A766B5"/>
    <w:rsid w:val="50AD26B0"/>
    <w:rsid w:val="50B213CE"/>
    <w:rsid w:val="50B52C6C"/>
    <w:rsid w:val="50B54578"/>
    <w:rsid w:val="50B62FAC"/>
    <w:rsid w:val="50B9212C"/>
    <w:rsid w:val="50C80BF1"/>
    <w:rsid w:val="50CE02F4"/>
    <w:rsid w:val="50D571CE"/>
    <w:rsid w:val="50DB030E"/>
    <w:rsid w:val="50E16C0D"/>
    <w:rsid w:val="50E914D7"/>
    <w:rsid w:val="50E96211"/>
    <w:rsid w:val="50EB2841"/>
    <w:rsid w:val="50F2554B"/>
    <w:rsid w:val="50FB544C"/>
    <w:rsid w:val="50FD6AED"/>
    <w:rsid w:val="50FE2865"/>
    <w:rsid w:val="51020E71"/>
    <w:rsid w:val="51037E7B"/>
    <w:rsid w:val="510400F1"/>
    <w:rsid w:val="5119621C"/>
    <w:rsid w:val="511F63EB"/>
    <w:rsid w:val="512065AE"/>
    <w:rsid w:val="51256407"/>
    <w:rsid w:val="512573DA"/>
    <w:rsid w:val="513120F8"/>
    <w:rsid w:val="5131339E"/>
    <w:rsid w:val="51393A53"/>
    <w:rsid w:val="5143482C"/>
    <w:rsid w:val="5148780F"/>
    <w:rsid w:val="514A7C92"/>
    <w:rsid w:val="51707B80"/>
    <w:rsid w:val="51717022"/>
    <w:rsid w:val="51717D09"/>
    <w:rsid w:val="51856662"/>
    <w:rsid w:val="5187657C"/>
    <w:rsid w:val="51984184"/>
    <w:rsid w:val="519C7F98"/>
    <w:rsid w:val="51A67A4F"/>
    <w:rsid w:val="51A77742"/>
    <w:rsid w:val="51A97384"/>
    <w:rsid w:val="51AB4F93"/>
    <w:rsid w:val="51B35F4E"/>
    <w:rsid w:val="51B55CFC"/>
    <w:rsid w:val="51E758F1"/>
    <w:rsid w:val="51EE4687"/>
    <w:rsid w:val="51EF7509"/>
    <w:rsid w:val="51F07A9F"/>
    <w:rsid w:val="51F21C37"/>
    <w:rsid w:val="51F41D4A"/>
    <w:rsid w:val="521340EE"/>
    <w:rsid w:val="52222550"/>
    <w:rsid w:val="52230C7C"/>
    <w:rsid w:val="52235AA1"/>
    <w:rsid w:val="522432EB"/>
    <w:rsid w:val="522B124C"/>
    <w:rsid w:val="52391EAD"/>
    <w:rsid w:val="523E2B05"/>
    <w:rsid w:val="524268F0"/>
    <w:rsid w:val="524904D7"/>
    <w:rsid w:val="52543AD9"/>
    <w:rsid w:val="525A0016"/>
    <w:rsid w:val="525A454B"/>
    <w:rsid w:val="526A015C"/>
    <w:rsid w:val="526A30A2"/>
    <w:rsid w:val="526B5F4E"/>
    <w:rsid w:val="52746DE2"/>
    <w:rsid w:val="52777250"/>
    <w:rsid w:val="527D6FDA"/>
    <w:rsid w:val="52825483"/>
    <w:rsid w:val="528761BE"/>
    <w:rsid w:val="52922187"/>
    <w:rsid w:val="52943353"/>
    <w:rsid w:val="529559AF"/>
    <w:rsid w:val="529B7503"/>
    <w:rsid w:val="52AF16E7"/>
    <w:rsid w:val="52B67D21"/>
    <w:rsid w:val="52BD0696"/>
    <w:rsid w:val="52C06171"/>
    <w:rsid w:val="52CD19DE"/>
    <w:rsid w:val="52CD532C"/>
    <w:rsid w:val="52D56EE5"/>
    <w:rsid w:val="52DB51E3"/>
    <w:rsid w:val="52E0534B"/>
    <w:rsid w:val="52E70521"/>
    <w:rsid w:val="52FE62F4"/>
    <w:rsid w:val="53016D35"/>
    <w:rsid w:val="53051ED1"/>
    <w:rsid w:val="53183CDB"/>
    <w:rsid w:val="53187C25"/>
    <w:rsid w:val="5325232B"/>
    <w:rsid w:val="532D4EA2"/>
    <w:rsid w:val="532F0AEC"/>
    <w:rsid w:val="5335321D"/>
    <w:rsid w:val="533A06B7"/>
    <w:rsid w:val="533A0A55"/>
    <w:rsid w:val="533B55DB"/>
    <w:rsid w:val="53560736"/>
    <w:rsid w:val="535F4D99"/>
    <w:rsid w:val="5369640C"/>
    <w:rsid w:val="536B6D64"/>
    <w:rsid w:val="536C7F5A"/>
    <w:rsid w:val="537447D1"/>
    <w:rsid w:val="5376367F"/>
    <w:rsid w:val="53832F0B"/>
    <w:rsid w:val="53857D86"/>
    <w:rsid w:val="5387035C"/>
    <w:rsid w:val="539209AE"/>
    <w:rsid w:val="53924B5E"/>
    <w:rsid w:val="53AC53D1"/>
    <w:rsid w:val="53AC5F20"/>
    <w:rsid w:val="53B25455"/>
    <w:rsid w:val="53BE23CA"/>
    <w:rsid w:val="53BE40A3"/>
    <w:rsid w:val="53C412A4"/>
    <w:rsid w:val="53CB22A9"/>
    <w:rsid w:val="53CF46F1"/>
    <w:rsid w:val="53D37FD9"/>
    <w:rsid w:val="53D400AA"/>
    <w:rsid w:val="53D625BF"/>
    <w:rsid w:val="53D77380"/>
    <w:rsid w:val="53D92923"/>
    <w:rsid w:val="53DE15A7"/>
    <w:rsid w:val="53E21FCA"/>
    <w:rsid w:val="53E52038"/>
    <w:rsid w:val="53F003EF"/>
    <w:rsid w:val="53F758F5"/>
    <w:rsid w:val="53FB40CE"/>
    <w:rsid w:val="53FD65B7"/>
    <w:rsid w:val="540403E4"/>
    <w:rsid w:val="54053853"/>
    <w:rsid w:val="540F5998"/>
    <w:rsid w:val="54174815"/>
    <w:rsid w:val="541F5B69"/>
    <w:rsid w:val="54273E81"/>
    <w:rsid w:val="54300F87"/>
    <w:rsid w:val="54312723"/>
    <w:rsid w:val="5432079C"/>
    <w:rsid w:val="543316A5"/>
    <w:rsid w:val="543D36A4"/>
    <w:rsid w:val="544761DF"/>
    <w:rsid w:val="544D1509"/>
    <w:rsid w:val="545B76B8"/>
    <w:rsid w:val="545C2D3B"/>
    <w:rsid w:val="54671768"/>
    <w:rsid w:val="546D18E3"/>
    <w:rsid w:val="546D5933"/>
    <w:rsid w:val="548117E3"/>
    <w:rsid w:val="548C1C35"/>
    <w:rsid w:val="548E4186"/>
    <w:rsid w:val="549A28A4"/>
    <w:rsid w:val="549A5644"/>
    <w:rsid w:val="549F0347"/>
    <w:rsid w:val="54A27CF2"/>
    <w:rsid w:val="54A7173E"/>
    <w:rsid w:val="54AA7074"/>
    <w:rsid w:val="54B25A6F"/>
    <w:rsid w:val="54B73456"/>
    <w:rsid w:val="54B90F7D"/>
    <w:rsid w:val="54C87F4D"/>
    <w:rsid w:val="54CB379F"/>
    <w:rsid w:val="54D04EB2"/>
    <w:rsid w:val="54D74CB2"/>
    <w:rsid w:val="54E23CE0"/>
    <w:rsid w:val="54E40086"/>
    <w:rsid w:val="54F46459"/>
    <w:rsid w:val="54F8028D"/>
    <w:rsid w:val="54FA08B4"/>
    <w:rsid w:val="54FA2AB9"/>
    <w:rsid w:val="54FE2B12"/>
    <w:rsid w:val="550347CD"/>
    <w:rsid w:val="55083CB2"/>
    <w:rsid w:val="550C37A2"/>
    <w:rsid w:val="551234F9"/>
    <w:rsid w:val="551830B8"/>
    <w:rsid w:val="55243110"/>
    <w:rsid w:val="55290AA9"/>
    <w:rsid w:val="552B1DC2"/>
    <w:rsid w:val="55322ADD"/>
    <w:rsid w:val="553C04C2"/>
    <w:rsid w:val="553F45B5"/>
    <w:rsid w:val="554A02FA"/>
    <w:rsid w:val="554B69BD"/>
    <w:rsid w:val="554D393A"/>
    <w:rsid w:val="55510A41"/>
    <w:rsid w:val="5552514E"/>
    <w:rsid w:val="55605518"/>
    <w:rsid w:val="556272DC"/>
    <w:rsid w:val="55634EDD"/>
    <w:rsid w:val="5567366E"/>
    <w:rsid w:val="55692ECF"/>
    <w:rsid w:val="556F08C5"/>
    <w:rsid w:val="55812FA7"/>
    <w:rsid w:val="5587498A"/>
    <w:rsid w:val="558812B5"/>
    <w:rsid w:val="55884791"/>
    <w:rsid w:val="558E62BB"/>
    <w:rsid w:val="559162E5"/>
    <w:rsid w:val="55961E7F"/>
    <w:rsid w:val="55AE4859"/>
    <w:rsid w:val="55B4733C"/>
    <w:rsid w:val="55C51FC7"/>
    <w:rsid w:val="55C85986"/>
    <w:rsid w:val="55CB1664"/>
    <w:rsid w:val="55D27501"/>
    <w:rsid w:val="55DC349F"/>
    <w:rsid w:val="55E322DF"/>
    <w:rsid w:val="55F12072"/>
    <w:rsid w:val="55F2133B"/>
    <w:rsid w:val="55FB20AD"/>
    <w:rsid w:val="56010441"/>
    <w:rsid w:val="56097CE2"/>
    <w:rsid w:val="560E4B28"/>
    <w:rsid w:val="560E6CBE"/>
    <w:rsid w:val="560F10BE"/>
    <w:rsid w:val="56102861"/>
    <w:rsid w:val="5612303A"/>
    <w:rsid w:val="56150744"/>
    <w:rsid w:val="56171C9B"/>
    <w:rsid w:val="561843C9"/>
    <w:rsid w:val="561D2C04"/>
    <w:rsid w:val="56300735"/>
    <w:rsid w:val="563C1E65"/>
    <w:rsid w:val="563F1955"/>
    <w:rsid w:val="56413B72"/>
    <w:rsid w:val="5645240F"/>
    <w:rsid w:val="564A5723"/>
    <w:rsid w:val="564B4592"/>
    <w:rsid w:val="564F3020"/>
    <w:rsid w:val="56503B63"/>
    <w:rsid w:val="565151E5"/>
    <w:rsid w:val="56537AC2"/>
    <w:rsid w:val="5660718B"/>
    <w:rsid w:val="566C201F"/>
    <w:rsid w:val="566C6F85"/>
    <w:rsid w:val="566E5D97"/>
    <w:rsid w:val="566E5F5F"/>
    <w:rsid w:val="567B74FF"/>
    <w:rsid w:val="568072D6"/>
    <w:rsid w:val="56807ED3"/>
    <w:rsid w:val="56855247"/>
    <w:rsid w:val="56A20966"/>
    <w:rsid w:val="56B42791"/>
    <w:rsid w:val="56B73F46"/>
    <w:rsid w:val="56B857B1"/>
    <w:rsid w:val="56BC326A"/>
    <w:rsid w:val="56BD657B"/>
    <w:rsid w:val="56BF1697"/>
    <w:rsid w:val="56C33047"/>
    <w:rsid w:val="56CE5710"/>
    <w:rsid w:val="56DB0D7E"/>
    <w:rsid w:val="56DF169C"/>
    <w:rsid w:val="56E0560F"/>
    <w:rsid w:val="56E11BCD"/>
    <w:rsid w:val="56E66275"/>
    <w:rsid w:val="56EB09F8"/>
    <w:rsid w:val="57014E5D"/>
    <w:rsid w:val="57106E4E"/>
    <w:rsid w:val="57127259"/>
    <w:rsid w:val="5717172E"/>
    <w:rsid w:val="5736027D"/>
    <w:rsid w:val="573F0049"/>
    <w:rsid w:val="574009B0"/>
    <w:rsid w:val="574218FD"/>
    <w:rsid w:val="574413F8"/>
    <w:rsid w:val="5745560C"/>
    <w:rsid w:val="574C23E9"/>
    <w:rsid w:val="574F235A"/>
    <w:rsid w:val="57505587"/>
    <w:rsid w:val="575651C0"/>
    <w:rsid w:val="575A52BA"/>
    <w:rsid w:val="575B52E7"/>
    <w:rsid w:val="575D478E"/>
    <w:rsid w:val="57650683"/>
    <w:rsid w:val="576C0528"/>
    <w:rsid w:val="576D028A"/>
    <w:rsid w:val="576E728D"/>
    <w:rsid w:val="576F2EFC"/>
    <w:rsid w:val="57776ECD"/>
    <w:rsid w:val="57835872"/>
    <w:rsid w:val="578C347C"/>
    <w:rsid w:val="578E252E"/>
    <w:rsid w:val="579A3D4A"/>
    <w:rsid w:val="579C2095"/>
    <w:rsid w:val="579E7E34"/>
    <w:rsid w:val="57AA2DFF"/>
    <w:rsid w:val="57AE18C4"/>
    <w:rsid w:val="57AF0083"/>
    <w:rsid w:val="57AF00AC"/>
    <w:rsid w:val="57C16C58"/>
    <w:rsid w:val="57C93D34"/>
    <w:rsid w:val="57CF2865"/>
    <w:rsid w:val="57D936E4"/>
    <w:rsid w:val="57DA0526"/>
    <w:rsid w:val="57DA71AE"/>
    <w:rsid w:val="57ED286F"/>
    <w:rsid w:val="57F82DC0"/>
    <w:rsid w:val="57FD6CA7"/>
    <w:rsid w:val="58003366"/>
    <w:rsid w:val="5808398C"/>
    <w:rsid w:val="58095CBB"/>
    <w:rsid w:val="580E15DF"/>
    <w:rsid w:val="580E1EEE"/>
    <w:rsid w:val="58146EB4"/>
    <w:rsid w:val="58202491"/>
    <w:rsid w:val="58240676"/>
    <w:rsid w:val="5827434D"/>
    <w:rsid w:val="582E57DE"/>
    <w:rsid w:val="583258A0"/>
    <w:rsid w:val="58397404"/>
    <w:rsid w:val="583E1182"/>
    <w:rsid w:val="584A6390"/>
    <w:rsid w:val="585C4E6E"/>
    <w:rsid w:val="586113C5"/>
    <w:rsid w:val="586568EA"/>
    <w:rsid w:val="586A1866"/>
    <w:rsid w:val="586E6D7A"/>
    <w:rsid w:val="586E7D21"/>
    <w:rsid w:val="587130BB"/>
    <w:rsid w:val="587246A0"/>
    <w:rsid w:val="587753D7"/>
    <w:rsid w:val="58871392"/>
    <w:rsid w:val="58906498"/>
    <w:rsid w:val="58916DC8"/>
    <w:rsid w:val="58933CD2"/>
    <w:rsid w:val="58A44375"/>
    <w:rsid w:val="58AB485D"/>
    <w:rsid w:val="58AE5367"/>
    <w:rsid w:val="58AF1F2A"/>
    <w:rsid w:val="58B62FC4"/>
    <w:rsid w:val="58BF5D86"/>
    <w:rsid w:val="58C61EBA"/>
    <w:rsid w:val="58DC348C"/>
    <w:rsid w:val="58DF11CE"/>
    <w:rsid w:val="58E22F9C"/>
    <w:rsid w:val="58E618C7"/>
    <w:rsid w:val="58EB36CF"/>
    <w:rsid w:val="58ED5699"/>
    <w:rsid w:val="58EE486F"/>
    <w:rsid w:val="58F20F01"/>
    <w:rsid w:val="58F34DD8"/>
    <w:rsid w:val="58FE2833"/>
    <w:rsid w:val="59017396"/>
    <w:rsid w:val="590969A2"/>
    <w:rsid w:val="590D7AE9"/>
    <w:rsid w:val="59147184"/>
    <w:rsid w:val="591B0DCF"/>
    <w:rsid w:val="591F178C"/>
    <w:rsid w:val="59323080"/>
    <w:rsid w:val="59336A7B"/>
    <w:rsid w:val="59422965"/>
    <w:rsid w:val="59495E2B"/>
    <w:rsid w:val="594C31F9"/>
    <w:rsid w:val="5952374E"/>
    <w:rsid w:val="595A3C4F"/>
    <w:rsid w:val="595E0AC7"/>
    <w:rsid w:val="595F70F0"/>
    <w:rsid w:val="59604D74"/>
    <w:rsid w:val="5968062F"/>
    <w:rsid w:val="596F44B8"/>
    <w:rsid w:val="59777702"/>
    <w:rsid w:val="59886A06"/>
    <w:rsid w:val="59907338"/>
    <w:rsid w:val="599559E8"/>
    <w:rsid w:val="59960965"/>
    <w:rsid w:val="59974E05"/>
    <w:rsid w:val="59A13DC4"/>
    <w:rsid w:val="59A743DA"/>
    <w:rsid w:val="59AE6E8D"/>
    <w:rsid w:val="59B1352F"/>
    <w:rsid w:val="59B7220B"/>
    <w:rsid w:val="59BE35D6"/>
    <w:rsid w:val="59CF1242"/>
    <w:rsid w:val="59D01313"/>
    <w:rsid w:val="59E27183"/>
    <w:rsid w:val="59E52B4A"/>
    <w:rsid w:val="59E56370"/>
    <w:rsid w:val="59EC3BB9"/>
    <w:rsid w:val="59F100CA"/>
    <w:rsid w:val="59F1334E"/>
    <w:rsid w:val="59F705C5"/>
    <w:rsid w:val="5A002E8E"/>
    <w:rsid w:val="5A0C0B6B"/>
    <w:rsid w:val="5A0D214D"/>
    <w:rsid w:val="5A14757E"/>
    <w:rsid w:val="5A1E556C"/>
    <w:rsid w:val="5A2E6CC7"/>
    <w:rsid w:val="5A303F66"/>
    <w:rsid w:val="5A33532D"/>
    <w:rsid w:val="5A481A1C"/>
    <w:rsid w:val="5A5059E5"/>
    <w:rsid w:val="5A534DB0"/>
    <w:rsid w:val="5A584D94"/>
    <w:rsid w:val="5A5F1DD4"/>
    <w:rsid w:val="5A647BDD"/>
    <w:rsid w:val="5A685562"/>
    <w:rsid w:val="5A6F4387"/>
    <w:rsid w:val="5A743154"/>
    <w:rsid w:val="5A785436"/>
    <w:rsid w:val="5A855FDA"/>
    <w:rsid w:val="5A85681A"/>
    <w:rsid w:val="5A983CB3"/>
    <w:rsid w:val="5A9B35C1"/>
    <w:rsid w:val="5A9F3D19"/>
    <w:rsid w:val="5AAC1C06"/>
    <w:rsid w:val="5AAD4DCF"/>
    <w:rsid w:val="5AAE1602"/>
    <w:rsid w:val="5AB3021C"/>
    <w:rsid w:val="5AC1731B"/>
    <w:rsid w:val="5AC81FAD"/>
    <w:rsid w:val="5AC85F03"/>
    <w:rsid w:val="5ADF3707"/>
    <w:rsid w:val="5AE4385D"/>
    <w:rsid w:val="5AE858A8"/>
    <w:rsid w:val="5AE94F00"/>
    <w:rsid w:val="5AFA4EC0"/>
    <w:rsid w:val="5AFF67F1"/>
    <w:rsid w:val="5B0373F5"/>
    <w:rsid w:val="5B112C8E"/>
    <w:rsid w:val="5B122D03"/>
    <w:rsid w:val="5B1E422F"/>
    <w:rsid w:val="5B2F0A89"/>
    <w:rsid w:val="5B442CA4"/>
    <w:rsid w:val="5B56541C"/>
    <w:rsid w:val="5B5C5B5D"/>
    <w:rsid w:val="5B6C2C90"/>
    <w:rsid w:val="5B774B09"/>
    <w:rsid w:val="5BA02E96"/>
    <w:rsid w:val="5BA069F2"/>
    <w:rsid w:val="5BA2115D"/>
    <w:rsid w:val="5BB552E9"/>
    <w:rsid w:val="5BB871F6"/>
    <w:rsid w:val="5BBE3B33"/>
    <w:rsid w:val="5BC83200"/>
    <w:rsid w:val="5BC83994"/>
    <w:rsid w:val="5BD56B15"/>
    <w:rsid w:val="5BE81C11"/>
    <w:rsid w:val="5BEC30F5"/>
    <w:rsid w:val="5BFE3D37"/>
    <w:rsid w:val="5C016123"/>
    <w:rsid w:val="5C071932"/>
    <w:rsid w:val="5C0E465C"/>
    <w:rsid w:val="5C0F293C"/>
    <w:rsid w:val="5C100E22"/>
    <w:rsid w:val="5C205738"/>
    <w:rsid w:val="5C300C09"/>
    <w:rsid w:val="5C3B7A86"/>
    <w:rsid w:val="5C3E7462"/>
    <w:rsid w:val="5C4F3E3A"/>
    <w:rsid w:val="5C557E0D"/>
    <w:rsid w:val="5C5E7F64"/>
    <w:rsid w:val="5C655535"/>
    <w:rsid w:val="5C68135C"/>
    <w:rsid w:val="5C701F44"/>
    <w:rsid w:val="5C732653"/>
    <w:rsid w:val="5C74043D"/>
    <w:rsid w:val="5C856CEB"/>
    <w:rsid w:val="5C8B76A2"/>
    <w:rsid w:val="5C8C31B2"/>
    <w:rsid w:val="5C8F6EF8"/>
    <w:rsid w:val="5C977D72"/>
    <w:rsid w:val="5C9F314E"/>
    <w:rsid w:val="5CA90C0B"/>
    <w:rsid w:val="5CBC60F5"/>
    <w:rsid w:val="5CBF6196"/>
    <w:rsid w:val="5CC8698A"/>
    <w:rsid w:val="5CCA1E6F"/>
    <w:rsid w:val="5CCC42F3"/>
    <w:rsid w:val="5CCC5F1B"/>
    <w:rsid w:val="5CDA4F81"/>
    <w:rsid w:val="5CDB057C"/>
    <w:rsid w:val="5CDC70E7"/>
    <w:rsid w:val="5CE77F61"/>
    <w:rsid w:val="5CED5C02"/>
    <w:rsid w:val="5CFC4591"/>
    <w:rsid w:val="5D084F40"/>
    <w:rsid w:val="5D0C4C80"/>
    <w:rsid w:val="5D0D35F8"/>
    <w:rsid w:val="5D166841"/>
    <w:rsid w:val="5D171FD9"/>
    <w:rsid w:val="5D1A27D4"/>
    <w:rsid w:val="5D1B3AD0"/>
    <w:rsid w:val="5D1D209C"/>
    <w:rsid w:val="5D273B38"/>
    <w:rsid w:val="5D3720B4"/>
    <w:rsid w:val="5D375134"/>
    <w:rsid w:val="5D3F5FF8"/>
    <w:rsid w:val="5D485F08"/>
    <w:rsid w:val="5D486FBE"/>
    <w:rsid w:val="5D4C0510"/>
    <w:rsid w:val="5D4D6706"/>
    <w:rsid w:val="5D570AB1"/>
    <w:rsid w:val="5D5857F9"/>
    <w:rsid w:val="5D5977A1"/>
    <w:rsid w:val="5D597C2C"/>
    <w:rsid w:val="5D5A49B0"/>
    <w:rsid w:val="5D6166D5"/>
    <w:rsid w:val="5D656F59"/>
    <w:rsid w:val="5D6A06F2"/>
    <w:rsid w:val="5D6C73DF"/>
    <w:rsid w:val="5D701C98"/>
    <w:rsid w:val="5D703C54"/>
    <w:rsid w:val="5D740098"/>
    <w:rsid w:val="5D74046F"/>
    <w:rsid w:val="5D74085F"/>
    <w:rsid w:val="5D790D80"/>
    <w:rsid w:val="5D7C0CF2"/>
    <w:rsid w:val="5D7E2D63"/>
    <w:rsid w:val="5D82610C"/>
    <w:rsid w:val="5D877F6E"/>
    <w:rsid w:val="5D8F228E"/>
    <w:rsid w:val="5D916F3A"/>
    <w:rsid w:val="5DBA7C2A"/>
    <w:rsid w:val="5DC0337C"/>
    <w:rsid w:val="5DCB5BD9"/>
    <w:rsid w:val="5DCC537B"/>
    <w:rsid w:val="5DD25AD6"/>
    <w:rsid w:val="5DE31748"/>
    <w:rsid w:val="5DF41210"/>
    <w:rsid w:val="5DF530F9"/>
    <w:rsid w:val="5E047EC2"/>
    <w:rsid w:val="5E0B4875"/>
    <w:rsid w:val="5E113CE1"/>
    <w:rsid w:val="5E276DDA"/>
    <w:rsid w:val="5E322306"/>
    <w:rsid w:val="5E337A6C"/>
    <w:rsid w:val="5E343D6A"/>
    <w:rsid w:val="5E370932"/>
    <w:rsid w:val="5E39312E"/>
    <w:rsid w:val="5E3A5B4D"/>
    <w:rsid w:val="5E3D602F"/>
    <w:rsid w:val="5E4618E9"/>
    <w:rsid w:val="5E4749DA"/>
    <w:rsid w:val="5E4C4C10"/>
    <w:rsid w:val="5E4D492A"/>
    <w:rsid w:val="5E522294"/>
    <w:rsid w:val="5E524F38"/>
    <w:rsid w:val="5E5B0C96"/>
    <w:rsid w:val="5E5B614E"/>
    <w:rsid w:val="5E5B68C5"/>
    <w:rsid w:val="5E5E5FFA"/>
    <w:rsid w:val="5E655CD1"/>
    <w:rsid w:val="5E6E36B6"/>
    <w:rsid w:val="5E704BAA"/>
    <w:rsid w:val="5E7248A5"/>
    <w:rsid w:val="5E7A2056"/>
    <w:rsid w:val="5E826883"/>
    <w:rsid w:val="5E877E0D"/>
    <w:rsid w:val="5E960581"/>
    <w:rsid w:val="5E9B16F3"/>
    <w:rsid w:val="5EAD75B7"/>
    <w:rsid w:val="5EB34C8F"/>
    <w:rsid w:val="5EBE4A55"/>
    <w:rsid w:val="5EC2189B"/>
    <w:rsid w:val="5ED57CA2"/>
    <w:rsid w:val="5ED6097D"/>
    <w:rsid w:val="5ED645AC"/>
    <w:rsid w:val="5EDE6549"/>
    <w:rsid w:val="5EE33A1F"/>
    <w:rsid w:val="5EF0603F"/>
    <w:rsid w:val="5EF13A09"/>
    <w:rsid w:val="5F03450A"/>
    <w:rsid w:val="5F041E94"/>
    <w:rsid w:val="5F061114"/>
    <w:rsid w:val="5F092B01"/>
    <w:rsid w:val="5F0A304E"/>
    <w:rsid w:val="5F0B4F92"/>
    <w:rsid w:val="5F0B5CF5"/>
    <w:rsid w:val="5F125E59"/>
    <w:rsid w:val="5F175824"/>
    <w:rsid w:val="5F185629"/>
    <w:rsid w:val="5F212405"/>
    <w:rsid w:val="5F213667"/>
    <w:rsid w:val="5F2D5FCE"/>
    <w:rsid w:val="5F2D6667"/>
    <w:rsid w:val="5F345B26"/>
    <w:rsid w:val="5F385DC0"/>
    <w:rsid w:val="5F3C3E0D"/>
    <w:rsid w:val="5F6366B5"/>
    <w:rsid w:val="5F667F53"/>
    <w:rsid w:val="5F6710B6"/>
    <w:rsid w:val="5F6A7AA0"/>
    <w:rsid w:val="5F6D767D"/>
    <w:rsid w:val="5F6F1C50"/>
    <w:rsid w:val="5F735FCE"/>
    <w:rsid w:val="5F79000C"/>
    <w:rsid w:val="5F885A64"/>
    <w:rsid w:val="5F8C01EF"/>
    <w:rsid w:val="5F9E45F4"/>
    <w:rsid w:val="5FA11FC9"/>
    <w:rsid w:val="5FB011CE"/>
    <w:rsid w:val="5FBF25BC"/>
    <w:rsid w:val="5FC53848"/>
    <w:rsid w:val="5FCF0F5A"/>
    <w:rsid w:val="5FD228FB"/>
    <w:rsid w:val="5FD95E1C"/>
    <w:rsid w:val="5FE261F8"/>
    <w:rsid w:val="5FE36968"/>
    <w:rsid w:val="5FE404A9"/>
    <w:rsid w:val="5FE50FFD"/>
    <w:rsid w:val="5FE51333"/>
    <w:rsid w:val="5FF17062"/>
    <w:rsid w:val="5FF53085"/>
    <w:rsid w:val="5FF95393"/>
    <w:rsid w:val="600247DC"/>
    <w:rsid w:val="6008725C"/>
    <w:rsid w:val="600E7308"/>
    <w:rsid w:val="60197148"/>
    <w:rsid w:val="601D780C"/>
    <w:rsid w:val="60367925"/>
    <w:rsid w:val="60391310"/>
    <w:rsid w:val="60391B80"/>
    <w:rsid w:val="603A0266"/>
    <w:rsid w:val="60457B68"/>
    <w:rsid w:val="604931E0"/>
    <w:rsid w:val="60567FC7"/>
    <w:rsid w:val="60595175"/>
    <w:rsid w:val="605E621E"/>
    <w:rsid w:val="606257F5"/>
    <w:rsid w:val="60716BAF"/>
    <w:rsid w:val="60734625"/>
    <w:rsid w:val="607A288B"/>
    <w:rsid w:val="607B7A2E"/>
    <w:rsid w:val="607D4225"/>
    <w:rsid w:val="607F1367"/>
    <w:rsid w:val="60854409"/>
    <w:rsid w:val="60874625"/>
    <w:rsid w:val="608963EA"/>
    <w:rsid w:val="608F01E6"/>
    <w:rsid w:val="60900E51"/>
    <w:rsid w:val="6094066F"/>
    <w:rsid w:val="609806D5"/>
    <w:rsid w:val="609A3A96"/>
    <w:rsid w:val="60A056E7"/>
    <w:rsid w:val="60A22D76"/>
    <w:rsid w:val="60A94426"/>
    <w:rsid w:val="60BC2B39"/>
    <w:rsid w:val="60C63D86"/>
    <w:rsid w:val="60CE0A99"/>
    <w:rsid w:val="60D1764E"/>
    <w:rsid w:val="60D96636"/>
    <w:rsid w:val="60DA48D5"/>
    <w:rsid w:val="60DB04CD"/>
    <w:rsid w:val="60E117F4"/>
    <w:rsid w:val="60F64922"/>
    <w:rsid w:val="61014567"/>
    <w:rsid w:val="610712C2"/>
    <w:rsid w:val="610B64A6"/>
    <w:rsid w:val="61102738"/>
    <w:rsid w:val="61181721"/>
    <w:rsid w:val="611A41FB"/>
    <w:rsid w:val="611C0B82"/>
    <w:rsid w:val="611C2FBF"/>
    <w:rsid w:val="611D45A2"/>
    <w:rsid w:val="612B54E0"/>
    <w:rsid w:val="612D1104"/>
    <w:rsid w:val="612F2C85"/>
    <w:rsid w:val="614529F8"/>
    <w:rsid w:val="614D7D91"/>
    <w:rsid w:val="614E0C9F"/>
    <w:rsid w:val="61552DC0"/>
    <w:rsid w:val="6167582A"/>
    <w:rsid w:val="61697BC5"/>
    <w:rsid w:val="616D7B04"/>
    <w:rsid w:val="61757932"/>
    <w:rsid w:val="617A5F38"/>
    <w:rsid w:val="617C560D"/>
    <w:rsid w:val="6182240A"/>
    <w:rsid w:val="6185087E"/>
    <w:rsid w:val="61864FC6"/>
    <w:rsid w:val="618B36A5"/>
    <w:rsid w:val="619D0D68"/>
    <w:rsid w:val="619D39D4"/>
    <w:rsid w:val="619E0C3E"/>
    <w:rsid w:val="61AF5522"/>
    <w:rsid w:val="61B31169"/>
    <w:rsid w:val="61B34A50"/>
    <w:rsid w:val="61C22053"/>
    <w:rsid w:val="61C52780"/>
    <w:rsid w:val="61CB3713"/>
    <w:rsid w:val="61CD165F"/>
    <w:rsid w:val="61D03A37"/>
    <w:rsid w:val="61E860BF"/>
    <w:rsid w:val="61EB5299"/>
    <w:rsid w:val="61EE67B9"/>
    <w:rsid w:val="61FC202D"/>
    <w:rsid w:val="620579B7"/>
    <w:rsid w:val="621168AD"/>
    <w:rsid w:val="621F4188"/>
    <w:rsid w:val="62285994"/>
    <w:rsid w:val="622F0AD0"/>
    <w:rsid w:val="62306A78"/>
    <w:rsid w:val="623406A6"/>
    <w:rsid w:val="623A3FEB"/>
    <w:rsid w:val="623A606B"/>
    <w:rsid w:val="623C31ED"/>
    <w:rsid w:val="6252443B"/>
    <w:rsid w:val="62596493"/>
    <w:rsid w:val="62656D75"/>
    <w:rsid w:val="627172DD"/>
    <w:rsid w:val="62764C5F"/>
    <w:rsid w:val="627973F7"/>
    <w:rsid w:val="627A215D"/>
    <w:rsid w:val="627A3766"/>
    <w:rsid w:val="627F6034"/>
    <w:rsid w:val="628870E6"/>
    <w:rsid w:val="628E1212"/>
    <w:rsid w:val="62915E31"/>
    <w:rsid w:val="62944DD7"/>
    <w:rsid w:val="62965FDD"/>
    <w:rsid w:val="629C4C96"/>
    <w:rsid w:val="62A96778"/>
    <w:rsid w:val="62A96BAB"/>
    <w:rsid w:val="62B456D0"/>
    <w:rsid w:val="62B90860"/>
    <w:rsid w:val="62BB6AB1"/>
    <w:rsid w:val="62C72878"/>
    <w:rsid w:val="62C95C4A"/>
    <w:rsid w:val="62D463EF"/>
    <w:rsid w:val="62EC7D19"/>
    <w:rsid w:val="62F21146"/>
    <w:rsid w:val="62F31AFE"/>
    <w:rsid w:val="62F55E9B"/>
    <w:rsid w:val="62F66A22"/>
    <w:rsid w:val="62F775D9"/>
    <w:rsid w:val="62F82823"/>
    <w:rsid w:val="63041F5D"/>
    <w:rsid w:val="630A141D"/>
    <w:rsid w:val="63146601"/>
    <w:rsid w:val="631C3B6A"/>
    <w:rsid w:val="631F3D06"/>
    <w:rsid w:val="63200C00"/>
    <w:rsid w:val="6321513D"/>
    <w:rsid w:val="63223B87"/>
    <w:rsid w:val="63267683"/>
    <w:rsid w:val="632B5EAD"/>
    <w:rsid w:val="632D79B8"/>
    <w:rsid w:val="63304B00"/>
    <w:rsid w:val="63343C95"/>
    <w:rsid w:val="63370B3E"/>
    <w:rsid w:val="633B5253"/>
    <w:rsid w:val="634D68BA"/>
    <w:rsid w:val="634F07DE"/>
    <w:rsid w:val="63517A47"/>
    <w:rsid w:val="635363B2"/>
    <w:rsid w:val="635A1B7D"/>
    <w:rsid w:val="637A7B03"/>
    <w:rsid w:val="637D0184"/>
    <w:rsid w:val="6382440E"/>
    <w:rsid w:val="63921CC6"/>
    <w:rsid w:val="63927568"/>
    <w:rsid w:val="6394435C"/>
    <w:rsid w:val="63972DD1"/>
    <w:rsid w:val="639A19A1"/>
    <w:rsid w:val="63A10F12"/>
    <w:rsid w:val="63AA1853"/>
    <w:rsid w:val="63B514A9"/>
    <w:rsid w:val="63BE4BB8"/>
    <w:rsid w:val="63C4349A"/>
    <w:rsid w:val="63CB4253"/>
    <w:rsid w:val="63DC39AD"/>
    <w:rsid w:val="63EB4ECB"/>
    <w:rsid w:val="63F0603D"/>
    <w:rsid w:val="63F50CB3"/>
    <w:rsid w:val="63F66E21"/>
    <w:rsid w:val="6402109E"/>
    <w:rsid w:val="640506F4"/>
    <w:rsid w:val="640935C9"/>
    <w:rsid w:val="6411126E"/>
    <w:rsid w:val="64134455"/>
    <w:rsid w:val="6414260D"/>
    <w:rsid w:val="64234664"/>
    <w:rsid w:val="642910AB"/>
    <w:rsid w:val="642C28A1"/>
    <w:rsid w:val="64465F91"/>
    <w:rsid w:val="644C46C0"/>
    <w:rsid w:val="645303C8"/>
    <w:rsid w:val="6459506F"/>
    <w:rsid w:val="646F78AA"/>
    <w:rsid w:val="64803962"/>
    <w:rsid w:val="648F3AA8"/>
    <w:rsid w:val="649064D1"/>
    <w:rsid w:val="649955B7"/>
    <w:rsid w:val="64A10028"/>
    <w:rsid w:val="64A31301"/>
    <w:rsid w:val="64AD71C6"/>
    <w:rsid w:val="64B74ABF"/>
    <w:rsid w:val="64C65EE7"/>
    <w:rsid w:val="64C82026"/>
    <w:rsid w:val="64C8677E"/>
    <w:rsid w:val="64CC0E20"/>
    <w:rsid w:val="64CD43FF"/>
    <w:rsid w:val="64DC3A26"/>
    <w:rsid w:val="64E66279"/>
    <w:rsid w:val="64EE6A20"/>
    <w:rsid w:val="64F605BC"/>
    <w:rsid w:val="64FD6691"/>
    <w:rsid w:val="65014F88"/>
    <w:rsid w:val="65026507"/>
    <w:rsid w:val="650457E5"/>
    <w:rsid w:val="65063F6A"/>
    <w:rsid w:val="650F53EA"/>
    <w:rsid w:val="65130B16"/>
    <w:rsid w:val="6514281F"/>
    <w:rsid w:val="651977CB"/>
    <w:rsid w:val="651E4B62"/>
    <w:rsid w:val="652B5DE3"/>
    <w:rsid w:val="652D1776"/>
    <w:rsid w:val="65376EAC"/>
    <w:rsid w:val="65377DF6"/>
    <w:rsid w:val="653A78C9"/>
    <w:rsid w:val="65433133"/>
    <w:rsid w:val="65495F14"/>
    <w:rsid w:val="654D5C91"/>
    <w:rsid w:val="657B4ED5"/>
    <w:rsid w:val="657F014C"/>
    <w:rsid w:val="65804604"/>
    <w:rsid w:val="658422EA"/>
    <w:rsid w:val="658B3D0B"/>
    <w:rsid w:val="659155FE"/>
    <w:rsid w:val="65920BF5"/>
    <w:rsid w:val="6597768B"/>
    <w:rsid w:val="659A2704"/>
    <w:rsid w:val="65A45331"/>
    <w:rsid w:val="65AA4A31"/>
    <w:rsid w:val="65B24DCF"/>
    <w:rsid w:val="65B30982"/>
    <w:rsid w:val="65C5663F"/>
    <w:rsid w:val="65C864B9"/>
    <w:rsid w:val="65D335CC"/>
    <w:rsid w:val="65DF2C20"/>
    <w:rsid w:val="65F95C76"/>
    <w:rsid w:val="65FF2854"/>
    <w:rsid w:val="66010A5C"/>
    <w:rsid w:val="66066C28"/>
    <w:rsid w:val="660A1DEF"/>
    <w:rsid w:val="66246874"/>
    <w:rsid w:val="662719CE"/>
    <w:rsid w:val="66341835"/>
    <w:rsid w:val="66363D67"/>
    <w:rsid w:val="663D3543"/>
    <w:rsid w:val="664D3C1B"/>
    <w:rsid w:val="66592E1F"/>
    <w:rsid w:val="665E09E7"/>
    <w:rsid w:val="66621261"/>
    <w:rsid w:val="66747CBB"/>
    <w:rsid w:val="66776320"/>
    <w:rsid w:val="667C1E0A"/>
    <w:rsid w:val="66812ECB"/>
    <w:rsid w:val="66826F90"/>
    <w:rsid w:val="66862999"/>
    <w:rsid w:val="6686355C"/>
    <w:rsid w:val="668B00F7"/>
    <w:rsid w:val="668D287D"/>
    <w:rsid w:val="669440DA"/>
    <w:rsid w:val="669A027A"/>
    <w:rsid w:val="669E446B"/>
    <w:rsid w:val="66A73712"/>
    <w:rsid w:val="66A906B6"/>
    <w:rsid w:val="66AA4BC9"/>
    <w:rsid w:val="66B5531C"/>
    <w:rsid w:val="66BC5FE0"/>
    <w:rsid w:val="66C4119C"/>
    <w:rsid w:val="66C97142"/>
    <w:rsid w:val="66CB25C9"/>
    <w:rsid w:val="66CF1B8D"/>
    <w:rsid w:val="66D62754"/>
    <w:rsid w:val="66DA55F0"/>
    <w:rsid w:val="66DA5B19"/>
    <w:rsid w:val="66DE47FA"/>
    <w:rsid w:val="66E10F0E"/>
    <w:rsid w:val="66E368F2"/>
    <w:rsid w:val="66EA022B"/>
    <w:rsid w:val="66F66E42"/>
    <w:rsid w:val="66FC2F4B"/>
    <w:rsid w:val="670502E0"/>
    <w:rsid w:val="670856BE"/>
    <w:rsid w:val="6714548F"/>
    <w:rsid w:val="671B5AC7"/>
    <w:rsid w:val="67227736"/>
    <w:rsid w:val="673B0515"/>
    <w:rsid w:val="673C04DF"/>
    <w:rsid w:val="674617FC"/>
    <w:rsid w:val="67593538"/>
    <w:rsid w:val="675B142D"/>
    <w:rsid w:val="676254A4"/>
    <w:rsid w:val="67714507"/>
    <w:rsid w:val="6773320D"/>
    <w:rsid w:val="677A0EB9"/>
    <w:rsid w:val="67801DCE"/>
    <w:rsid w:val="67900263"/>
    <w:rsid w:val="67986253"/>
    <w:rsid w:val="67A05445"/>
    <w:rsid w:val="67A3717C"/>
    <w:rsid w:val="67A930D3"/>
    <w:rsid w:val="67B2129E"/>
    <w:rsid w:val="67B304D6"/>
    <w:rsid w:val="67BA7125"/>
    <w:rsid w:val="67C676F4"/>
    <w:rsid w:val="67C94F71"/>
    <w:rsid w:val="67CA02E7"/>
    <w:rsid w:val="67CC04A8"/>
    <w:rsid w:val="67D21AAD"/>
    <w:rsid w:val="67DF6AF4"/>
    <w:rsid w:val="67E95C9E"/>
    <w:rsid w:val="67FA1F52"/>
    <w:rsid w:val="67FB209D"/>
    <w:rsid w:val="67FB439B"/>
    <w:rsid w:val="68070D0D"/>
    <w:rsid w:val="681749C9"/>
    <w:rsid w:val="68221581"/>
    <w:rsid w:val="68247F19"/>
    <w:rsid w:val="682843BC"/>
    <w:rsid w:val="682963AF"/>
    <w:rsid w:val="6832790E"/>
    <w:rsid w:val="683A4965"/>
    <w:rsid w:val="683B72C7"/>
    <w:rsid w:val="683E676D"/>
    <w:rsid w:val="683F324E"/>
    <w:rsid w:val="684073FF"/>
    <w:rsid w:val="68444BA9"/>
    <w:rsid w:val="684F7D45"/>
    <w:rsid w:val="685847A6"/>
    <w:rsid w:val="685B3653"/>
    <w:rsid w:val="685E3EBD"/>
    <w:rsid w:val="685F7C35"/>
    <w:rsid w:val="68607A50"/>
    <w:rsid w:val="68735350"/>
    <w:rsid w:val="6878182D"/>
    <w:rsid w:val="688A1DD4"/>
    <w:rsid w:val="689478DF"/>
    <w:rsid w:val="689653F1"/>
    <w:rsid w:val="689C49E5"/>
    <w:rsid w:val="68A048E8"/>
    <w:rsid w:val="68B65489"/>
    <w:rsid w:val="68BC7338"/>
    <w:rsid w:val="68C16D20"/>
    <w:rsid w:val="68D0468F"/>
    <w:rsid w:val="68F91777"/>
    <w:rsid w:val="69025709"/>
    <w:rsid w:val="6908719C"/>
    <w:rsid w:val="690A0160"/>
    <w:rsid w:val="690D2B74"/>
    <w:rsid w:val="690E584F"/>
    <w:rsid w:val="69112CDD"/>
    <w:rsid w:val="69165CFB"/>
    <w:rsid w:val="69167590"/>
    <w:rsid w:val="692017AF"/>
    <w:rsid w:val="6922789C"/>
    <w:rsid w:val="692816C8"/>
    <w:rsid w:val="693370F8"/>
    <w:rsid w:val="693C5376"/>
    <w:rsid w:val="694B46D8"/>
    <w:rsid w:val="694D0DFC"/>
    <w:rsid w:val="694E2184"/>
    <w:rsid w:val="6951757E"/>
    <w:rsid w:val="695232F6"/>
    <w:rsid w:val="6956755A"/>
    <w:rsid w:val="69587BAB"/>
    <w:rsid w:val="695B5072"/>
    <w:rsid w:val="695D4726"/>
    <w:rsid w:val="696002CD"/>
    <w:rsid w:val="69615E07"/>
    <w:rsid w:val="69684182"/>
    <w:rsid w:val="69746EBF"/>
    <w:rsid w:val="6975049D"/>
    <w:rsid w:val="69845BA5"/>
    <w:rsid w:val="698D0D6B"/>
    <w:rsid w:val="698F190A"/>
    <w:rsid w:val="699B61AF"/>
    <w:rsid w:val="699C4D69"/>
    <w:rsid w:val="69A72C8C"/>
    <w:rsid w:val="69B606F3"/>
    <w:rsid w:val="69BA0FBF"/>
    <w:rsid w:val="69C2222A"/>
    <w:rsid w:val="69C26285"/>
    <w:rsid w:val="69D17943"/>
    <w:rsid w:val="69E00DDC"/>
    <w:rsid w:val="69E06B54"/>
    <w:rsid w:val="69E42F00"/>
    <w:rsid w:val="69E65365"/>
    <w:rsid w:val="69E66C3A"/>
    <w:rsid w:val="69EB462C"/>
    <w:rsid w:val="69F21389"/>
    <w:rsid w:val="6A0643D8"/>
    <w:rsid w:val="6A0740E0"/>
    <w:rsid w:val="6A0C3D9D"/>
    <w:rsid w:val="6A0E6818"/>
    <w:rsid w:val="6A1C1987"/>
    <w:rsid w:val="6A1F3F5B"/>
    <w:rsid w:val="6A201ECE"/>
    <w:rsid w:val="6A3E3FCD"/>
    <w:rsid w:val="6A475A47"/>
    <w:rsid w:val="6A4D56EB"/>
    <w:rsid w:val="6A4F3C09"/>
    <w:rsid w:val="6A564342"/>
    <w:rsid w:val="6A614F9A"/>
    <w:rsid w:val="6A693E8A"/>
    <w:rsid w:val="6A6A6C06"/>
    <w:rsid w:val="6A70612A"/>
    <w:rsid w:val="6A764D92"/>
    <w:rsid w:val="6A7774B8"/>
    <w:rsid w:val="6A8C4098"/>
    <w:rsid w:val="6A9A6BE2"/>
    <w:rsid w:val="6A9F1E8E"/>
    <w:rsid w:val="6AA17436"/>
    <w:rsid w:val="6AA3335B"/>
    <w:rsid w:val="6AA61883"/>
    <w:rsid w:val="6AA67923"/>
    <w:rsid w:val="6ABD602F"/>
    <w:rsid w:val="6AC32BA3"/>
    <w:rsid w:val="6AC475A4"/>
    <w:rsid w:val="6ADC37BF"/>
    <w:rsid w:val="6AE10A49"/>
    <w:rsid w:val="6AEF520E"/>
    <w:rsid w:val="6AF2141B"/>
    <w:rsid w:val="6AF465E9"/>
    <w:rsid w:val="6AF87310"/>
    <w:rsid w:val="6AFC0AFD"/>
    <w:rsid w:val="6AFD353C"/>
    <w:rsid w:val="6B010360"/>
    <w:rsid w:val="6B016D82"/>
    <w:rsid w:val="6B056872"/>
    <w:rsid w:val="6B081A11"/>
    <w:rsid w:val="6B090DD8"/>
    <w:rsid w:val="6B0A37EF"/>
    <w:rsid w:val="6B0E2C67"/>
    <w:rsid w:val="6B0F3C47"/>
    <w:rsid w:val="6B287567"/>
    <w:rsid w:val="6B2B150B"/>
    <w:rsid w:val="6B2B3DFF"/>
    <w:rsid w:val="6B2C25D2"/>
    <w:rsid w:val="6B2E4973"/>
    <w:rsid w:val="6B2E5818"/>
    <w:rsid w:val="6B36165F"/>
    <w:rsid w:val="6B3C19A7"/>
    <w:rsid w:val="6B420181"/>
    <w:rsid w:val="6B42071E"/>
    <w:rsid w:val="6B4E3176"/>
    <w:rsid w:val="6B512376"/>
    <w:rsid w:val="6B5670CE"/>
    <w:rsid w:val="6B6123A4"/>
    <w:rsid w:val="6B6B179C"/>
    <w:rsid w:val="6B714110"/>
    <w:rsid w:val="6B7271A6"/>
    <w:rsid w:val="6B7672E9"/>
    <w:rsid w:val="6B827EC3"/>
    <w:rsid w:val="6B8511EC"/>
    <w:rsid w:val="6B936485"/>
    <w:rsid w:val="6B9A7588"/>
    <w:rsid w:val="6B9C1B7F"/>
    <w:rsid w:val="6BA8560F"/>
    <w:rsid w:val="6BA936A1"/>
    <w:rsid w:val="6BBA1B4A"/>
    <w:rsid w:val="6BBD6DD1"/>
    <w:rsid w:val="6BC65971"/>
    <w:rsid w:val="6BDD79CE"/>
    <w:rsid w:val="6BE2312B"/>
    <w:rsid w:val="6BE90BC5"/>
    <w:rsid w:val="6BEA5003"/>
    <w:rsid w:val="6BFC2A08"/>
    <w:rsid w:val="6C0B435C"/>
    <w:rsid w:val="6C15286E"/>
    <w:rsid w:val="6C1708FB"/>
    <w:rsid w:val="6C233D25"/>
    <w:rsid w:val="6C26367E"/>
    <w:rsid w:val="6C2737C9"/>
    <w:rsid w:val="6C325A01"/>
    <w:rsid w:val="6C372B59"/>
    <w:rsid w:val="6C384A25"/>
    <w:rsid w:val="6C486A54"/>
    <w:rsid w:val="6C506213"/>
    <w:rsid w:val="6C553829"/>
    <w:rsid w:val="6C5820DA"/>
    <w:rsid w:val="6C591DFF"/>
    <w:rsid w:val="6C7227EB"/>
    <w:rsid w:val="6C7C57CC"/>
    <w:rsid w:val="6C7D7620"/>
    <w:rsid w:val="6C8859AD"/>
    <w:rsid w:val="6C8A198E"/>
    <w:rsid w:val="6C910B40"/>
    <w:rsid w:val="6C9977AE"/>
    <w:rsid w:val="6CA03A9E"/>
    <w:rsid w:val="6CA24DFB"/>
    <w:rsid w:val="6CA91F70"/>
    <w:rsid w:val="6CA94EA3"/>
    <w:rsid w:val="6CB33D8F"/>
    <w:rsid w:val="6CB86BB6"/>
    <w:rsid w:val="6CBC371C"/>
    <w:rsid w:val="6CBF0A89"/>
    <w:rsid w:val="6CC75EB1"/>
    <w:rsid w:val="6CD504C6"/>
    <w:rsid w:val="6CD574E0"/>
    <w:rsid w:val="6CD72E43"/>
    <w:rsid w:val="6CDB53AB"/>
    <w:rsid w:val="6CE1226A"/>
    <w:rsid w:val="6CE450B3"/>
    <w:rsid w:val="6CE51C57"/>
    <w:rsid w:val="6CE54246"/>
    <w:rsid w:val="6CED1CB3"/>
    <w:rsid w:val="6CFB4D8C"/>
    <w:rsid w:val="6CFF29AE"/>
    <w:rsid w:val="6D015C30"/>
    <w:rsid w:val="6D142D9C"/>
    <w:rsid w:val="6D1A174C"/>
    <w:rsid w:val="6D1A328A"/>
    <w:rsid w:val="6D24644D"/>
    <w:rsid w:val="6D332C0D"/>
    <w:rsid w:val="6D343522"/>
    <w:rsid w:val="6D350E49"/>
    <w:rsid w:val="6D3D2E50"/>
    <w:rsid w:val="6D40307C"/>
    <w:rsid w:val="6D4B0F0A"/>
    <w:rsid w:val="6D5121A8"/>
    <w:rsid w:val="6D5E36BC"/>
    <w:rsid w:val="6D5E670D"/>
    <w:rsid w:val="6D663D3C"/>
    <w:rsid w:val="6D681269"/>
    <w:rsid w:val="6D68758C"/>
    <w:rsid w:val="6D695227"/>
    <w:rsid w:val="6D735616"/>
    <w:rsid w:val="6D853C9A"/>
    <w:rsid w:val="6D9043F0"/>
    <w:rsid w:val="6D912A87"/>
    <w:rsid w:val="6D99098F"/>
    <w:rsid w:val="6DB86DEC"/>
    <w:rsid w:val="6DBB4AEC"/>
    <w:rsid w:val="6DBC5035"/>
    <w:rsid w:val="6DC5053A"/>
    <w:rsid w:val="6DC75C60"/>
    <w:rsid w:val="6DD07465"/>
    <w:rsid w:val="6DD356FC"/>
    <w:rsid w:val="6DD904E2"/>
    <w:rsid w:val="6DD96A74"/>
    <w:rsid w:val="6DDB7D5E"/>
    <w:rsid w:val="6DE035C6"/>
    <w:rsid w:val="6DE51248"/>
    <w:rsid w:val="6DF232C5"/>
    <w:rsid w:val="6DF94BA5"/>
    <w:rsid w:val="6E1115C9"/>
    <w:rsid w:val="6E111BFC"/>
    <w:rsid w:val="6E14501E"/>
    <w:rsid w:val="6E183C2D"/>
    <w:rsid w:val="6E19056B"/>
    <w:rsid w:val="6E1B1568"/>
    <w:rsid w:val="6E1D39B2"/>
    <w:rsid w:val="6E2C2368"/>
    <w:rsid w:val="6E2F79D0"/>
    <w:rsid w:val="6E310AF3"/>
    <w:rsid w:val="6E401E19"/>
    <w:rsid w:val="6E4A3873"/>
    <w:rsid w:val="6E4A79EC"/>
    <w:rsid w:val="6E511637"/>
    <w:rsid w:val="6E5378F4"/>
    <w:rsid w:val="6E5C5B88"/>
    <w:rsid w:val="6E5F098F"/>
    <w:rsid w:val="6E646091"/>
    <w:rsid w:val="6E677844"/>
    <w:rsid w:val="6E753D14"/>
    <w:rsid w:val="6E8C4BC7"/>
    <w:rsid w:val="6E8E3516"/>
    <w:rsid w:val="6E8F17C4"/>
    <w:rsid w:val="6E9B1EE4"/>
    <w:rsid w:val="6E9E4CFD"/>
    <w:rsid w:val="6EA32411"/>
    <w:rsid w:val="6EA90A6B"/>
    <w:rsid w:val="6EB81533"/>
    <w:rsid w:val="6EC66FF4"/>
    <w:rsid w:val="6EC739C6"/>
    <w:rsid w:val="6EC831B6"/>
    <w:rsid w:val="6ED15C70"/>
    <w:rsid w:val="6EDC2B65"/>
    <w:rsid w:val="6EE45F53"/>
    <w:rsid w:val="6EE472EE"/>
    <w:rsid w:val="6EE9748D"/>
    <w:rsid w:val="6EF15FC2"/>
    <w:rsid w:val="6EF240B3"/>
    <w:rsid w:val="6EF84733"/>
    <w:rsid w:val="6EFA00FB"/>
    <w:rsid w:val="6EFE1F56"/>
    <w:rsid w:val="6EFF1A27"/>
    <w:rsid w:val="6F0913C2"/>
    <w:rsid w:val="6F1572A0"/>
    <w:rsid w:val="6F1A2552"/>
    <w:rsid w:val="6F1C6503"/>
    <w:rsid w:val="6F204BBE"/>
    <w:rsid w:val="6F3557B4"/>
    <w:rsid w:val="6F431544"/>
    <w:rsid w:val="6F5E29F5"/>
    <w:rsid w:val="6F6124E5"/>
    <w:rsid w:val="6F620D8B"/>
    <w:rsid w:val="6F6406E9"/>
    <w:rsid w:val="6F6B5112"/>
    <w:rsid w:val="6F6E1394"/>
    <w:rsid w:val="6F887A72"/>
    <w:rsid w:val="6F891CC2"/>
    <w:rsid w:val="6F8B5F4F"/>
    <w:rsid w:val="6F8B6E2B"/>
    <w:rsid w:val="6F922BD0"/>
    <w:rsid w:val="6F955E4D"/>
    <w:rsid w:val="6F971009"/>
    <w:rsid w:val="6FAF467D"/>
    <w:rsid w:val="6FB15530"/>
    <w:rsid w:val="6FBD4FD2"/>
    <w:rsid w:val="6FC56BB6"/>
    <w:rsid w:val="6FCA3CC2"/>
    <w:rsid w:val="6FD26F3F"/>
    <w:rsid w:val="6FE7389E"/>
    <w:rsid w:val="700213AA"/>
    <w:rsid w:val="70070BC1"/>
    <w:rsid w:val="70072C38"/>
    <w:rsid w:val="7009239D"/>
    <w:rsid w:val="701134DF"/>
    <w:rsid w:val="70147557"/>
    <w:rsid w:val="701538DC"/>
    <w:rsid w:val="70194305"/>
    <w:rsid w:val="702E686B"/>
    <w:rsid w:val="702F2BEB"/>
    <w:rsid w:val="704E7109"/>
    <w:rsid w:val="705050E2"/>
    <w:rsid w:val="70545BA6"/>
    <w:rsid w:val="705736D5"/>
    <w:rsid w:val="705817E9"/>
    <w:rsid w:val="70597124"/>
    <w:rsid w:val="70611B1D"/>
    <w:rsid w:val="70663E42"/>
    <w:rsid w:val="70694748"/>
    <w:rsid w:val="706A6708"/>
    <w:rsid w:val="706D1692"/>
    <w:rsid w:val="706D1B66"/>
    <w:rsid w:val="707029DF"/>
    <w:rsid w:val="70726C6C"/>
    <w:rsid w:val="70732AB4"/>
    <w:rsid w:val="707B6977"/>
    <w:rsid w:val="707F2C23"/>
    <w:rsid w:val="707F7D3C"/>
    <w:rsid w:val="708104E7"/>
    <w:rsid w:val="708741CD"/>
    <w:rsid w:val="70885AD4"/>
    <w:rsid w:val="709A03B2"/>
    <w:rsid w:val="70A56BA2"/>
    <w:rsid w:val="70B806A8"/>
    <w:rsid w:val="70C04FE9"/>
    <w:rsid w:val="70CA187B"/>
    <w:rsid w:val="70CA43F2"/>
    <w:rsid w:val="70CC012A"/>
    <w:rsid w:val="70CE15EF"/>
    <w:rsid w:val="70F47941"/>
    <w:rsid w:val="70FB16EF"/>
    <w:rsid w:val="70FE417A"/>
    <w:rsid w:val="71002D1A"/>
    <w:rsid w:val="711733E6"/>
    <w:rsid w:val="711D6F50"/>
    <w:rsid w:val="7128128D"/>
    <w:rsid w:val="712A74F5"/>
    <w:rsid w:val="712E54BC"/>
    <w:rsid w:val="712F7A18"/>
    <w:rsid w:val="71335605"/>
    <w:rsid w:val="71381023"/>
    <w:rsid w:val="713B7169"/>
    <w:rsid w:val="713D45E0"/>
    <w:rsid w:val="714B1227"/>
    <w:rsid w:val="714E687A"/>
    <w:rsid w:val="715414DE"/>
    <w:rsid w:val="71583F14"/>
    <w:rsid w:val="715947F6"/>
    <w:rsid w:val="715F0560"/>
    <w:rsid w:val="71707127"/>
    <w:rsid w:val="717856E2"/>
    <w:rsid w:val="71796B56"/>
    <w:rsid w:val="718B7B31"/>
    <w:rsid w:val="71933692"/>
    <w:rsid w:val="71A305D1"/>
    <w:rsid w:val="71AA0173"/>
    <w:rsid w:val="71AA5DA3"/>
    <w:rsid w:val="71B45453"/>
    <w:rsid w:val="71B92164"/>
    <w:rsid w:val="71BB05E7"/>
    <w:rsid w:val="71BD73C1"/>
    <w:rsid w:val="71BE49AA"/>
    <w:rsid w:val="71C241FE"/>
    <w:rsid w:val="71E202B2"/>
    <w:rsid w:val="71E65469"/>
    <w:rsid w:val="71F0612B"/>
    <w:rsid w:val="71FA2A6C"/>
    <w:rsid w:val="71FC445F"/>
    <w:rsid w:val="71FE3596"/>
    <w:rsid w:val="7203186D"/>
    <w:rsid w:val="72036B2E"/>
    <w:rsid w:val="72086AC0"/>
    <w:rsid w:val="720B7A5B"/>
    <w:rsid w:val="72120417"/>
    <w:rsid w:val="72174C47"/>
    <w:rsid w:val="72182B1B"/>
    <w:rsid w:val="721875BE"/>
    <w:rsid w:val="722F253E"/>
    <w:rsid w:val="72304D19"/>
    <w:rsid w:val="723A74D7"/>
    <w:rsid w:val="723F5C17"/>
    <w:rsid w:val="72420CF0"/>
    <w:rsid w:val="72493F16"/>
    <w:rsid w:val="72501A09"/>
    <w:rsid w:val="7251374B"/>
    <w:rsid w:val="72527D19"/>
    <w:rsid w:val="72592229"/>
    <w:rsid w:val="725A0553"/>
    <w:rsid w:val="726037CB"/>
    <w:rsid w:val="726037D8"/>
    <w:rsid w:val="726122D7"/>
    <w:rsid w:val="727073F5"/>
    <w:rsid w:val="72785122"/>
    <w:rsid w:val="72827749"/>
    <w:rsid w:val="72837336"/>
    <w:rsid w:val="728B07CD"/>
    <w:rsid w:val="72945AC2"/>
    <w:rsid w:val="72955C6D"/>
    <w:rsid w:val="72BA6483"/>
    <w:rsid w:val="72C74F6C"/>
    <w:rsid w:val="72C93C83"/>
    <w:rsid w:val="72CF6E90"/>
    <w:rsid w:val="72D44D11"/>
    <w:rsid w:val="72D52FCE"/>
    <w:rsid w:val="72D67313"/>
    <w:rsid w:val="72F076F2"/>
    <w:rsid w:val="72F65D3A"/>
    <w:rsid w:val="72F84FAC"/>
    <w:rsid w:val="730C5B99"/>
    <w:rsid w:val="730E682F"/>
    <w:rsid w:val="73150018"/>
    <w:rsid w:val="73193411"/>
    <w:rsid w:val="73193522"/>
    <w:rsid w:val="731D72B8"/>
    <w:rsid w:val="73210070"/>
    <w:rsid w:val="732F390A"/>
    <w:rsid w:val="7334011E"/>
    <w:rsid w:val="733A4C19"/>
    <w:rsid w:val="73506AF8"/>
    <w:rsid w:val="735D3D61"/>
    <w:rsid w:val="73622537"/>
    <w:rsid w:val="73685A65"/>
    <w:rsid w:val="736B07C0"/>
    <w:rsid w:val="738100B3"/>
    <w:rsid w:val="73812C97"/>
    <w:rsid w:val="73816234"/>
    <w:rsid w:val="738D3B5A"/>
    <w:rsid w:val="738E3E5B"/>
    <w:rsid w:val="739123A7"/>
    <w:rsid w:val="739172A7"/>
    <w:rsid w:val="739218F0"/>
    <w:rsid w:val="73922C6D"/>
    <w:rsid w:val="739339D3"/>
    <w:rsid w:val="739B5A13"/>
    <w:rsid w:val="739E14B5"/>
    <w:rsid w:val="73B0236C"/>
    <w:rsid w:val="73B623B1"/>
    <w:rsid w:val="73B67B0C"/>
    <w:rsid w:val="73B70782"/>
    <w:rsid w:val="73B974DB"/>
    <w:rsid w:val="73BA39AD"/>
    <w:rsid w:val="73C3768F"/>
    <w:rsid w:val="73C843C9"/>
    <w:rsid w:val="73CB43D1"/>
    <w:rsid w:val="73CC7445"/>
    <w:rsid w:val="73CD639B"/>
    <w:rsid w:val="73D61F49"/>
    <w:rsid w:val="73DA064A"/>
    <w:rsid w:val="73DB3B7B"/>
    <w:rsid w:val="73E57241"/>
    <w:rsid w:val="73E62FB9"/>
    <w:rsid w:val="73EA389E"/>
    <w:rsid w:val="73EF0D35"/>
    <w:rsid w:val="73EF4026"/>
    <w:rsid w:val="73F86655"/>
    <w:rsid w:val="73F90F3E"/>
    <w:rsid w:val="7400407A"/>
    <w:rsid w:val="740378EA"/>
    <w:rsid w:val="741F314E"/>
    <w:rsid w:val="742020C7"/>
    <w:rsid w:val="742E2270"/>
    <w:rsid w:val="742E4103"/>
    <w:rsid w:val="743E1047"/>
    <w:rsid w:val="744E225B"/>
    <w:rsid w:val="744F272C"/>
    <w:rsid w:val="745962A5"/>
    <w:rsid w:val="74633A4E"/>
    <w:rsid w:val="74687E72"/>
    <w:rsid w:val="746A7392"/>
    <w:rsid w:val="746F2EAF"/>
    <w:rsid w:val="74857A9D"/>
    <w:rsid w:val="749A44CF"/>
    <w:rsid w:val="749A7B4D"/>
    <w:rsid w:val="74AE7233"/>
    <w:rsid w:val="74AF0059"/>
    <w:rsid w:val="74B629E6"/>
    <w:rsid w:val="74BA1537"/>
    <w:rsid w:val="74BB50EA"/>
    <w:rsid w:val="74C2787E"/>
    <w:rsid w:val="74C432FA"/>
    <w:rsid w:val="74C50030"/>
    <w:rsid w:val="74D2645A"/>
    <w:rsid w:val="74D50889"/>
    <w:rsid w:val="74D52F61"/>
    <w:rsid w:val="74DA1D3D"/>
    <w:rsid w:val="74E6559D"/>
    <w:rsid w:val="74E86E44"/>
    <w:rsid w:val="74F23551"/>
    <w:rsid w:val="74FB5000"/>
    <w:rsid w:val="74FC0CE6"/>
    <w:rsid w:val="74FF4332"/>
    <w:rsid w:val="750D28FE"/>
    <w:rsid w:val="75144AC6"/>
    <w:rsid w:val="75194521"/>
    <w:rsid w:val="7519777C"/>
    <w:rsid w:val="751D3095"/>
    <w:rsid w:val="75204032"/>
    <w:rsid w:val="752244C4"/>
    <w:rsid w:val="752512F4"/>
    <w:rsid w:val="75267671"/>
    <w:rsid w:val="75267B11"/>
    <w:rsid w:val="75270609"/>
    <w:rsid w:val="752B1FF2"/>
    <w:rsid w:val="752D5343"/>
    <w:rsid w:val="7544268D"/>
    <w:rsid w:val="755A2B72"/>
    <w:rsid w:val="755D0D2B"/>
    <w:rsid w:val="755E10F9"/>
    <w:rsid w:val="756E7718"/>
    <w:rsid w:val="757271FA"/>
    <w:rsid w:val="757D14A9"/>
    <w:rsid w:val="75813567"/>
    <w:rsid w:val="758C6CFE"/>
    <w:rsid w:val="759219EE"/>
    <w:rsid w:val="75994786"/>
    <w:rsid w:val="75A01D8F"/>
    <w:rsid w:val="75A27F79"/>
    <w:rsid w:val="75A55E37"/>
    <w:rsid w:val="75A901E3"/>
    <w:rsid w:val="75AD0232"/>
    <w:rsid w:val="75AF3742"/>
    <w:rsid w:val="75B46B29"/>
    <w:rsid w:val="75B71DC3"/>
    <w:rsid w:val="75BA6752"/>
    <w:rsid w:val="75BE16AA"/>
    <w:rsid w:val="75D7705D"/>
    <w:rsid w:val="75D9424A"/>
    <w:rsid w:val="75DB18F1"/>
    <w:rsid w:val="75DD3634"/>
    <w:rsid w:val="75DF44C4"/>
    <w:rsid w:val="75E0133B"/>
    <w:rsid w:val="75E0306A"/>
    <w:rsid w:val="75E11C8A"/>
    <w:rsid w:val="75E83018"/>
    <w:rsid w:val="75EF3D9B"/>
    <w:rsid w:val="75F80355"/>
    <w:rsid w:val="760F5D58"/>
    <w:rsid w:val="76120095"/>
    <w:rsid w:val="76143465"/>
    <w:rsid w:val="761854BD"/>
    <w:rsid w:val="76252C69"/>
    <w:rsid w:val="76290B7A"/>
    <w:rsid w:val="762C55FB"/>
    <w:rsid w:val="7630496E"/>
    <w:rsid w:val="7641097A"/>
    <w:rsid w:val="76417BE2"/>
    <w:rsid w:val="76481D09"/>
    <w:rsid w:val="764A23C4"/>
    <w:rsid w:val="764C58E9"/>
    <w:rsid w:val="765608C9"/>
    <w:rsid w:val="76665036"/>
    <w:rsid w:val="766D664D"/>
    <w:rsid w:val="76775D4E"/>
    <w:rsid w:val="767825EE"/>
    <w:rsid w:val="76804F78"/>
    <w:rsid w:val="768858BC"/>
    <w:rsid w:val="76902F14"/>
    <w:rsid w:val="769C7C7E"/>
    <w:rsid w:val="76A24FD4"/>
    <w:rsid w:val="76A258BD"/>
    <w:rsid w:val="76A70860"/>
    <w:rsid w:val="76A800DD"/>
    <w:rsid w:val="76B34641"/>
    <w:rsid w:val="76B92C06"/>
    <w:rsid w:val="76BA4AF8"/>
    <w:rsid w:val="76BB072D"/>
    <w:rsid w:val="76BC0496"/>
    <w:rsid w:val="76C34DB8"/>
    <w:rsid w:val="76C43F7A"/>
    <w:rsid w:val="76C94E50"/>
    <w:rsid w:val="76CB4CC0"/>
    <w:rsid w:val="76CC10A5"/>
    <w:rsid w:val="76CF7C0F"/>
    <w:rsid w:val="76DF3444"/>
    <w:rsid w:val="76E00193"/>
    <w:rsid w:val="76E361C6"/>
    <w:rsid w:val="76E807A5"/>
    <w:rsid w:val="76EC4D8A"/>
    <w:rsid w:val="76FA22C3"/>
    <w:rsid w:val="77091307"/>
    <w:rsid w:val="770B40DD"/>
    <w:rsid w:val="7710649C"/>
    <w:rsid w:val="771272D9"/>
    <w:rsid w:val="77131073"/>
    <w:rsid w:val="77132317"/>
    <w:rsid w:val="771A5453"/>
    <w:rsid w:val="77291B3A"/>
    <w:rsid w:val="773E0434"/>
    <w:rsid w:val="775C740E"/>
    <w:rsid w:val="776500DC"/>
    <w:rsid w:val="776808AA"/>
    <w:rsid w:val="776F7D94"/>
    <w:rsid w:val="777162F5"/>
    <w:rsid w:val="777234E1"/>
    <w:rsid w:val="777F0445"/>
    <w:rsid w:val="77811976"/>
    <w:rsid w:val="77855270"/>
    <w:rsid w:val="77917566"/>
    <w:rsid w:val="77924A63"/>
    <w:rsid w:val="77980C36"/>
    <w:rsid w:val="77AD3E5F"/>
    <w:rsid w:val="77AE203F"/>
    <w:rsid w:val="77B070F5"/>
    <w:rsid w:val="77B37656"/>
    <w:rsid w:val="77B706CD"/>
    <w:rsid w:val="77BD79CB"/>
    <w:rsid w:val="77C548A4"/>
    <w:rsid w:val="77CD6969"/>
    <w:rsid w:val="77D33C17"/>
    <w:rsid w:val="77D53A70"/>
    <w:rsid w:val="77D9137B"/>
    <w:rsid w:val="77DDF789"/>
    <w:rsid w:val="77E15F71"/>
    <w:rsid w:val="77F9150C"/>
    <w:rsid w:val="77FA3B62"/>
    <w:rsid w:val="77FE3780"/>
    <w:rsid w:val="78081B9E"/>
    <w:rsid w:val="780A583E"/>
    <w:rsid w:val="780B45E9"/>
    <w:rsid w:val="780D4FB8"/>
    <w:rsid w:val="780F1DDF"/>
    <w:rsid w:val="780F4F04"/>
    <w:rsid w:val="78130F42"/>
    <w:rsid w:val="78160D21"/>
    <w:rsid w:val="781F3B0E"/>
    <w:rsid w:val="78292DFC"/>
    <w:rsid w:val="783B56B9"/>
    <w:rsid w:val="783D502D"/>
    <w:rsid w:val="784876FB"/>
    <w:rsid w:val="784D1858"/>
    <w:rsid w:val="78505F98"/>
    <w:rsid w:val="785B7921"/>
    <w:rsid w:val="78633F48"/>
    <w:rsid w:val="78764860"/>
    <w:rsid w:val="78771B09"/>
    <w:rsid w:val="7878110B"/>
    <w:rsid w:val="787D5FEB"/>
    <w:rsid w:val="787E75BC"/>
    <w:rsid w:val="788009DB"/>
    <w:rsid w:val="78866A85"/>
    <w:rsid w:val="78870DA3"/>
    <w:rsid w:val="78881BB8"/>
    <w:rsid w:val="788E24B4"/>
    <w:rsid w:val="789631FF"/>
    <w:rsid w:val="789A594C"/>
    <w:rsid w:val="789F48B4"/>
    <w:rsid w:val="78A34CEE"/>
    <w:rsid w:val="78A95856"/>
    <w:rsid w:val="78AD0450"/>
    <w:rsid w:val="78B673FD"/>
    <w:rsid w:val="78C63FF2"/>
    <w:rsid w:val="78CE7DC5"/>
    <w:rsid w:val="78D24D05"/>
    <w:rsid w:val="78E26444"/>
    <w:rsid w:val="78E42EB1"/>
    <w:rsid w:val="78E825EA"/>
    <w:rsid w:val="78ED78AC"/>
    <w:rsid w:val="78F05313"/>
    <w:rsid w:val="78F65A4C"/>
    <w:rsid w:val="78F82E19"/>
    <w:rsid w:val="78F96A17"/>
    <w:rsid w:val="78FB6065"/>
    <w:rsid w:val="790B0338"/>
    <w:rsid w:val="790E548B"/>
    <w:rsid w:val="791116AE"/>
    <w:rsid w:val="79153F9D"/>
    <w:rsid w:val="7917715F"/>
    <w:rsid w:val="791E07A5"/>
    <w:rsid w:val="792918C8"/>
    <w:rsid w:val="792F7D7E"/>
    <w:rsid w:val="79393E8E"/>
    <w:rsid w:val="793F7A76"/>
    <w:rsid w:val="794A0D94"/>
    <w:rsid w:val="794C28E1"/>
    <w:rsid w:val="794C378F"/>
    <w:rsid w:val="794F06AD"/>
    <w:rsid w:val="79552A43"/>
    <w:rsid w:val="795A04A1"/>
    <w:rsid w:val="795D123B"/>
    <w:rsid w:val="79612D3C"/>
    <w:rsid w:val="79653A72"/>
    <w:rsid w:val="79667075"/>
    <w:rsid w:val="796A036A"/>
    <w:rsid w:val="796C00F3"/>
    <w:rsid w:val="796F5AB3"/>
    <w:rsid w:val="79742119"/>
    <w:rsid w:val="797F457E"/>
    <w:rsid w:val="797F7819"/>
    <w:rsid w:val="798F63DB"/>
    <w:rsid w:val="7994068C"/>
    <w:rsid w:val="79A908B3"/>
    <w:rsid w:val="79A91767"/>
    <w:rsid w:val="79B076C9"/>
    <w:rsid w:val="79B41898"/>
    <w:rsid w:val="79BC285F"/>
    <w:rsid w:val="79C3292C"/>
    <w:rsid w:val="79C36276"/>
    <w:rsid w:val="79C52428"/>
    <w:rsid w:val="79C671F8"/>
    <w:rsid w:val="79C81249"/>
    <w:rsid w:val="79D5724C"/>
    <w:rsid w:val="79DE5593"/>
    <w:rsid w:val="79E32CF8"/>
    <w:rsid w:val="79ED6155"/>
    <w:rsid w:val="79F86834"/>
    <w:rsid w:val="79FA791C"/>
    <w:rsid w:val="79FC240C"/>
    <w:rsid w:val="79FE1404"/>
    <w:rsid w:val="7A037E18"/>
    <w:rsid w:val="7A04063C"/>
    <w:rsid w:val="7A073A33"/>
    <w:rsid w:val="7A093E3B"/>
    <w:rsid w:val="7A116E46"/>
    <w:rsid w:val="7A1268B5"/>
    <w:rsid w:val="7A165018"/>
    <w:rsid w:val="7A1D019D"/>
    <w:rsid w:val="7A1E16FE"/>
    <w:rsid w:val="7A1F656A"/>
    <w:rsid w:val="7A221AFF"/>
    <w:rsid w:val="7A28115E"/>
    <w:rsid w:val="7A2910F0"/>
    <w:rsid w:val="7A2D7A2E"/>
    <w:rsid w:val="7A3520BA"/>
    <w:rsid w:val="7A3A0B05"/>
    <w:rsid w:val="7A401675"/>
    <w:rsid w:val="7A4600FF"/>
    <w:rsid w:val="7A4D00A0"/>
    <w:rsid w:val="7A537B18"/>
    <w:rsid w:val="7A563656"/>
    <w:rsid w:val="7A5713C9"/>
    <w:rsid w:val="7A5A0928"/>
    <w:rsid w:val="7A5A0B8E"/>
    <w:rsid w:val="7A5B201D"/>
    <w:rsid w:val="7A6672E2"/>
    <w:rsid w:val="7A7A2406"/>
    <w:rsid w:val="7A7C2249"/>
    <w:rsid w:val="7A7F6A40"/>
    <w:rsid w:val="7A8377B3"/>
    <w:rsid w:val="7A8C1A6E"/>
    <w:rsid w:val="7A94551C"/>
    <w:rsid w:val="7AA360D0"/>
    <w:rsid w:val="7AA44CF6"/>
    <w:rsid w:val="7AA8721A"/>
    <w:rsid w:val="7AB21ABD"/>
    <w:rsid w:val="7AB84E03"/>
    <w:rsid w:val="7AC13D63"/>
    <w:rsid w:val="7AC548F2"/>
    <w:rsid w:val="7AC777A4"/>
    <w:rsid w:val="7ACA53E2"/>
    <w:rsid w:val="7ACF47A6"/>
    <w:rsid w:val="7AD226B6"/>
    <w:rsid w:val="7AD86C5D"/>
    <w:rsid w:val="7ADF0F3A"/>
    <w:rsid w:val="7ADF6716"/>
    <w:rsid w:val="7AEE3815"/>
    <w:rsid w:val="7AF216B7"/>
    <w:rsid w:val="7AFA3DF4"/>
    <w:rsid w:val="7AFB559C"/>
    <w:rsid w:val="7AFE6231"/>
    <w:rsid w:val="7B03097B"/>
    <w:rsid w:val="7B034450"/>
    <w:rsid w:val="7B087294"/>
    <w:rsid w:val="7B1775B2"/>
    <w:rsid w:val="7B28678A"/>
    <w:rsid w:val="7B2A6109"/>
    <w:rsid w:val="7B316FBD"/>
    <w:rsid w:val="7B367614"/>
    <w:rsid w:val="7B392ACF"/>
    <w:rsid w:val="7B3B3F75"/>
    <w:rsid w:val="7B407452"/>
    <w:rsid w:val="7B4849FC"/>
    <w:rsid w:val="7B4B1D08"/>
    <w:rsid w:val="7B537186"/>
    <w:rsid w:val="7B53799C"/>
    <w:rsid w:val="7B6307D6"/>
    <w:rsid w:val="7B641C73"/>
    <w:rsid w:val="7B6F601E"/>
    <w:rsid w:val="7B7A0A58"/>
    <w:rsid w:val="7B7A1330"/>
    <w:rsid w:val="7B7D2454"/>
    <w:rsid w:val="7B7F18A6"/>
    <w:rsid w:val="7B816507"/>
    <w:rsid w:val="7B853EC3"/>
    <w:rsid w:val="7B951F40"/>
    <w:rsid w:val="7B98103C"/>
    <w:rsid w:val="7B98728E"/>
    <w:rsid w:val="7BA1096B"/>
    <w:rsid w:val="7BA97403"/>
    <w:rsid w:val="7BB0282A"/>
    <w:rsid w:val="7BB73BB8"/>
    <w:rsid w:val="7BC32284"/>
    <w:rsid w:val="7BC51E3B"/>
    <w:rsid w:val="7BCA6D01"/>
    <w:rsid w:val="7BCB7956"/>
    <w:rsid w:val="7BCF46D0"/>
    <w:rsid w:val="7BDC4D21"/>
    <w:rsid w:val="7BE61DA8"/>
    <w:rsid w:val="7BE95272"/>
    <w:rsid w:val="7BF230FB"/>
    <w:rsid w:val="7BF36E1A"/>
    <w:rsid w:val="7BFC0690"/>
    <w:rsid w:val="7C026E1C"/>
    <w:rsid w:val="7C04652E"/>
    <w:rsid w:val="7C0830E5"/>
    <w:rsid w:val="7C087165"/>
    <w:rsid w:val="7C097E38"/>
    <w:rsid w:val="7C0B3F04"/>
    <w:rsid w:val="7C1032C9"/>
    <w:rsid w:val="7C122C89"/>
    <w:rsid w:val="7C1424C5"/>
    <w:rsid w:val="7C174657"/>
    <w:rsid w:val="7C17769E"/>
    <w:rsid w:val="7C2718A7"/>
    <w:rsid w:val="7C2B167F"/>
    <w:rsid w:val="7C2B563A"/>
    <w:rsid w:val="7C312254"/>
    <w:rsid w:val="7C324FAC"/>
    <w:rsid w:val="7C340013"/>
    <w:rsid w:val="7C3779DB"/>
    <w:rsid w:val="7C3F1111"/>
    <w:rsid w:val="7C43369E"/>
    <w:rsid w:val="7C5C3B84"/>
    <w:rsid w:val="7C5C40BF"/>
    <w:rsid w:val="7C60247E"/>
    <w:rsid w:val="7C621471"/>
    <w:rsid w:val="7C627D35"/>
    <w:rsid w:val="7C6D4277"/>
    <w:rsid w:val="7C6E7692"/>
    <w:rsid w:val="7C6F5210"/>
    <w:rsid w:val="7C713F97"/>
    <w:rsid w:val="7C761FBB"/>
    <w:rsid w:val="7C9551AD"/>
    <w:rsid w:val="7C9C57DD"/>
    <w:rsid w:val="7CA13DC3"/>
    <w:rsid w:val="7CA55A84"/>
    <w:rsid w:val="7CB40407"/>
    <w:rsid w:val="7CB54377"/>
    <w:rsid w:val="7CB74812"/>
    <w:rsid w:val="7CBA295C"/>
    <w:rsid w:val="7CCA0F78"/>
    <w:rsid w:val="7CD10CAA"/>
    <w:rsid w:val="7CD410F5"/>
    <w:rsid w:val="7CD65FF5"/>
    <w:rsid w:val="7CD95DB0"/>
    <w:rsid w:val="7CDC663F"/>
    <w:rsid w:val="7CE05980"/>
    <w:rsid w:val="7CE107C1"/>
    <w:rsid w:val="7CE30FDE"/>
    <w:rsid w:val="7CE63ACC"/>
    <w:rsid w:val="7CEB256D"/>
    <w:rsid w:val="7CF17AA4"/>
    <w:rsid w:val="7CF821A6"/>
    <w:rsid w:val="7D00333D"/>
    <w:rsid w:val="7D0B3B7E"/>
    <w:rsid w:val="7D176913"/>
    <w:rsid w:val="7D22341A"/>
    <w:rsid w:val="7D24777A"/>
    <w:rsid w:val="7D2C0172"/>
    <w:rsid w:val="7D3C56D4"/>
    <w:rsid w:val="7D3C77FC"/>
    <w:rsid w:val="7D4274B2"/>
    <w:rsid w:val="7D4638EC"/>
    <w:rsid w:val="7D53082A"/>
    <w:rsid w:val="7D531B02"/>
    <w:rsid w:val="7D5E7F19"/>
    <w:rsid w:val="7D636E77"/>
    <w:rsid w:val="7D646FC7"/>
    <w:rsid w:val="7D653258"/>
    <w:rsid w:val="7D6A2B6F"/>
    <w:rsid w:val="7D7169FE"/>
    <w:rsid w:val="7D741635"/>
    <w:rsid w:val="7D753D44"/>
    <w:rsid w:val="7D901E34"/>
    <w:rsid w:val="7D920553"/>
    <w:rsid w:val="7D9442D8"/>
    <w:rsid w:val="7D990158"/>
    <w:rsid w:val="7D9D7B65"/>
    <w:rsid w:val="7DA13610"/>
    <w:rsid w:val="7DBC2663"/>
    <w:rsid w:val="7DC154DE"/>
    <w:rsid w:val="7DE71E07"/>
    <w:rsid w:val="7DEA3B2D"/>
    <w:rsid w:val="7DEB45B9"/>
    <w:rsid w:val="7DEB5D9B"/>
    <w:rsid w:val="7DED3253"/>
    <w:rsid w:val="7DEE13E8"/>
    <w:rsid w:val="7DEF0644"/>
    <w:rsid w:val="7E07618C"/>
    <w:rsid w:val="7E0C5521"/>
    <w:rsid w:val="7E121340"/>
    <w:rsid w:val="7E123328"/>
    <w:rsid w:val="7E254D99"/>
    <w:rsid w:val="7E2944C8"/>
    <w:rsid w:val="7E2F63C1"/>
    <w:rsid w:val="7E314F2A"/>
    <w:rsid w:val="7E3F319A"/>
    <w:rsid w:val="7E436AF4"/>
    <w:rsid w:val="7E465980"/>
    <w:rsid w:val="7E4A63DE"/>
    <w:rsid w:val="7E4B0791"/>
    <w:rsid w:val="7E4C3B59"/>
    <w:rsid w:val="7E4F5E61"/>
    <w:rsid w:val="7E4F5EAF"/>
    <w:rsid w:val="7E59203F"/>
    <w:rsid w:val="7E692464"/>
    <w:rsid w:val="7E6D5C85"/>
    <w:rsid w:val="7E70757F"/>
    <w:rsid w:val="7E7C49C6"/>
    <w:rsid w:val="7E7D1F4F"/>
    <w:rsid w:val="7E8C56BA"/>
    <w:rsid w:val="7E967BCA"/>
    <w:rsid w:val="7E991353"/>
    <w:rsid w:val="7E9C76E5"/>
    <w:rsid w:val="7EA1204A"/>
    <w:rsid w:val="7EA77353"/>
    <w:rsid w:val="7EA94CE3"/>
    <w:rsid w:val="7EAC57B3"/>
    <w:rsid w:val="7EB035DD"/>
    <w:rsid w:val="7EBE3687"/>
    <w:rsid w:val="7EC564AB"/>
    <w:rsid w:val="7EDC24E8"/>
    <w:rsid w:val="7EED2F08"/>
    <w:rsid w:val="7EFE041F"/>
    <w:rsid w:val="7EFF7307"/>
    <w:rsid w:val="7F031890"/>
    <w:rsid w:val="7F052634"/>
    <w:rsid w:val="7F0E2B74"/>
    <w:rsid w:val="7F10538E"/>
    <w:rsid w:val="7F184768"/>
    <w:rsid w:val="7F192494"/>
    <w:rsid w:val="7F2B543B"/>
    <w:rsid w:val="7F2C70BE"/>
    <w:rsid w:val="7F373DF5"/>
    <w:rsid w:val="7F4765BD"/>
    <w:rsid w:val="7F524A36"/>
    <w:rsid w:val="7F5A0779"/>
    <w:rsid w:val="7F5F4BC5"/>
    <w:rsid w:val="7F5F6693"/>
    <w:rsid w:val="7F641DBD"/>
    <w:rsid w:val="7F6B48E8"/>
    <w:rsid w:val="7F6B6C3C"/>
    <w:rsid w:val="7F7678E7"/>
    <w:rsid w:val="7F821D0A"/>
    <w:rsid w:val="7F8245FD"/>
    <w:rsid w:val="7F84118C"/>
    <w:rsid w:val="7F8A2503"/>
    <w:rsid w:val="7F8F7AD3"/>
    <w:rsid w:val="7F977927"/>
    <w:rsid w:val="7F9C6390"/>
    <w:rsid w:val="7F9C76E4"/>
    <w:rsid w:val="7FA904EB"/>
    <w:rsid w:val="7FB573AC"/>
    <w:rsid w:val="7FBC2AE3"/>
    <w:rsid w:val="7FC1178F"/>
    <w:rsid w:val="7FCA030F"/>
    <w:rsid w:val="7FD00F36"/>
    <w:rsid w:val="7FE95C0C"/>
    <w:rsid w:val="7FEC690D"/>
    <w:rsid w:val="7FF258D2"/>
    <w:rsid w:val="7FF33684"/>
    <w:rsid w:val="7FF355AD"/>
    <w:rsid w:val="7FFC30B1"/>
    <w:rsid w:val="7FFF466A"/>
    <w:rsid w:val="B7BB2B84"/>
    <w:rsid w:val="DD7F85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Times New Roman" w:hAnsi="Times New Roman" w:eastAsia="宋体" w:cs="宋体"/>
      <w:sz w:val="24"/>
      <w:szCs w:val="22"/>
      <w:lang w:val="en-US" w:eastAsia="zh-CN" w:bidi="ar-SA"/>
    </w:rPr>
  </w:style>
  <w:style w:type="paragraph" w:styleId="6">
    <w:name w:val="heading 1"/>
    <w:basedOn w:val="1"/>
    <w:next w:val="1"/>
    <w:qFormat/>
    <w:uiPriority w:val="1"/>
    <w:pPr>
      <w:spacing w:before="50"/>
      <w:ind w:left="221"/>
      <w:outlineLvl w:val="0"/>
    </w:pPr>
    <w:rPr>
      <w:b/>
      <w:bCs/>
      <w:sz w:val="32"/>
      <w:szCs w:val="32"/>
    </w:rPr>
  </w:style>
  <w:style w:type="paragraph" w:styleId="7">
    <w:name w:val="heading 2"/>
    <w:basedOn w:val="1"/>
    <w:next w:val="1"/>
    <w:qFormat/>
    <w:uiPriority w:val="1"/>
    <w:pPr>
      <w:spacing w:before="186"/>
      <w:ind w:left="1524" w:right="1069"/>
      <w:jc w:val="center"/>
      <w:outlineLvl w:val="1"/>
    </w:pPr>
    <w:rPr>
      <w:sz w:val="30"/>
      <w:szCs w:val="30"/>
    </w:rPr>
  </w:style>
  <w:style w:type="paragraph" w:styleId="8">
    <w:name w:val="heading 3"/>
    <w:basedOn w:val="1"/>
    <w:next w:val="1"/>
    <w:qFormat/>
    <w:uiPriority w:val="1"/>
    <w:pPr>
      <w:ind w:left="779" w:hanging="560"/>
      <w:outlineLvl w:val="2"/>
    </w:pPr>
    <w:rPr>
      <w:b/>
      <w:bCs/>
      <w:sz w:val="28"/>
      <w:szCs w:val="28"/>
    </w:rPr>
  </w:style>
  <w:style w:type="paragraph" w:styleId="9">
    <w:name w:val="heading 4"/>
    <w:basedOn w:val="1"/>
    <w:next w:val="1"/>
    <w:qFormat/>
    <w:uiPriority w:val="1"/>
    <w:pPr>
      <w:ind w:left="2206" w:right="1436"/>
      <w:outlineLvl w:val="3"/>
    </w:pPr>
    <w:rPr>
      <w:sz w:val="28"/>
      <w:szCs w:val="28"/>
    </w:rPr>
  </w:style>
  <w:style w:type="paragraph" w:styleId="10">
    <w:name w:val="heading 5"/>
    <w:basedOn w:val="1"/>
    <w:next w:val="1"/>
    <w:qFormat/>
    <w:uiPriority w:val="1"/>
    <w:pPr>
      <w:spacing w:line="360" w:lineRule="auto"/>
      <w:ind w:left="221" w:firstLine="658"/>
      <w:outlineLvl w:val="4"/>
    </w:pPr>
    <w:rPr>
      <w:b/>
      <w:bCs/>
      <w:sz w:val="24"/>
      <w:szCs w:val="24"/>
    </w:rPr>
  </w:style>
  <w:style w:type="character" w:default="1" w:styleId="24">
    <w:name w:val="Default Paragraph Font"/>
    <w:link w:val="25"/>
    <w:semiHidden/>
    <w:unhideWhenUsed/>
    <w:qFormat/>
    <w:uiPriority w:val="1"/>
  </w:style>
  <w:style w:type="table" w:default="1" w:styleId="2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Default"/>
    <w:next w:val="3"/>
    <w:unhideWhenUsed/>
    <w:qFormat/>
    <w:uiPriority w:val="0"/>
    <w:pPr>
      <w:widowControl w:val="0"/>
      <w:autoSpaceDE w:val="0"/>
      <w:autoSpaceDN w:val="0"/>
      <w:adjustRightInd w:val="0"/>
      <w:spacing w:beforeLines="0" w:afterLines="0"/>
    </w:pPr>
    <w:rPr>
      <w:rFonts w:hint="eastAsia" w:ascii="方正小标宋_GBK" w:hAnsi="Times New Roman" w:eastAsia="方正小标宋_GBK" w:cs="方正小标宋_GBK"/>
      <w:color w:val="000000"/>
      <w:sz w:val="24"/>
      <w:szCs w:val="24"/>
      <w:lang w:val="en-US" w:eastAsia="zh-CN" w:bidi="ar-SA"/>
    </w:rPr>
  </w:style>
  <w:style w:type="paragraph" w:customStyle="1" w:styleId="3">
    <w:name w:val="样式1"/>
    <w:basedOn w:val="4"/>
    <w:next w:val="1"/>
    <w:unhideWhenUsed/>
    <w:qFormat/>
    <w:uiPriority w:val="0"/>
    <w:pPr>
      <w:spacing w:beforeLines="0" w:afterLines="0"/>
    </w:pPr>
    <w:rPr>
      <w:rFonts w:hint="default"/>
      <w:b/>
      <w:sz w:val="30"/>
      <w:szCs w:val="24"/>
    </w:rPr>
  </w:style>
  <w:style w:type="paragraph" w:styleId="4">
    <w:name w:val="index heading"/>
    <w:basedOn w:val="1"/>
    <w:next w:val="5"/>
    <w:unhideWhenUsed/>
    <w:qFormat/>
    <w:uiPriority w:val="0"/>
    <w:pPr>
      <w:spacing w:beforeLines="0" w:afterLines="0"/>
    </w:pPr>
    <w:rPr>
      <w:rFonts w:hint="default"/>
      <w:sz w:val="21"/>
      <w:szCs w:val="24"/>
    </w:rPr>
  </w:style>
  <w:style w:type="paragraph" w:styleId="5">
    <w:name w:val="index 1"/>
    <w:basedOn w:val="1"/>
    <w:next w:val="1"/>
    <w:unhideWhenUsed/>
    <w:qFormat/>
    <w:uiPriority w:val="0"/>
    <w:pPr>
      <w:adjustRightInd w:val="0"/>
      <w:snapToGrid w:val="0"/>
      <w:spacing w:beforeLines="0" w:afterLines="0" w:line="440" w:lineRule="atLeast"/>
      <w:ind w:left="240" w:hanging="240"/>
      <w:jc w:val="left"/>
    </w:pPr>
    <w:rPr>
      <w:rFonts w:hint="eastAsia" w:ascii="宋体" w:hAnsi="Times New Roman" w:eastAsia="宋体"/>
      <w:sz w:val="18"/>
      <w:szCs w:val="24"/>
    </w:rPr>
  </w:style>
  <w:style w:type="paragraph" w:styleId="11">
    <w:name w:val="annotation text"/>
    <w:basedOn w:val="1"/>
    <w:link w:val="34"/>
    <w:qFormat/>
    <w:uiPriority w:val="0"/>
  </w:style>
  <w:style w:type="paragraph" w:styleId="12">
    <w:name w:val="Body Text"/>
    <w:basedOn w:val="1"/>
    <w:next w:val="1"/>
    <w:qFormat/>
    <w:uiPriority w:val="1"/>
    <w:rPr>
      <w:sz w:val="24"/>
      <w:szCs w:val="24"/>
    </w:rPr>
  </w:style>
  <w:style w:type="paragraph" w:styleId="13">
    <w:name w:val="Plain Text"/>
    <w:basedOn w:val="1"/>
    <w:qFormat/>
    <w:uiPriority w:val="0"/>
    <w:rPr>
      <w:rFonts w:hAnsi="Courier New"/>
    </w:rPr>
  </w:style>
  <w:style w:type="paragraph" w:styleId="14">
    <w:name w:val="Body Text Indent 2"/>
    <w:basedOn w:val="1"/>
    <w:qFormat/>
    <w:uiPriority w:val="0"/>
    <w:pPr>
      <w:ind w:firstLine="420" w:firstLineChars="150"/>
    </w:pPr>
    <w:rPr>
      <w:rFonts w:ascii="宋体" w:hAnsi="宋体"/>
      <w:sz w:val="28"/>
    </w:rPr>
  </w:style>
  <w:style w:type="paragraph" w:styleId="15">
    <w:name w:val="Balloon Text"/>
    <w:basedOn w:val="1"/>
    <w:link w:val="33"/>
    <w:qFormat/>
    <w:uiPriority w:val="0"/>
    <w:rPr>
      <w:sz w:val="18"/>
      <w:szCs w:val="18"/>
    </w:rPr>
  </w:style>
  <w:style w:type="paragraph" w:styleId="16">
    <w:name w:val="footer"/>
    <w:basedOn w:val="1"/>
    <w:qFormat/>
    <w:uiPriority w:val="0"/>
    <w:pPr>
      <w:tabs>
        <w:tab w:val="center" w:pos="4153"/>
        <w:tab w:val="right" w:pos="8306"/>
      </w:tabs>
      <w:snapToGrid w:val="0"/>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8">
    <w:name w:val="toc 1"/>
    <w:basedOn w:val="1"/>
    <w:next w:val="1"/>
    <w:qFormat/>
    <w:uiPriority w:val="1"/>
    <w:pPr>
      <w:spacing w:before="93"/>
      <w:ind w:left="317"/>
    </w:pPr>
    <w:rPr>
      <w:sz w:val="24"/>
      <w:szCs w:val="24"/>
    </w:rPr>
  </w:style>
  <w:style w:type="paragraph" w:styleId="19">
    <w:name w:val="Normal (Web)"/>
    <w:basedOn w:val="1"/>
    <w:qFormat/>
    <w:uiPriority w:val="0"/>
    <w:pPr>
      <w:spacing w:beforeAutospacing="1" w:afterAutospacing="1"/>
    </w:pPr>
    <w:rPr>
      <w:rFonts w:cs="Times New Roman"/>
      <w:sz w:val="24"/>
    </w:rPr>
  </w:style>
  <w:style w:type="paragraph" w:styleId="20">
    <w:name w:val="Title"/>
    <w:basedOn w:val="1"/>
    <w:qFormat/>
    <w:uiPriority w:val="1"/>
    <w:pPr>
      <w:ind w:left="1524" w:right="1656"/>
      <w:jc w:val="center"/>
    </w:pPr>
    <w:rPr>
      <w:b/>
      <w:bCs/>
      <w:sz w:val="48"/>
      <w:szCs w:val="48"/>
    </w:rPr>
  </w:style>
  <w:style w:type="paragraph" w:styleId="21">
    <w:name w:val="annotation subject"/>
    <w:basedOn w:val="11"/>
    <w:next w:val="11"/>
    <w:link w:val="35"/>
    <w:qFormat/>
    <w:uiPriority w:val="0"/>
    <w:rPr>
      <w:b/>
      <w:bCs/>
    </w:rPr>
  </w:style>
  <w:style w:type="table" w:styleId="23">
    <w:name w:val="Table Grid"/>
    <w:basedOn w:val="22"/>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25">
    <w:name w:val="Char Char Char Char Char Char Char Char Char Char Char Char Char Char Char Char Char Char Char Char Char Char"/>
    <w:basedOn w:val="1"/>
    <w:link w:val="24"/>
    <w:qFormat/>
    <w:uiPriority w:val="0"/>
    <w:pPr>
      <w:spacing w:line="240" w:lineRule="exact"/>
      <w:ind w:firstLine="200" w:firstLineChars="200"/>
    </w:pPr>
  </w:style>
  <w:style w:type="character" w:styleId="26">
    <w:name w:val="Strong"/>
    <w:basedOn w:val="24"/>
    <w:qFormat/>
    <w:uiPriority w:val="0"/>
    <w:rPr>
      <w:b/>
    </w:rPr>
  </w:style>
  <w:style w:type="character" w:styleId="27">
    <w:name w:val="Emphasis"/>
    <w:basedOn w:val="24"/>
    <w:qFormat/>
    <w:uiPriority w:val="0"/>
    <w:rPr>
      <w:i/>
    </w:rPr>
  </w:style>
  <w:style w:type="character" w:styleId="28">
    <w:name w:val="Hyperlink"/>
    <w:basedOn w:val="24"/>
    <w:qFormat/>
    <w:uiPriority w:val="99"/>
    <w:rPr>
      <w:color w:val="0000FF"/>
      <w:u w:val="single"/>
    </w:rPr>
  </w:style>
  <w:style w:type="character" w:styleId="29">
    <w:name w:val="annotation reference"/>
    <w:basedOn w:val="24"/>
    <w:qFormat/>
    <w:uiPriority w:val="0"/>
    <w:rPr>
      <w:sz w:val="21"/>
      <w:szCs w:val="21"/>
    </w:rPr>
  </w:style>
  <w:style w:type="table" w:customStyle="1" w:styleId="30">
    <w:name w:val="Table Normal"/>
    <w:basedOn w:val="22"/>
    <w:semiHidden/>
    <w:unhideWhenUsed/>
    <w:qFormat/>
    <w:uiPriority w:val="2"/>
    <w:tblPr>
      <w:tblCellMar>
        <w:top w:w="0" w:type="dxa"/>
        <w:left w:w="0" w:type="dxa"/>
        <w:bottom w:w="0" w:type="dxa"/>
        <w:right w:w="0" w:type="dxa"/>
      </w:tblCellMar>
    </w:tblPr>
  </w:style>
  <w:style w:type="paragraph" w:styleId="31">
    <w:name w:val="List Paragraph"/>
    <w:basedOn w:val="1"/>
    <w:qFormat/>
    <w:uiPriority w:val="1"/>
    <w:pPr>
      <w:ind w:left="220" w:hanging="601"/>
    </w:pPr>
  </w:style>
  <w:style w:type="paragraph" w:customStyle="1" w:styleId="32">
    <w:name w:val="Table Paragraph"/>
    <w:basedOn w:val="1"/>
    <w:qFormat/>
    <w:uiPriority w:val="1"/>
  </w:style>
  <w:style w:type="character" w:customStyle="1" w:styleId="33">
    <w:name w:val="批注框文本 Char"/>
    <w:basedOn w:val="24"/>
    <w:link w:val="15"/>
    <w:qFormat/>
    <w:uiPriority w:val="0"/>
    <w:rPr>
      <w:rFonts w:ascii="宋体" w:hAnsi="宋体" w:cs="宋体"/>
      <w:sz w:val="18"/>
      <w:szCs w:val="18"/>
    </w:rPr>
  </w:style>
  <w:style w:type="character" w:customStyle="1" w:styleId="34">
    <w:name w:val="批注文字 Char"/>
    <w:basedOn w:val="24"/>
    <w:link w:val="11"/>
    <w:qFormat/>
    <w:uiPriority w:val="0"/>
    <w:rPr>
      <w:rFonts w:ascii="宋体" w:hAnsi="宋体" w:cs="宋体"/>
      <w:sz w:val="22"/>
      <w:szCs w:val="22"/>
    </w:rPr>
  </w:style>
  <w:style w:type="character" w:customStyle="1" w:styleId="35">
    <w:name w:val="批注主题 Char"/>
    <w:basedOn w:val="34"/>
    <w:link w:val="21"/>
    <w:qFormat/>
    <w:uiPriority w:val="0"/>
    <w:rPr>
      <w:rFonts w:ascii="宋体" w:hAnsi="宋体" w:cs="宋体"/>
      <w:b/>
      <w:bCs/>
      <w:sz w:val="22"/>
      <w:szCs w:val="22"/>
    </w:rPr>
  </w:style>
  <w:style w:type="character" w:customStyle="1" w:styleId="36">
    <w:name w:val="font51"/>
    <w:basedOn w:val="24"/>
    <w:qFormat/>
    <w:uiPriority w:val="0"/>
    <w:rPr>
      <w:rFonts w:hint="default" w:ascii="Times New Roman" w:hAnsi="Times New Roman" w:cs="Times New Roman"/>
      <w:color w:val="000000"/>
      <w:sz w:val="21"/>
      <w:szCs w:val="21"/>
      <w:u w:val="none"/>
    </w:rPr>
  </w:style>
  <w:style w:type="character" w:customStyle="1" w:styleId="37">
    <w:name w:val="font31"/>
    <w:basedOn w:val="24"/>
    <w:qFormat/>
    <w:uiPriority w:val="0"/>
    <w:rPr>
      <w:rFonts w:hint="eastAsia" w:ascii="宋体" w:hAnsi="宋体" w:eastAsia="宋体" w:cs="宋体"/>
      <w:color w:val="000000"/>
      <w:sz w:val="21"/>
      <w:szCs w:val="21"/>
      <w:u w:val="none"/>
    </w:rPr>
  </w:style>
  <w:style w:type="character" w:customStyle="1" w:styleId="38">
    <w:name w:val="font11"/>
    <w:basedOn w:val="24"/>
    <w:qFormat/>
    <w:uiPriority w:val="0"/>
    <w:rPr>
      <w:rFonts w:hint="default" w:ascii="Times New Roman" w:hAnsi="Times New Roman" w:cs="Times New Roman"/>
      <w:color w:val="000000"/>
      <w:sz w:val="21"/>
      <w:szCs w:val="21"/>
      <w:u w:val="none"/>
    </w:rPr>
  </w:style>
  <w:style w:type="character" w:customStyle="1" w:styleId="39">
    <w:name w:val="font21"/>
    <w:basedOn w:val="24"/>
    <w:qFormat/>
    <w:uiPriority w:val="0"/>
    <w:rPr>
      <w:rFonts w:hint="default" w:ascii="Times New Roman" w:hAnsi="Times New Roman" w:cs="Times New Roman"/>
      <w:color w:val="000000"/>
      <w:sz w:val="20"/>
      <w:szCs w:val="20"/>
      <w:u w:val="none"/>
    </w:rPr>
  </w:style>
  <w:style w:type="character" w:customStyle="1" w:styleId="40">
    <w:name w:val="font01"/>
    <w:basedOn w:val="24"/>
    <w:qFormat/>
    <w:uiPriority w:val="0"/>
    <w:rPr>
      <w:rFonts w:hint="default" w:ascii="Times New Roman" w:hAnsi="Times New Roman" w:cs="Times New Roman"/>
      <w:color w:val="000000"/>
      <w:sz w:val="20"/>
      <w:szCs w:val="20"/>
      <w:u w:val="none"/>
    </w:rPr>
  </w:style>
  <w:style w:type="character" w:customStyle="1" w:styleId="41">
    <w:name w:val="font61"/>
    <w:basedOn w:val="24"/>
    <w:qFormat/>
    <w:uiPriority w:val="0"/>
    <w:rPr>
      <w:rFonts w:hint="eastAsia" w:ascii="宋体" w:hAnsi="宋体" w:eastAsia="宋体" w:cs="宋体"/>
      <w:color w:val="000000"/>
      <w:sz w:val="20"/>
      <w:szCs w:val="20"/>
      <w:u w:val="none"/>
      <w:vertAlign w:val="superscript"/>
    </w:rPr>
  </w:style>
  <w:style w:type="character" w:customStyle="1" w:styleId="42">
    <w:name w:val="font81"/>
    <w:basedOn w:val="24"/>
    <w:qFormat/>
    <w:uiPriority w:val="0"/>
    <w:rPr>
      <w:rFonts w:hint="default" w:ascii="Times New Roman" w:hAnsi="Times New Roman" w:cs="Times New Roman"/>
      <w:color w:val="000000"/>
      <w:sz w:val="20"/>
      <w:szCs w:val="20"/>
      <w:u w:val="none"/>
    </w:rPr>
  </w:style>
  <w:style w:type="paragraph" w:customStyle="1" w:styleId="43">
    <w:name w:val="Table Text"/>
    <w:basedOn w:val="1"/>
    <w:unhideWhenUsed/>
    <w:qFormat/>
    <w:uiPriority w:val="0"/>
    <w:pPr>
      <w:spacing w:beforeLines="0" w:afterLines="0"/>
    </w:pPr>
    <w:rPr>
      <w:rFonts w:hint="eastAsia" w:ascii="宋体" w:hAnsi="宋体" w:eastAsia="宋体" w:cs="宋体"/>
      <w:sz w:val="24"/>
      <w:szCs w:val="24"/>
    </w:rPr>
  </w:style>
  <w:style w:type="character" w:customStyle="1" w:styleId="44">
    <w:name w:val="font41"/>
    <w:basedOn w:val="24"/>
    <w:unhideWhenUsed/>
    <w:qFormat/>
    <w:uiPriority w:val="0"/>
    <w:rPr>
      <w:rFonts w:hint="eastAsia" w:ascii="Times New Roman" w:hAnsi="Times New Roman" w:eastAsia="Times New Roman" w:cs="Times New Roman"/>
      <w:color w:val="000000"/>
      <w:sz w:val="18"/>
      <w:szCs w:val="18"/>
    </w:rPr>
  </w:style>
  <w:style w:type="paragraph" w:customStyle="1" w:styleId="45">
    <w:name w:val="表格1"/>
    <w:basedOn w:val="1"/>
    <w:qFormat/>
    <w:uiPriority w:val="0"/>
    <w:pPr>
      <w:adjustRightInd w:val="0"/>
      <w:snapToGrid w:val="0"/>
      <w:jc w:val="center"/>
    </w:pPr>
    <w:rPr>
      <w:rFonts w:eastAsia="方正仿宋_GBK"/>
      <w:color w:val="000000"/>
      <w:kern w:val="0"/>
    </w:rPr>
  </w:style>
  <w:style w:type="character" w:customStyle="1" w:styleId="46">
    <w:name w:val="Other_"/>
    <w:link w:val="47"/>
    <w:qFormat/>
    <w:uiPriority w:val="0"/>
    <w:rPr>
      <w:rFonts w:ascii="宋体" w:hAnsi="宋体" w:cs="宋体"/>
      <w:kern w:val="0"/>
      <w:sz w:val="20"/>
      <w:szCs w:val="20"/>
      <w:lang w:val="zh-TW" w:eastAsia="zh-TW" w:bidi="zh-TW"/>
    </w:rPr>
  </w:style>
  <w:style w:type="paragraph" w:customStyle="1" w:styleId="47">
    <w:name w:val="Other"/>
    <w:basedOn w:val="1"/>
    <w:link w:val="46"/>
    <w:qFormat/>
    <w:uiPriority w:val="0"/>
    <w:pPr>
      <w:jc w:val="center"/>
    </w:pPr>
    <w:rPr>
      <w:rFonts w:ascii="宋体" w:hAnsi="宋体" w:cs="宋体"/>
      <w:kern w:val="0"/>
      <w:sz w:val="20"/>
      <w:szCs w:val="20"/>
      <w:lang w:val="zh-TW" w:eastAsia="zh-TW" w:bidi="zh-TW"/>
    </w:rPr>
  </w:style>
  <w:style w:type="character" w:customStyle="1" w:styleId="48">
    <w:name w:val="font91"/>
    <w:basedOn w:val="24"/>
    <w:qFormat/>
    <w:uiPriority w:val="0"/>
    <w:rPr>
      <w:rFonts w:hint="default" w:ascii="Times New Roman" w:hAnsi="Times New Roman" w:cs="Times New Roman"/>
      <w:color w:val="000000"/>
      <w:sz w:val="24"/>
      <w:szCs w:val="24"/>
      <w:u w:val="none"/>
    </w:rPr>
  </w:style>
  <w:style w:type="character" w:customStyle="1" w:styleId="49">
    <w:name w:val="font71"/>
    <w:basedOn w:val="24"/>
    <w:qFormat/>
    <w:uiPriority w:val="0"/>
    <w:rPr>
      <w:rFonts w:hint="eastAsia" w:ascii="宋体" w:hAnsi="宋体" w:eastAsia="宋体" w:cs="宋体"/>
      <w:color w:val="000000"/>
      <w:sz w:val="21"/>
      <w:szCs w:val="21"/>
      <w:u w:val="none"/>
    </w:rPr>
  </w:style>
  <w:style w:type="character" w:customStyle="1" w:styleId="50">
    <w:name w:val="font151"/>
    <w:basedOn w:val="24"/>
    <w:unhideWhenUsed/>
    <w:qFormat/>
    <w:uiPriority w:val="0"/>
    <w:rPr>
      <w:rFonts w:hint="eastAsia" w:ascii="Times New Roman" w:hAnsi="Times New Roman" w:eastAsia="Times New Roman" w:cs="Times New Roman"/>
      <w:color w:val="FF0000"/>
      <w:sz w:val="24"/>
      <w:szCs w:val="24"/>
    </w:rPr>
  </w:style>
  <w:style w:type="character" w:customStyle="1" w:styleId="51">
    <w:name w:val="font131"/>
    <w:basedOn w:val="24"/>
    <w:unhideWhenUsed/>
    <w:qFormat/>
    <w:uiPriority w:val="0"/>
    <w:rPr>
      <w:rFonts w:hint="default" w:ascii="宋体" w:hAnsi="宋体" w:eastAsia="宋体" w:cs="宋体"/>
      <w:color w:val="000000"/>
      <w:sz w:val="22"/>
      <w:szCs w:val="22"/>
    </w:rPr>
  </w:style>
  <w:style w:type="character" w:customStyle="1" w:styleId="52">
    <w:name w:val="font141"/>
    <w:basedOn w:val="24"/>
    <w:unhideWhenUsed/>
    <w:qFormat/>
    <w:uiPriority w:val="0"/>
    <w:rPr>
      <w:rFonts w:hint="eastAsia" w:ascii="Times New Roman" w:hAnsi="Times New Roman" w:eastAsia="Times New Roman" w:cs="Times New Roman"/>
      <w:color w:val="000000"/>
      <w:sz w:val="24"/>
      <w:szCs w:val="24"/>
    </w:rPr>
  </w:style>
  <w:style w:type="character" w:customStyle="1" w:styleId="53">
    <w:name w:val="font101"/>
    <w:basedOn w:val="24"/>
    <w:unhideWhenUsed/>
    <w:qFormat/>
    <w:uiPriority w:val="0"/>
    <w:rPr>
      <w:rFonts w:hint="eastAsia" w:ascii="Times New Roman" w:hAnsi="Times New Roman" w:eastAsia="Times New Roman" w:cs="Times New Roman"/>
      <w:color w:val="000000"/>
      <w:sz w:val="21"/>
      <w:szCs w:val="21"/>
      <w:vertAlign w:val="superscript"/>
    </w:rPr>
  </w:style>
  <w:style w:type="character" w:customStyle="1" w:styleId="54">
    <w:name w:val="font121"/>
    <w:basedOn w:val="24"/>
    <w:unhideWhenUsed/>
    <w:qFormat/>
    <w:uiPriority w:val="0"/>
    <w:rPr>
      <w:rFonts w:hint="eastAsia" w:ascii="Times New Roman" w:hAnsi="Times New Roman" w:eastAsia="Times New Roman" w:cs="Times New Roman"/>
      <w:color w:val="000000"/>
      <w:sz w:val="21"/>
      <w:szCs w:val="21"/>
    </w:rPr>
  </w:style>
  <w:style w:type="character" w:customStyle="1" w:styleId="55">
    <w:name w:val="font112"/>
    <w:basedOn w:val="24"/>
    <w:unhideWhenUsed/>
    <w:qFormat/>
    <w:uiPriority w:val="0"/>
    <w:rPr>
      <w:rFonts w:hint="default" w:ascii="宋体" w:hAnsi="宋体" w:eastAsia="宋体" w:cs="宋体"/>
      <w:color w:val="000000"/>
      <w:sz w:val="21"/>
      <w:szCs w:val="21"/>
    </w:rPr>
  </w:style>
  <w:style w:type="paragraph" w:customStyle="1" w:styleId="56">
    <w:name w:val="其他"/>
    <w:basedOn w:val="1"/>
    <w:qFormat/>
    <w:uiPriority w:val="0"/>
    <w:pPr>
      <w:spacing w:line="430" w:lineRule="auto"/>
      <w:ind w:firstLine="400"/>
      <w:jc w:val="left"/>
    </w:pPr>
    <w:rPr>
      <w:rFonts w:ascii="宋体" w:hAnsi="宋体" w:cs="宋体"/>
      <w:kern w:val="0"/>
      <w:sz w:val="22"/>
      <w:szCs w:val="22"/>
    </w:rPr>
  </w:style>
  <w:style w:type="character" w:customStyle="1" w:styleId="57">
    <w:name w:val="NormalCharacter"/>
    <w:qFormat/>
    <w:uiPriority w:val="0"/>
  </w:style>
  <w:style w:type="character" w:customStyle="1" w:styleId="58">
    <w:name w:val="27"/>
    <w:basedOn w:val="24"/>
    <w:qFormat/>
    <w:uiPriority w:val="0"/>
    <w:rPr>
      <w:rFonts w:hint="eastAsia" w:ascii="方正仿宋_GBK" w:hAnsi="方正仿宋_GBK" w:eastAsia="方正仿宋_GBK" w:cs="方正仿宋_GBK"/>
      <w:b/>
      <w:color w:val="000000"/>
      <w:sz w:val="32"/>
      <w:szCs w:val="32"/>
    </w:rPr>
  </w:style>
  <w:style w:type="paragraph" w:customStyle="1" w:styleId="59">
    <w:name w:val="999999999"/>
    <w:basedOn w:val="1"/>
    <w:qFormat/>
    <w:uiPriority w:val="0"/>
    <w:pPr>
      <w:ind w:firstLine="883" w:firstLineChars="200"/>
    </w:pPr>
    <w:rPr>
      <w:rFonts w:hint="eastAsia" w:ascii="Times New Roman" w:hAnsi="Times New Roman" w:cs="Times New Roman"/>
      <w:color w:val="auto"/>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wmf"/><Relationship Id="rId16" Type="http://schemas.openxmlformats.org/officeDocument/2006/relationships/oleObject" Target="embeddings/oleObject4.bin"/><Relationship Id="rId15" Type="http://schemas.openxmlformats.org/officeDocument/2006/relationships/image" Target="media/image4.wmf"/><Relationship Id="rId14" Type="http://schemas.openxmlformats.org/officeDocument/2006/relationships/oleObject" Target="embeddings/oleObject3.bin"/><Relationship Id="rId13" Type="http://schemas.openxmlformats.org/officeDocument/2006/relationships/image" Target="media/image3.wmf"/><Relationship Id="rId12" Type="http://schemas.openxmlformats.org/officeDocument/2006/relationships/oleObject" Target="embeddings/oleObject2.bin"/><Relationship Id="rId11" Type="http://schemas.openxmlformats.org/officeDocument/2006/relationships/image" Target="media/image2.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14b881fb-b978-4ea6-a4bb-10cb11a2e495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2AC1367B</paraID>
      <start>41</start>
      <end>42</end>
      <status>unmodified</status>
      <modifiedWord/>
      <trackRevisions>false</trackRevisions>
    </reviewItem>
    <reviewItem>
      <errorID>69f426f9-7580-48f4-aff8-11cb42a15c2f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54F0F855</paraID>
      <start>0</start>
      <end>2</end>
      <status>unmodified</status>
      <modifiedWord/>
      <trackRevisions>false</trackRevisions>
    </reviewItem>
    <reviewItem>
      <errorID>19f4092b-cb79-45e8-a3b9-680d74f7ae2e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57F02806</paraID>
      <start>0</start>
      <end>2</end>
      <status>unmodified</status>
      <modifiedWord/>
      <trackRevisions>false</trackRevisions>
    </reviewItem>
    <reviewItem>
      <errorID>1893b351-24ed-4c36-bb20-704e61774d8f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14EF1AD5</paraID>
      <start>0</start>
      <end>2</end>
      <status>unmodified</status>
      <modifiedWord/>
      <trackRevisions>false</trackRevisions>
    </reviewItem>
    <reviewItem>
      <errorID>1aa996a9-2191-4ad8-bf1d-e00b8513a9f6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3E67795A</paraID>
      <start>0</start>
      <end>2</end>
      <status>unmodified</status>
      <modifiedWord/>
      <trackRevisions>false</trackRevisions>
    </reviewItem>
    <reviewItem>
      <errorID>c3f0c90b-f1c5-4c4c-b218-932d1c168a6f</errorID>
      <errorWord>ClinaciX</errorWord>
      <group>L1_English</group>
      <groupName>英文问题</groupName>
      <ability>L2_Other_Grammar</ability>
      <abilityName>其他语法问题</abilityName>
      <candidateList>
        <item>Clinac X</item>
      </candidateList>
      <explain>名词使用不当, 建议将ClinaciX修改为Clinac X</explain>
      <paraID>4327FDD3</paraID>
      <start>0</start>
      <end>8</end>
      <status>unmodified</status>
      <modifiedWord/>
      <trackRevisions>false</trackRevisions>
    </reviewItem>
    <reviewItem>
      <errorID>19e8be4b-1d79-4b68-aac6-9257d46451ad</errorID>
      <errorWord>ClinaciX</errorWord>
      <group>L1_English</group>
      <groupName>英文问题</groupName>
      <ability>L2_Other_Grammar</ability>
      <abilityName>其他语法问题</abilityName>
      <candidateList>
        <item>Clinac X</item>
      </candidateList>
      <explain>名词使用不当, 建议将ClinaciX修改为Clinac X</explain>
      <paraID>401E10AC</paraID>
      <start>0</start>
      <end>8</end>
      <status>unmodified</status>
      <modifiedWord/>
      <trackRevisions>false</trackRevisions>
    </reviewItem>
    <reviewItem>
      <errorID>ef175c2c-8ae1-4061-a1b7-5436d46db5ad</errorID>
      <errorWord>15O</errorWord>
      <group>L1_Knowledge</group>
      <groupName>知识性问题</groupName>
      <ability>L2_Knowledge</ability>
      <abilityName>其他知识</abilityName>
      <candidateList>
        <item>150</item>
      </candidateList>
      <explain>请检查15O是否应当为150。</explain>
      <paraID>1F299755</paraID>
      <start>8</start>
      <end>11</end>
      <status>unmodified</status>
      <modifiedWord/>
      <trackRevisions>false</trackRevisions>
    </reviewItem>
    <reviewItem>
      <errorID>cb4d0988-2a0f-41bf-83af-d3d70bdaeda3</errorID>
      <errorWord>*</errorWord>
      <group>L1_Punc</group>
      <groupName>标点问题</groupName>
      <ability>L2_Punc_CN</ability>
      <abilityName>标点符号问题</abilityName>
      <candidateList/>
      <explain/>
      <paraID>3F6D362E</paraID>
      <start>0</start>
      <end>1</end>
      <status>unmodified</status>
      <modifiedWord/>
      <trackRevisions>false</trackRevisions>
    </reviewItem>
    <reviewItem>
      <errorID>d50816ee-415c-4cff-a760-244c777a448f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3627283F</paraID>
      <start>243</start>
      <end>244</end>
      <status>unmodified</status>
      <modifiedWord/>
      <trackRevisions>false</trackRevisions>
    </reviewItem>
    <reviewItem>
      <errorID>d4811048-2e87-45b7-9d68-663a59983e8e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F605542</paraID>
      <start>116</start>
      <end>117</end>
      <status>unmodified</status>
      <modifiedWord/>
      <trackRevisions>false</trackRevisions>
    </reviewItem>
    <reviewItem>
      <errorID>be87c1be-b172-4e1a-a15e-6f1cb4aae654</errorID>
      <errorWord>至少有1名具有本科以上</errorWord>
      <group>L1_Grammar</group>
      <groupName>语法问题</groupName>
      <ability>L2_Grammar</ability>
      <abilityName>语法错误</abilityName>
      <candidateList>
        <item>至少有1名具有本科</item>
      </candidateList>
      <explain>该表达中的“至少有1名具有本科以上”存在语义重复。</explain>
      <paraID>5FB64AB3</paraID>
      <start>77</start>
      <end>88</end>
      <status>unmodified</status>
      <modifiedWord/>
      <trackRevisions>false</trackRevisions>
    </reviewItem>
    <reviewItem>
      <errorID>164f9936-c0c4-4a23-998a-dac52504b5b9</errorID>
      <errorWord>放射性同位素及射线装置安全和防护条例</errorWord>
      <group>L1_Knowledge</group>
      <groupName>知识性问题</groupName>
      <ability>L2_Knowledge</ability>
      <abilityName>其他知识</abilityName>
      <candidateList>
        <item>放射性同位素与射线装置安全和防护条例</item>
      </candidateList>
      <explain>当前法律法规未收录或尚未生效，注意核查是否正确。</explain>
      <paraID>2CCA5FDB</paraID>
      <start>59</start>
      <end>77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c72f52-eeb0-4996-abe9-7136223a0450}">
  <ds:schemaRefs/>
</ds:datastoreItem>
</file>

<file path=docProps/app.xml><?xml version="1.0" encoding="utf-8"?>
<Properties xmlns="http://schemas.openxmlformats.org/officeDocument/2006/extended-properties" xmlns:vt="http://schemas.openxmlformats.org/officeDocument/2006/docPropsVTypes">
  <Template>Normal.dotm</Template>
  <Pages>145</Pages>
  <Words>13727</Words>
  <Characters>16947</Characters>
  <Lines>1</Lines>
  <Paragraphs>1</Paragraphs>
  <TotalTime>1</TotalTime>
  <ScaleCrop>false</ScaleCrop>
  <LinksUpToDate>false</LinksUpToDate>
  <CharactersWithSpaces>17078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2020-06-10T19:40:00Z</dcterms:created>
  <dc:creator>孟楠</dc:creator>
  <cp:lastModifiedBy>Luck</cp:lastModifiedBy>
  <cp:lastPrinted>2025-06-18T23:12:00Z</cp:lastPrinted>
  <dcterms:modified xsi:type="dcterms:W3CDTF">2026-10-20T09:12:46Z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2018-06-26T00:00:00Z</vt:filetime>
  </property>
  <property fmtid="{D5CDD505-2E9C-101B-9397-08002B2CF9AE}" pid="3" name="Creator">
    <vt:lpwstr>WPS Office</vt:lpwstr>
  </property>
  <property fmtid="{D5CDD505-2E9C-101B-9397-08002B2CF9AE}" pid="4" name="LastSaved">
    <vt:filetime>2020-06-09T00:00:00Z</vt:filetime>
  </property>
  <property fmtid="{D5CDD505-2E9C-101B-9397-08002B2CF9AE}" pid="5" name="KSOProductBuildVer">
    <vt:lpwstr>2052-12.1.0.28505</vt:lpwstr>
  </property>
  <property fmtid="{D5CDD505-2E9C-101B-9397-08002B2CF9AE}" pid="6" name="ICV">
    <vt:lpwstr>079302BD598649C781ACAE199C59BDB1_13</vt:lpwstr>
  </property>
  <property fmtid="{D5CDD505-2E9C-101B-9397-08002B2CF9AE}" pid="7" name="commondata">
    <vt:lpwstr>eyJoZGlkIjoiNmFlZjllYThlNGRlMTE1Y2Y2MzdhNTM2OTk0M2U3NDIifQ==</vt:lpwstr>
  </property>
  <property fmtid="{D5CDD505-2E9C-101B-9397-08002B2CF9AE}" pid="8" name="KSOTemplateDocerSaveRecord">
    <vt:lpwstr>eyJoZGlkIjoiYzhiNTI3NTAwZmM5NWNkZTU5ZDVkNjRjMjhlZGZkNWUiLCJ1c2VySWQiOiIzNzY1NjA5MTEifQ==</vt:lpwstr>
  </property>
</Properties>
</file>